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07C2E" w14:textId="77777777" w:rsidR="00CC4AC5" w:rsidRDefault="00CC4AC5" w:rsidP="00CC4AC5">
      <w:pPr>
        <w:jc w:val="center"/>
        <w:rPr>
          <w:rFonts w:ascii="Times New Roman" w:hAnsi="Times New Roman" w:cs="Times New Roman"/>
          <w:b/>
          <w:bCs/>
          <w:color w:val="4EA72E" w:themeColor="accent6"/>
          <w:sz w:val="40"/>
          <w:szCs w:val="40"/>
        </w:rPr>
      </w:pPr>
    </w:p>
    <w:p w14:paraId="6D1C6A9E" w14:textId="77777777" w:rsidR="00CC4AC5" w:rsidRDefault="00CC4AC5" w:rsidP="00CC4AC5">
      <w:pPr>
        <w:jc w:val="center"/>
        <w:rPr>
          <w:rFonts w:ascii="Times New Roman" w:hAnsi="Times New Roman" w:cs="Times New Roman"/>
          <w:b/>
          <w:bCs/>
          <w:color w:val="4EA72E" w:themeColor="accent6"/>
          <w:sz w:val="40"/>
          <w:szCs w:val="40"/>
        </w:rPr>
      </w:pPr>
    </w:p>
    <w:p w14:paraId="24E9CD4B" w14:textId="77777777" w:rsidR="00CC4AC5" w:rsidRDefault="00CC4AC5" w:rsidP="00CC4AC5">
      <w:pPr>
        <w:jc w:val="center"/>
        <w:rPr>
          <w:rFonts w:ascii="Times New Roman" w:hAnsi="Times New Roman" w:cs="Times New Roman"/>
          <w:b/>
          <w:bCs/>
          <w:color w:val="4EA72E" w:themeColor="accent6"/>
          <w:sz w:val="40"/>
          <w:szCs w:val="40"/>
        </w:rPr>
      </w:pPr>
    </w:p>
    <w:p w14:paraId="101CF991" w14:textId="77777777" w:rsidR="00CC4AC5" w:rsidRDefault="00CC4AC5" w:rsidP="00CC4AC5">
      <w:pPr>
        <w:jc w:val="center"/>
        <w:rPr>
          <w:rFonts w:ascii="Times New Roman" w:hAnsi="Times New Roman" w:cs="Times New Roman"/>
          <w:b/>
          <w:bCs/>
          <w:color w:val="4EA72E" w:themeColor="accent6"/>
          <w:sz w:val="40"/>
          <w:szCs w:val="40"/>
        </w:rPr>
      </w:pPr>
    </w:p>
    <w:p w14:paraId="63BF6960" w14:textId="77777777" w:rsidR="00CC4AC5" w:rsidRDefault="00CC4AC5" w:rsidP="00CC4AC5">
      <w:pPr>
        <w:jc w:val="center"/>
        <w:rPr>
          <w:rFonts w:ascii="Times New Roman" w:hAnsi="Times New Roman" w:cs="Times New Roman"/>
          <w:b/>
          <w:bCs/>
          <w:color w:val="4EA72E" w:themeColor="accent6"/>
          <w:sz w:val="40"/>
          <w:szCs w:val="40"/>
        </w:rPr>
      </w:pPr>
    </w:p>
    <w:p w14:paraId="3781C1C7" w14:textId="429EDE35" w:rsidR="00572FFB" w:rsidRPr="003423DB" w:rsidRDefault="00572FFB" w:rsidP="00872375">
      <w:pPr>
        <w:pStyle w:val="Title"/>
        <w:jc w:val="center"/>
        <w:rPr>
          <w:rFonts w:ascii="Times New Roman" w:hAnsi="Times New Roman" w:cs="Times New Roman"/>
          <w:b/>
          <w:bCs/>
          <w:color w:val="4EA72E" w:themeColor="accent6"/>
        </w:rPr>
      </w:pPr>
      <w:r w:rsidRPr="003423DB">
        <w:rPr>
          <w:rFonts w:ascii="Times New Roman" w:hAnsi="Times New Roman" w:cs="Times New Roman"/>
          <w:b/>
          <w:bCs/>
          <w:color w:val="4EA72E" w:themeColor="accent6"/>
        </w:rPr>
        <w:t>EVALUATING DATA SOURCES FOR INVESTMENT DECISION-MAKING</w:t>
      </w:r>
    </w:p>
    <w:p w14:paraId="07F3B9DA" w14:textId="77777777" w:rsidR="00572FFB" w:rsidRPr="003423DB" w:rsidRDefault="00572FFB" w:rsidP="00CC4AC5">
      <w:pPr>
        <w:jc w:val="center"/>
        <w:rPr>
          <w:rFonts w:ascii="Times New Roman" w:hAnsi="Times New Roman" w:cs="Times New Roman"/>
          <w:color w:val="4EA72E" w:themeColor="accent6"/>
          <w:sz w:val="24"/>
          <w:szCs w:val="24"/>
        </w:rPr>
      </w:pPr>
      <w:r w:rsidRPr="003423DB">
        <w:rPr>
          <w:rFonts w:ascii="Times New Roman" w:hAnsi="Times New Roman" w:cs="Times New Roman"/>
          <w:color w:val="4EA72E" w:themeColor="accent6"/>
          <w:sz w:val="24"/>
          <w:szCs w:val="24"/>
        </w:rPr>
        <w:t>Vendor Comparison Study</w:t>
      </w:r>
    </w:p>
    <w:p w14:paraId="2C2D8968" w14:textId="77777777" w:rsidR="00572FFB" w:rsidRPr="00572FFB" w:rsidRDefault="00572FFB" w:rsidP="00CC4AC5">
      <w:pPr>
        <w:jc w:val="center"/>
        <w:rPr>
          <w:rFonts w:ascii="Times New Roman" w:hAnsi="Times New Roman" w:cs="Times New Roman"/>
          <w:sz w:val="24"/>
          <w:szCs w:val="24"/>
        </w:rPr>
      </w:pPr>
      <w:r w:rsidRPr="00572FFB">
        <w:rPr>
          <w:rFonts w:ascii="Times New Roman" w:hAnsi="Times New Roman" w:cs="Times New Roman"/>
          <w:sz w:val="24"/>
          <w:szCs w:val="24"/>
        </w:rPr>
        <w:t>Energy Sector Alternative Data Analysis</w:t>
      </w:r>
    </w:p>
    <w:p w14:paraId="515C922E" w14:textId="34D5A468" w:rsidR="00572FFB" w:rsidRPr="00572FFB" w:rsidRDefault="00572FFB" w:rsidP="00872375">
      <w:pPr>
        <w:jc w:val="center"/>
        <w:rPr>
          <w:rFonts w:ascii="Times New Roman" w:hAnsi="Times New Roman" w:cs="Times New Roman"/>
          <w:sz w:val="24"/>
          <w:szCs w:val="24"/>
        </w:rPr>
      </w:pPr>
      <w:r w:rsidRPr="00572FFB">
        <w:rPr>
          <w:rFonts w:ascii="Times New Roman" w:hAnsi="Times New Roman" w:cs="Times New Roman"/>
          <w:sz w:val="24"/>
          <w:szCs w:val="24"/>
        </w:rPr>
        <w:t>2026</w:t>
      </w:r>
    </w:p>
    <w:p w14:paraId="6760D091" w14:textId="77777777" w:rsidR="00572FFB" w:rsidRPr="00572FFB" w:rsidRDefault="00572FFB" w:rsidP="00572FFB">
      <w:pPr>
        <w:rPr>
          <w:rFonts w:ascii="Times New Roman" w:hAnsi="Times New Roman" w:cs="Times New Roman"/>
          <w:sz w:val="24"/>
          <w:szCs w:val="24"/>
        </w:rPr>
      </w:pPr>
    </w:p>
    <w:p w14:paraId="0CC4F429" w14:textId="77777777" w:rsidR="00872375" w:rsidRDefault="00872375" w:rsidP="00572FFB">
      <w:pPr>
        <w:rPr>
          <w:rFonts w:ascii="Times New Roman" w:hAnsi="Times New Roman" w:cs="Times New Roman"/>
          <w:sz w:val="24"/>
          <w:szCs w:val="24"/>
        </w:rPr>
      </w:pPr>
    </w:p>
    <w:p w14:paraId="3666AA39" w14:textId="77777777" w:rsidR="00872375" w:rsidRDefault="00872375" w:rsidP="00572FFB">
      <w:pPr>
        <w:rPr>
          <w:rFonts w:ascii="Times New Roman" w:hAnsi="Times New Roman" w:cs="Times New Roman"/>
          <w:sz w:val="24"/>
          <w:szCs w:val="24"/>
        </w:rPr>
      </w:pPr>
    </w:p>
    <w:p w14:paraId="72E8C80D" w14:textId="77777777" w:rsidR="00872375" w:rsidRDefault="00872375" w:rsidP="00572FFB">
      <w:pPr>
        <w:rPr>
          <w:rFonts w:ascii="Times New Roman" w:hAnsi="Times New Roman" w:cs="Times New Roman"/>
          <w:sz w:val="24"/>
          <w:szCs w:val="24"/>
        </w:rPr>
      </w:pPr>
    </w:p>
    <w:p w14:paraId="72D21508" w14:textId="77777777" w:rsidR="00872375" w:rsidRDefault="00872375" w:rsidP="00572FFB">
      <w:pPr>
        <w:rPr>
          <w:rFonts w:ascii="Times New Roman" w:hAnsi="Times New Roman" w:cs="Times New Roman"/>
          <w:sz w:val="24"/>
          <w:szCs w:val="24"/>
        </w:rPr>
      </w:pPr>
    </w:p>
    <w:p w14:paraId="76F9DF6F" w14:textId="77777777" w:rsidR="00872375" w:rsidRDefault="00872375" w:rsidP="00572FFB">
      <w:pPr>
        <w:rPr>
          <w:rFonts w:ascii="Times New Roman" w:hAnsi="Times New Roman" w:cs="Times New Roman"/>
          <w:sz w:val="24"/>
          <w:szCs w:val="24"/>
        </w:rPr>
      </w:pPr>
    </w:p>
    <w:p w14:paraId="1FCCA8DE" w14:textId="77777777" w:rsidR="00872375" w:rsidRDefault="00872375" w:rsidP="00572FFB">
      <w:pPr>
        <w:rPr>
          <w:rFonts w:ascii="Times New Roman" w:hAnsi="Times New Roman" w:cs="Times New Roman"/>
          <w:sz w:val="24"/>
          <w:szCs w:val="24"/>
        </w:rPr>
      </w:pPr>
    </w:p>
    <w:p w14:paraId="38FB72E1" w14:textId="77777777" w:rsidR="00872375" w:rsidRDefault="00872375" w:rsidP="00572FFB">
      <w:pPr>
        <w:rPr>
          <w:rFonts w:ascii="Times New Roman" w:hAnsi="Times New Roman" w:cs="Times New Roman"/>
          <w:sz w:val="24"/>
          <w:szCs w:val="24"/>
        </w:rPr>
      </w:pPr>
    </w:p>
    <w:p w14:paraId="51BFFEBB" w14:textId="77777777" w:rsidR="00872375" w:rsidRDefault="00872375" w:rsidP="00572FFB">
      <w:pPr>
        <w:rPr>
          <w:rFonts w:ascii="Times New Roman" w:hAnsi="Times New Roman" w:cs="Times New Roman"/>
          <w:sz w:val="24"/>
          <w:szCs w:val="24"/>
        </w:rPr>
      </w:pPr>
    </w:p>
    <w:p w14:paraId="7D644BF0" w14:textId="77777777" w:rsidR="00872375" w:rsidRDefault="00872375" w:rsidP="00572FFB">
      <w:pPr>
        <w:rPr>
          <w:rFonts w:ascii="Times New Roman" w:hAnsi="Times New Roman" w:cs="Times New Roman"/>
          <w:sz w:val="24"/>
          <w:szCs w:val="24"/>
        </w:rPr>
      </w:pPr>
    </w:p>
    <w:p w14:paraId="35D29EE2" w14:textId="77777777" w:rsidR="00872375" w:rsidRDefault="00872375" w:rsidP="00572FFB">
      <w:pPr>
        <w:rPr>
          <w:rFonts w:ascii="Times New Roman" w:hAnsi="Times New Roman" w:cs="Times New Roman"/>
          <w:sz w:val="24"/>
          <w:szCs w:val="24"/>
        </w:rPr>
      </w:pPr>
    </w:p>
    <w:p w14:paraId="0E90CA21" w14:textId="77777777" w:rsidR="00872375" w:rsidRDefault="00872375" w:rsidP="00572FFB">
      <w:pPr>
        <w:rPr>
          <w:rFonts w:ascii="Times New Roman" w:hAnsi="Times New Roman" w:cs="Times New Roman"/>
          <w:sz w:val="24"/>
          <w:szCs w:val="24"/>
        </w:rPr>
      </w:pPr>
    </w:p>
    <w:p w14:paraId="1B741F48" w14:textId="77777777" w:rsidR="00872375" w:rsidRDefault="00872375" w:rsidP="00572FFB">
      <w:pPr>
        <w:rPr>
          <w:rFonts w:ascii="Times New Roman" w:hAnsi="Times New Roman" w:cs="Times New Roman"/>
          <w:sz w:val="24"/>
          <w:szCs w:val="24"/>
        </w:rPr>
      </w:pPr>
    </w:p>
    <w:p w14:paraId="5C47761F" w14:textId="77777777" w:rsidR="00872375" w:rsidRDefault="00872375" w:rsidP="00572FFB">
      <w:pPr>
        <w:rPr>
          <w:rFonts w:ascii="Times New Roman" w:hAnsi="Times New Roman" w:cs="Times New Roman"/>
          <w:sz w:val="24"/>
          <w:szCs w:val="24"/>
        </w:rPr>
      </w:pPr>
    </w:p>
    <w:p w14:paraId="4BE0E4B3" w14:textId="77777777" w:rsidR="00872375" w:rsidRDefault="00872375" w:rsidP="00572FFB">
      <w:pPr>
        <w:rPr>
          <w:rFonts w:ascii="Times New Roman" w:hAnsi="Times New Roman" w:cs="Times New Roman"/>
          <w:sz w:val="24"/>
          <w:szCs w:val="24"/>
        </w:rPr>
      </w:pPr>
    </w:p>
    <w:p w14:paraId="33150A3D" w14:textId="77777777" w:rsidR="00872375" w:rsidRDefault="00872375" w:rsidP="00572FFB">
      <w:pPr>
        <w:rPr>
          <w:rFonts w:ascii="Times New Roman" w:hAnsi="Times New Roman" w:cs="Times New Roman"/>
          <w:sz w:val="24"/>
          <w:szCs w:val="24"/>
        </w:rPr>
      </w:pPr>
    </w:p>
    <w:p w14:paraId="4C62C95E" w14:textId="366C6282" w:rsidR="00572FFB" w:rsidRPr="00F90994" w:rsidRDefault="00224EDE" w:rsidP="00F75EEA">
      <w:pPr>
        <w:pStyle w:val="Heading2"/>
        <w:rPr>
          <w:rFonts w:ascii="Times New Roman" w:hAnsi="Times New Roman" w:cs="Times New Roman"/>
          <w:color w:val="4EA72E" w:themeColor="accent6"/>
        </w:rPr>
      </w:pPr>
      <w:r w:rsidRPr="00F90994">
        <w:rPr>
          <w:rFonts w:ascii="Times New Roman" w:hAnsi="Times New Roman" w:cs="Times New Roman"/>
          <w:color w:val="4EA72E" w:themeColor="accent6"/>
        </w:rPr>
        <w:lastRenderedPageBreak/>
        <w:t>Executive Summary</w:t>
      </w:r>
    </w:p>
    <w:p w14:paraId="5187B35F" w14:textId="1F5282B0" w:rsidR="00572FFB" w:rsidRPr="00572FFB" w:rsidRDefault="00572FFB" w:rsidP="00DA1BDC">
      <w:pPr>
        <w:spacing w:line="360" w:lineRule="auto"/>
        <w:jc w:val="both"/>
        <w:rPr>
          <w:rFonts w:ascii="Times New Roman" w:hAnsi="Times New Roman" w:cs="Times New Roman"/>
          <w:sz w:val="24"/>
          <w:szCs w:val="24"/>
        </w:rPr>
      </w:pPr>
      <w:r w:rsidRPr="00572FFB">
        <w:rPr>
          <w:rFonts w:ascii="Times New Roman" w:hAnsi="Times New Roman" w:cs="Times New Roman"/>
          <w:sz w:val="24"/>
          <w:szCs w:val="24"/>
        </w:rPr>
        <w:t>This study evaluates 9 leading alternative data vendors serving energy sector institutional investors. The analysis assesses vendor capability across three key dimensions: relevance to energy investment decisions, timeliness of data delivery, and implementation ease.</w:t>
      </w:r>
      <w:r w:rsidR="00F75EEA">
        <w:rPr>
          <w:rFonts w:ascii="Times New Roman" w:hAnsi="Times New Roman" w:cs="Times New Roman"/>
          <w:sz w:val="24"/>
          <w:szCs w:val="24"/>
        </w:rPr>
        <w:tab/>
      </w:r>
    </w:p>
    <w:p w14:paraId="3CCD4A7E" w14:textId="6FBEE51E" w:rsidR="00572FFB" w:rsidRPr="00EE4EEE" w:rsidRDefault="00F75EEA" w:rsidP="00DA1BDC">
      <w:pPr>
        <w:spacing w:line="360" w:lineRule="auto"/>
        <w:rPr>
          <w:rFonts w:ascii="Times New Roman" w:hAnsi="Times New Roman" w:cs="Times New Roman"/>
          <w:i/>
          <w:iCs/>
          <w:sz w:val="24"/>
          <w:szCs w:val="24"/>
        </w:rPr>
      </w:pPr>
      <w:r w:rsidRPr="00EE4EEE">
        <w:rPr>
          <w:rFonts w:ascii="Times New Roman" w:hAnsi="Times New Roman" w:cs="Times New Roman"/>
          <w:i/>
          <w:iCs/>
          <w:sz w:val="24"/>
          <w:szCs w:val="24"/>
        </w:rPr>
        <w:t>Key Findings:</w:t>
      </w:r>
    </w:p>
    <w:p w14:paraId="57C86837" w14:textId="08A13E87" w:rsidR="00572FFB" w:rsidRPr="00F75EEA" w:rsidRDefault="00572FFB" w:rsidP="00DA1BDC">
      <w:pPr>
        <w:pStyle w:val="ListParagraph"/>
        <w:numPr>
          <w:ilvl w:val="0"/>
          <w:numId w:val="1"/>
        </w:numPr>
        <w:spacing w:line="360" w:lineRule="auto"/>
        <w:rPr>
          <w:rFonts w:ascii="Times New Roman" w:hAnsi="Times New Roman" w:cs="Times New Roman"/>
          <w:sz w:val="24"/>
          <w:szCs w:val="24"/>
        </w:rPr>
      </w:pPr>
      <w:r w:rsidRPr="00F75EEA">
        <w:rPr>
          <w:rFonts w:ascii="Times New Roman" w:hAnsi="Times New Roman" w:cs="Times New Roman"/>
          <w:sz w:val="24"/>
          <w:szCs w:val="24"/>
        </w:rPr>
        <w:t xml:space="preserve">7 Tier 1 Essential vendors provide real-time supply/demand/risk </w:t>
      </w:r>
      <w:r w:rsidR="00F75EEA" w:rsidRPr="00F75EEA">
        <w:rPr>
          <w:rFonts w:ascii="Times New Roman" w:hAnsi="Times New Roman" w:cs="Times New Roman"/>
          <w:sz w:val="24"/>
          <w:szCs w:val="24"/>
        </w:rPr>
        <w:t>monitoring critical</w:t>
      </w:r>
      <w:r w:rsidRPr="00F75EEA">
        <w:rPr>
          <w:rFonts w:ascii="Times New Roman" w:hAnsi="Times New Roman" w:cs="Times New Roman"/>
          <w:sz w:val="24"/>
          <w:szCs w:val="24"/>
        </w:rPr>
        <w:t xml:space="preserve"> for</w:t>
      </w:r>
      <w:r w:rsidR="00F75EEA" w:rsidRPr="00F75EEA">
        <w:rPr>
          <w:rFonts w:ascii="Times New Roman" w:hAnsi="Times New Roman" w:cs="Times New Roman"/>
          <w:sz w:val="24"/>
          <w:szCs w:val="24"/>
        </w:rPr>
        <w:t xml:space="preserve"> </w:t>
      </w:r>
      <w:r w:rsidRPr="00F75EEA">
        <w:rPr>
          <w:rFonts w:ascii="Times New Roman" w:hAnsi="Times New Roman" w:cs="Times New Roman"/>
          <w:sz w:val="24"/>
          <w:szCs w:val="24"/>
        </w:rPr>
        <w:t>energy investors</w:t>
      </w:r>
    </w:p>
    <w:p w14:paraId="44ADC01B" w14:textId="3F8944F6" w:rsidR="00572FFB" w:rsidRPr="00F75EEA" w:rsidRDefault="00572FFB" w:rsidP="00DA1BDC">
      <w:pPr>
        <w:pStyle w:val="ListParagraph"/>
        <w:numPr>
          <w:ilvl w:val="0"/>
          <w:numId w:val="1"/>
        </w:numPr>
        <w:spacing w:line="360" w:lineRule="auto"/>
        <w:rPr>
          <w:rFonts w:ascii="Times New Roman" w:hAnsi="Times New Roman" w:cs="Times New Roman"/>
          <w:sz w:val="24"/>
          <w:szCs w:val="24"/>
        </w:rPr>
      </w:pPr>
      <w:r w:rsidRPr="00F75EEA">
        <w:rPr>
          <w:rFonts w:ascii="Times New Roman" w:hAnsi="Times New Roman" w:cs="Times New Roman"/>
          <w:sz w:val="24"/>
          <w:szCs w:val="24"/>
        </w:rPr>
        <w:t xml:space="preserve">Data sources cover upstream production, midstream logistics, </w:t>
      </w:r>
      <w:r w:rsidR="00F75EEA" w:rsidRPr="00F75EEA">
        <w:rPr>
          <w:rFonts w:ascii="Times New Roman" w:hAnsi="Times New Roman" w:cs="Times New Roman"/>
          <w:sz w:val="24"/>
          <w:szCs w:val="24"/>
        </w:rPr>
        <w:t>downstream refining</w:t>
      </w:r>
      <w:r w:rsidRPr="00F75EEA">
        <w:rPr>
          <w:rFonts w:ascii="Times New Roman" w:hAnsi="Times New Roman" w:cs="Times New Roman"/>
          <w:sz w:val="24"/>
          <w:szCs w:val="24"/>
        </w:rPr>
        <w:t>, and trading signals</w:t>
      </w:r>
    </w:p>
    <w:p w14:paraId="657B4296" w14:textId="35CF83E8" w:rsidR="00572FFB" w:rsidRPr="00DA1BDC" w:rsidRDefault="00572FFB" w:rsidP="00572FFB">
      <w:pPr>
        <w:pStyle w:val="ListParagraph"/>
        <w:numPr>
          <w:ilvl w:val="0"/>
          <w:numId w:val="1"/>
        </w:numPr>
        <w:spacing w:line="360" w:lineRule="auto"/>
        <w:rPr>
          <w:rFonts w:ascii="Times New Roman" w:hAnsi="Times New Roman" w:cs="Times New Roman"/>
          <w:sz w:val="24"/>
          <w:szCs w:val="24"/>
        </w:rPr>
      </w:pPr>
      <w:r w:rsidRPr="00F75EEA">
        <w:rPr>
          <w:rFonts w:ascii="Times New Roman" w:hAnsi="Times New Roman" w:cs="Times New Roman"/>
          <w:sz w:val="24"/>
          <w:szCs w:val="24"/>
        </w:rPr>
        <w:t>Estimated total investment: $400K-$800K annually for comprehensive data stack</w:t>
      </w:r>
    </w:p>
    <w:p w14:paraId="24BC1874" w14:textId="1000808A" w:rsidR="00572FFB" w:rsidRPr="00572FFB" w:rsidRDefault="00A4765B" w:rsidP="00DA1BDC">
      <w:pPr>
        <w:spacing w:line="360" w:lineRule="auto"/>
        <w:rPr>
          <w:rFonts w:ascii="Times New Roman" w:hAnsi="Times New Roman" w:cs="Times New Roman"/>
          <w:sz w:val="24"/>
          <w:szCs w:val="24"/>
        </w:rPr>
      </w:pPr>
      <w:r w:rsidRPr="00A4765B">
        <w:rPr>
          <w:rFonts w:ascii="Times New Roman" w:hAnsi="Times New Roman" w:cs="Times New Roman"/>
          <w:b/>
          <w:bCs/>
          <w:sz w:val="24"/>
          <w:szCs w:val="24"/>
        </w:rPr>
        <w:t>Recommendation</w:t>
      </w:r>
      <w:r w:rsidR="00572FFB" w:rsidRPr="00A4765B">
        <w:rPr>
          <w:rFonts w:ascii="Times New Roman" w:hAnsi="Times New Roman" w:cs="Times New Roman"/>
          <w:b/>
          <w:bCs/>
          <w:sz w:val="24"/>
          <w:szCs w:val="24"/>
        </w:rPr>
        <w:t>:</w:t>
      </w:r>
      <w:r w:rsidR="00572FFB" w:rsidRPr="00572FFB">
        <w:rPr>
          <w:rFonts w:ascii="Times New Roman" w:hAnsi="Times New Roman" w:cs="Times New Roman"/>
          <w:sz w:val="24"/>
          <w:szCs w:val="24"/>
        </w:rPr>
        <w:t xml:space="preserve"> </w:t>
      </w:r>
      <w:r w:rsidR="00572FFB" w:rsidRPr="00A4765B">
        <w:rPr>
          <w:rStyle w:val="SubtleEmphasis"/>
          <w:rFonts w:ascii="Times New Roman" w:hAnsi="Times New Roman" w:cs="Times New Roman"/>
        </w:rPr>
        <w:t>Prioritize Tier 1 vendors (</w:t>
      </w:r>
      <w:proofErr w:type="spellStart"/>
      <w:r w:rsidR="00572FFB" w:rsidRPr="00A4765B">
        <w:rPr>
          <w:rStyle w:val="SubtleEmphasis"/>
          <w:rFonts w:ascii="Times New Roman" w:hAnsi="Times New Roman" w:cs="Times New Roman"/>
        </w:rPr>
        <w:t>Kpler</w:t>
      </w:r>
      <w:proofErr w:type="spellEnd"/>
      <w:r w:rsidR="00572FFB" w:rsidRPr="00A4765B">
        <w:rPr>
          <w:rStyle w:val="SubtleEmphasis"/>
          <w:rFonts w:ascii="Times New Roman" w:hAnsi="Times New Roman" w:cs="Times New Roman"/>
        </w:rPr>
        <w:t xml:space="preserve">, Privateer, </w:t>
      </w:r>
      <w:proofErr w:type="spellStart"/>
      <w:r w:rsidR="00572FFB" w:rsidRPr="00A4765B">
        <w:rPr>
          <w:rStyle w:val="SubtleEmphasis"/>
          <w:rFonts w:ascii="Times New Roman" w:hAnsi="Times New Roman" w:cs="Times New Roman"/>
        </w:rPr>
        <w:t>Enverus</w:t>
      </w:r>
      <w:proofErr w:type="spellEnd"/>
      <w:r w:rsidR="00572FFB" w:rsidRPr="00A4765B">
        <w:rPr>
          <w:rStyle w:val="SubtleEmphasis"/>
          <w:rFonts w:ascii="Times New Roman" w:hAnsi="Times New Roman" w:cs="Times New Roman"/>
        </w:rPr>
        <w:t xml:space="preserve">, </w:t>
      </w:r>
      <w:proofErr w:type="spellStart"/>
      <w:r w:rsidR="00572FFB" w:rsidRPr="00A4765B">
        <w:rPr>
          <w:rStyle w:val="SubtleEmphasis"/>
          <w:rFonts w:ascii="Times New Roman" w:hAnsi="Times New Roman" w:cs="Times New Roman"/>
        </w:rPr>
        <w:t>Kayrros</w:t>
      </w:r>
      <w:proofErr w:type="spellEnd"/>
      <w:r w:rsidR="00572FFB" w:rsidRPr="00A4765B">
        <w:rPr>
          <w:rStyle w:val="SubtleEmphasis"/>
          <w:rFonts w:ascii="Times New Roman" w:hAnsi="Times New Roman" w:cs="Times New Roman"/>
        </w:rPr>
        <w:t xml:space="preserve">, YES Energy, </w:t>
      </w:r>
      <w:proofErr w:type="spellStart"/>
      <w:r w:rsidR="00572FFB" w:rsidRPr="00A4765B">
        <w:rPr>
          <w:rStyle w:val="SubtleEmphasis"/>
          <w:rFonts w:ascii="Times New Roman" w:hAnsi="Times New Roman" w:cs="Times New Roman"/>
        </w:rPr>
        <w:t>Vortexa</w:t>
      </w:r>
      <w:proofErr w:type="spellEnd"/>
      <w:r w:rsidR="00572FFB" w:rsidRPr="00A4765B">
        <w:rPr>
          <w:rStyle w:val="SubtleEmphasis"/>
          <w:rFonts w:ascii="Times New Roman" w:hAnsi="Times New Roman" w:cs="Times New Roman"/>
        </w:rPr>
        <w:t xml:space="preserve">, </w:t>
      </w:r>
      <w:proofErr w:type="spellStart"/>
      <w:r w:rsidR="00572FFB" w:rsidRPr="00A4765B">
        <w:rPr>
          <w:rStyle w:val="SubtleEmphasis"/>
          <w:rFonts w:ascii="Times New Roman" w:hAnsi="Times New Roman" w:cs="Times New Roman"/>
        </w:rPr>
        <w:t>MarineTraffic</w:t>
      </w:r>
      <w:proofErr w:type="spellEnd"/>
      <w:r w:rsidR="00572FFB" w:rsidRPr="00A4765B">
        <w:rPr>
          <w:rStyle w:val="SubtleEmphasis"/>
          <w:rFonts w:ascii="Times New Roman" w:hAnsi="Times New Roman" w:cs="Times New Roman"/>
        </w:rPr>
        <w:t>) for institutional investment programs.</w:t>
      </w:r>
      <w:r w:rsidR="00572FFB" w:rsidRPr="00572FFB">
        <w:rPr>
          <w:rFonts w:ascii="Times New Roman" w:hAnsi="Times New Roman" w:cs="Times New Roman"/>
          <w:sz w:val="24"/>
          <w:szCs w:val="24"/>
        </w:rPr>
        <w:t xml:space="preserve"> </w:t>
      </w:r>
    </w:p>
    <w:p w14:paraId="5F02DB54" w14:textId="77777777" w:rsidR="00572FFB" w:rsidRPr="00572FFB" w:rsidRDefault="00572FFB" w:rsidP="00DA1BDC">
      <w:pPr>
        <w:spacing w:line="360" w:lineRule="auto"/>
        <w:rPr>
          <w:rFonts w:ascii="Times New Roman" w:hAnsi="Times New Roman" w:cs="Times New Roman"/>
          <w:sz w:val="24"/>
          <w:szCs w:val="24"/>
        </w:rPr>
      </w:pPr>
      <w:r w:rsidRPr="00572FFB">
        <w:rPr>
          <w:rFonts w:ascii="Times New Roman" w:hAnsi="Times New Roman" w:cs="Times New Roman"/>
          <w:sz w:val="24"/>
          <w:szCs w:val="24"/>
        </w:rPr>
        <w:t>Total score range: 24-27 out of 30.</w:t>
      </w:r>
    </w:p>
    <w:p w14:paraId="0BA50068" w14:textId="77777777" w:rsidR="00572FFB" w:rsidRPr="00572FFB" w:rsidRDefault="00572FFB" w:rsidP="00572FFB">
      <w:pPr>
        <w:rPr>
          <w:rFonts w:ascii="Times New Roman" w:hAnsi="Times New Roman" w:cs="Times New Roman"/>
          <w:sz w:val="24"/>
          <w:szCs w:val="24"/>
        </w:rPr>
      </w:pPr>
    </w:p>
    <w:p w14:paraId="02722C29" w14:textId="16932A0D" w:rsidR="00572FFB" w:rsidRPr="00F90994" w:rsidRDefault="00DA1BDC" w:rsidP="00DA1BDC">
      <w:pPr>
        <w:pStyle w:val="Heading2"/>
        <w:rPr>
          <w:rFonts w:ascii="Times New Roman" w:hAnsi="Times New Roman" w:cs="Times New Roman"/>
          <w:color w:val="4EA72E" w:themeColor="accent6"/>
        </w:rPr>
      </w:pPr>
      <w:r w:rsidRPr="00F90994">
        <w:rPr>
          <w:rFonts w:ascii="Times New Roman" w:hAnsi="Times New Roman" w:cs="Times New Roman"/>
          <w:color w:val="4EA72E" w:themeColor="accent6"/>
        </w:rPr>
        <w:t>Introduction</w:t>
      </w:r>
    </w:p>
    <w:p w14:paraId="060E7480" w14:textId="7B9835F5" w:rsidR="00572FFB" w:rsidRPr="00572FFB" w:rsidRDefault="00572FFB" w:rsidP="00DA1BDC">
      <w:pPr>
        <w:spacing w:line="360" w:lineRule="auto"/>
        <w:jc w:val="both"/>
        <w:rPr>
          <w:rFonts w:ascii="Times New Roman" w:hAnsi="Times New Roman" w:cs="Times New Roman"/>
          <w:sz w:val="24"/>
          <w:szCs w:val="24"/>
        </w:rPr>
      </w:pPr>
      <w:r w:rsidRPr="00572FFB">
        <w:rPr>
          <w:rFonts w:ascii="Times New Roman" w:hAnsi="Times New Roman" w:cs="Times New Roman"/>
          <w:sz w:val="24"/>
          <w:szCs w:val="24"/>
        </w:rPr>
        <w:t>The global energy markets face unprecedented volatility driven by geopolitical tensions, the energy transition, and shifting supply dynamics. Institutional investors managing hedge funds and private equity portfolios require timely, actionable data to identify opportunities and manage risk in this complex environment.</w:t>
      </w:r>
    </w:p>
    <w:p w14:paraId="13D05C1D" w14:textId="1D300E38" w:rsidR="00572FFB" w:rsidRPr="00572FFB" w:rsidRDefault="00572FFB" w:rsidP="00027BC5">
      <w:pPr>
        <w:jc w:val="both"/>
        <w:rPr>
          <w:rFonts w:ascii="Times New Roman" w:hAnsi="Times New Roman" w:cs="Times New Roman"/>
          <w:sz w:val="24"/>
          <w:szCs w:val="24"/>
        </w:rPr>
      </w:pPr>
      <w:r w:rsidRPr="00572FFB">
        <w:rPr>
          <w:rFonts w:ascii="Times New Roman" w:hAnsi="Times New Roman" w:cs="Times New Roman"/>
          <w:sz w:val="24"/>
          <w:szCs w:val="24"/>
        </w:rPr>
        <w:t>Traditional financial data (earnings reports, analyst notes) arrives with significant lag. Alternative data sources</w:t>
      </w:r>
      <w:r w:rsidR="00DA1BDC">
        <w:rPr>
          <w:rFonts w:ascii="Times New Roman" w:hAnsi="Times New Roman" w:cs="Times New Roman"/>
          <w:sz w:val="24"/>
          <w:szCs w:val="24"/>
        </w:rPr>
        <w:t xml:space="preserve">, </w:t>
      </w:r>
      <w:r w:rsidRPr="00572FFB">
        <w:rPr>
          <w:rFonts w:ascii="Times New Roman" w:hAnsi="Times New Roman" w:cs="Times New Roman"/>
          <w:sz w:val="24"/>
          <w:szCs w:val="24"/>
        </w:rPr>
        <w:t>satellite imagery, real-time shipment tracking, production monitoring, and market signals</w:t>
      </w:r>
      <w:r w:rsidR="00DA1BDC">
        <w:rPr>
          <w:rFonts w:ascii="Times New Roman" w:hAnsi="Times New Roman" w:cs="Times New Roman"/>
          <w:sz w:val="24"/>
          <w:szCs w:val="24"/>
        </w:rPr>
        <w:t xml:space="preserve">, </w:t>
      </w:r>
      <w:r w:rsidRPr="00572FFB">
        <w:rPr>
          <w:rFonts w:ascii="Times New Roman" w:hAnsi="Times New Roman" w:cs="Times New Roman"/>
          <w:sz w:val="24"/>
          <w:szCs w:val="24"/>
        </w:rPr>
        <w:t>provide early-warning indicators of market shifts.</w:t>
      </w:r>
    </w:p>
    <w:p w14:paraId="7E993C1D" w14:textId="10655CEE" w:rsidR="00572FFB" w:rsidRPr="00EE4EEE" w:rsidRDefault="00D90FBF" w:rsidP="00572FFB">
      <w:pPr>
        <w:rPr>
          <w:rFonts w:ascii="Times New Roman" w:hAnsi="Times New Roman" w:cs="Times New Roman"/>
          <w:i/>
          <w:iCs/>
          <w:sz w:val="24"/>
          <w:szCs w:val="24"/>
        </w:rPr>
      </w:pPr>
      <w:r w:rsidRPr="00EE4EEE">
        <w:rPr>
          <w:rFonts w:ascii="Times New Roman" w:hAnsi="Times New Roman" w:cs="Times New Roman"/>
          <w:i/>
          <w:iCs/>
          <w:sz w:val="24"/>
          <w:szCs w:val="24"/>
        </w:rPr>
        <w:t>Scope of This Study</w:t>
      </w:r>
      <w:r w:rsidR="00572FFB" w:rsidRPr="00EE4EEE">
        <w:rPr>
          <w:rFonts w:ascii="Times New Roman" w:hAnsi="Times New Roman" w:cs="Times New Roman"/>
          <w:i/>
          <w:iCs/>
          <w:sz w:val="24"/>
          <w:szCs w:val="24"/>
        </w:rPr>
        <w:t>:</w:t>
      </w:r>
    </w:p>
    <w:p w14:paraId="639372BB" w14:textId="2DE48B5B" w:rsidR="00572FFB" w:rsidRPr="00EE4EEE" w:rsidRDefault="00572FFB" w:rsidP="00EE4EEE">
      <w:pPr>
        <w:pStyle w:val="ListParagraph"/>
        <w:numPr>
          <w:ilvl w:val="0"/>
          <w:numId w:val="2"/>
        </w:numPr>
        <w:spacing w:line="360" w:lineRule="auto"/>
        <w:rPr>
          <w:rFonts w:ascii="Times New Roman" w:hAnsi="Times New Roman" w:cs="Times New Roman"/>
          <w:sz w:val="24"/>
          <w:szCs w:val="24"/>
        </w:rPr>
      </w:pPr>
      <w:r w:rsidRPr="00EE4EEE">
        <w:rPr>
          <w:rFonts w:ascii="Times New Roman" w:hAnsi="Times New Roman" w:cs="Times New Roman"/>
          <w:sz w:val="24"/>
          <w:szCs w:val="24"/>
        </w:rPr>
        <w:t>Vendors Evaluated: 9 leading alternative data providers serving energy sector investors</w:t>
      </w:r>
      <w:r w:rsidR="00EE4EEE" w:rsidRPr="00EE4EEE">
        <w:rPr>
          <w:rFonts w:ascii="Times New Roman" w:hAnsi="Times New Roman" w:cs="Times New Roman"/>
          <w:sz w:val="24"/>
          <w:szCs w:val="24"/>
        </w:rPr>
        <w:t>.</w:t>
      </w:r>
    </w:p>
    <w:p w14:paraId="264A91B8" w14:textId="3026457D" w:rsidR="00572FFB" w:rsidRPr="00EE4EEE" w:rsidRDefault="00572FFB" w:rsidP="00EE4EEE">
      <w:pPr>
        <w:pStyle w:val="ListParagraph"/>
        <w:numPr>
          <w:ilvl w:val="0"/>
          <w:numId w:val="2"/>
        </w:numPr>
        <w:spacing w:line="360" w:lineRule="auto"/>
        <w:rPr>
          <w:rFonts w:ascii="Times New Roman" w:hAnsi="Times New Roman" w:cs="Times New Roman"/>
          <w:sz w:val="24"/>
          <w:szCs w:val="24"/>
        </w:rPr>
      </w:pPr>
      <w:r w:rsidRPr="00EE4EEE">
        <w:rPr>
          <w:rFonts w:ascii="Times New Roman" w:hAnsi="Times New Roman" w:cs="Times New Roman"/>
          <w:sz w:val="24"/>
          <w:szCs w:val="24"/>
        </w:rPr>
        <w:t>Geographic Focus: Global energy markets with emphasis on crude, LNG, power, and trading</w:t>
      </w:r>
      <w:r w:rsidR="00EE4EEE" w:rsidRPr="00EE4EEE">
        <w:rPr>
          <w:rFonts w:ascii="Times New Roman" w:hAnsi="Times New Roman" w:cs="Times New Roman"/>
          <w:sz w:val="24"/>
          <w:szCs w:val="24"/>
        </w:rPr>
        <w:t>.</w:t>
      </w:r>
    </w:p>
    <w:p w14:paraId="0C2173F3" w14:textId="4F945A41" w:rsidR="00572FFB" w:rsidRPr="00EE4EEE" w:rsidRDefault="00572FFB" w:rsidP="00EE4EEE">
      <w:pPr>
        <w:pStyle w:val="ListParagraph"/>
        <w:numPr>
          <w:ilvl w:val="0"/>
          <w:numId w:val="2"/>
        </w:numPr>
        <w:spacing w:line="360" w:lineRule="auto"/>
        <w:rPr>
          <w:rFonts w:ascii="Times New Roman" w:hAnsi="Times New Roman" w:cs="Times New Roman"/>
          <w:sz w:val="24"/>
          <w:szCs w:val="24"/>
        </w:rPr>
      </w:pPr>
      <w:r w:rsidRPr="00EE4EEE">
        <w:rPr>
          <w:rFonts w:ascii="Times New Roman" w:hAnsi="Times New Roman" w:cs="Times New Roman"/>
          <w:sz w:val="24"/>
          <w:szCs w:val="24"/>
        </w:rPr>
        <w:t xml:space="preserve">Scoring Dimensions: Relevance to investment decisions, data </w:t>
      </w:r>
      <w:r w:rsidR="00EE4EEE" w:rsidRPr="00EE4EEE">
        <w:rPr>
          <w:rFonts w:ascii="Times New Roman" w:hAnsi="Times New Roman" w:cs="Times New Roman"/>
          <w:sz w:val="24"/>
          <w:szCs w:val="24"/>
        </w:rPr>
        <w:t>timeliness,</w:t>
      </w:r>
      <w:r w:rsidR="00EE4EEE">
        <w:rPr>
          <w:rFonts w:ascii="Times New Roman" w:hAnsi="Times New Roman" w:cs="Times New Roman"/>
          <w:sz w:val="24"/>
          <w:szCs w:val="24"/>
        </w:rPr>
        <w:t xml:space="preserve"> </w:t>
      </w:r>
      <w:r w:rsidR="00EE4EEE" w:rsidRPr="00EE4EEE">
        <w:rPr>
          <w:rFonts w:ascii="Times New Roman" w:hAnsi="Times New Roman" w:cs="Times New Roman"/>
          <w:sz w:val="24"/>
          <w:szCs w:val="24"/>
        </w:rPr>
        <w:t>implementation</w:t>
      </w:r>
      <w:r w:rsidRPr="00EE4EEE">
        <w:rPr>
          <w:rFonts w:ascii="Times New Roman" w:hAnsi="Times New Roman" w:cs="Times New Roman"/>
          <w:sz w:val="24"/>
          <w:szCs w:val="24"/>
        </w:rPr>
        <w:t xml:space="preserve"> complexity</w:t>
      </w:r>
      <w:r w:rsidR="00EE4EEE" w:rsidRPr="00EE4EEE">
        <w:rPr>
          <w:rFonts w:ascii="Times New Roman" w:hAnsi="Times New Roman" w:cs="Times New Roman"/>
          <w:sz w:val="24"/>
          <w:szCs w:val="24"/>
        </w:rPr>
        <w:t>.</w:t>
      </w:r>
    </w:p>
    <w:p w14:paraId="4F3E89AD" w14:textId="6934A5E0" w:rsidR="00572FFB" w:rsidRPr="00027BC5" w:rsidRDefault="00572FFB" w:rsidP="00572FFB">
      <w:pPr>
        <w:pStyle w:val="ListParagraph"/>
        <w:numPr>
          <w:ilvl w:val="0"/>
          <w:numId w:val="2"/>
        </w:numPr>
        <w:spacing w:line="360" w:lineRule="auto"/>
        <w:rPr>
          <w:rFonts w:ascii="Times New Roman" w:hAnsi="Times New Roman" w:cs="Times New Roman"/>
          <w:sz w:val="24"/>
          <w:szCs w:val="24"/>
        </w:rPr>
      </w:pPr>
      <w:r w:rsidRPr="00027BC5">
        <w:rPr>
          <w:rFonts w:ascii="Times New Roman" w:hAnsi="Times New Roman" w:cs="Times New Roman"/>
          <w:sz w:val="24"/>
          <w:szCs w:val="24"/>
        </w:rPr>
        <w:t>Research Context: Geopolitical tensions in Middle East and their impact on energy supply</w:t>
      </w:r>
      <w:r w:rsidR="00EE4EEE" w:rsidRPr="00027BC5">
        <w:rPr>
          <w:rFonts w:ascii="Times New Roman" w:hAnsi="Times New Roman" w:cs="Times New Roman"/>
          <w:sz w:val="24"/>
          <w:szCs w:val="24"/>
        </w:rPr>
        <w:t>.</w:t>
      </w:r>
    </w:p>
    <w:p w14:paraId="64A3C169" w14:textId="1BA3EA6C" w:rsidR="00572FFB" w:rsidRPr="00027BC5" w:rsidRDefault="00027BC5" w:rsidP="00027BC5">
      <w:pPr>
        <w:pStyle w:val="Heading2"/>
        <w:rPr>
          <w:rFonts w:ascii="Times New Roman" w:hAnsi="Times New Roman" w:cs="Times New Roman"/>
          <w:color w:val="4EA72E" w:themeColor="accent6"/>
        </w:rPr>
      </w:pPr>
      <w:r w:rsidRPr="00027BC5">
        <w:rPr>
          <w:rFonts w:ascii="Times New Roman" w:hAnsi="Times New Roman" w:cs="Times New Roman"/>
          <w:color w:val="4EA72E" w:themeColor="accent6"/>
        </w:rPr>
        <w:lastRenderedPageBreak/>
        <w:t xml:space="preserve">Vendor </w:t>
      </w:r>
      <w:r>
        <w:rPr>
          <w:rFonts w:ascii="Times New Roman" w:hAnsi="Times New Roman" w:cs="Times New Roman"/>
          <w:color w:val="4EA72E" w:themeColor="accent6"/>
        </w:rPr>
        <w:t>A</w:t>
      </w:r>
      <w:r w:rsidRPr="00027BC5">
        <w:rPr>
          <w:rFonts w:ascii="Times New Roman" w:hAnsi="Times New Roman" w:cs="Times New Roman"/>
          <w:color w:val="4EA72E" w:themeColor="accent6"/>
        </w:rPr>
        <w:t xml:space="preserve">nalysis </w:t>
      </w:r>
      <w:r>
        <w:rPr>
          <w:rFonts w:ascii="Times New Roman" w:hAnsi="Times New Roman" w:cs="Times New Roman"/>
          <w:color w:val="4EA72E" w:themeColor="accent6"/>
        </w:rPr>
        <w:t>F</w:t>
      </w:r>
      <w:r w:rsidRPr="00027BC5">
        <w:rPr>
          <w:rFonts w:ascii="Times New Roman" w:hAnsi="Times New Roman" w:cs="Times New Roman"/>
          <w:color w:val="4EA72E" w:themeColor="accent6"/>
        </w:rPr>
        <w:t>indings</w:t>
      </w:r>
    </w:p>
    <w:p w14:paraId="66F13368" w14:textId="7B9A23CD" w:rsidR="00572FFB" w:rsidRPr="00572FFB" w:rsidRDefault="00572FFB" w:rsidP="00AC0257">
      <w:pPr>
        <w:spacing w:line="360" w:lineRule="auto"/>
        <w:jc w:val="both"/>
        <w:rPr>
          <w:rFonts w:ascii="Times New Roman" w:hAnsi="Times New Roman" w:cs="Times New Roman"/>
          <w:sz w:val="24"/>
          <w:szCs w:val="24"/>
        </w:rPr>
      </w:pPr>
      <w:r w:rsidRPr="00572FFB">
        <w:rPr>
          <w:rFonts w:ascii="Times New Roman" w:hAnsi="Times New Roman" w:cs="Times New Roman"/>
          <w:sz w:val="24"/>
          <w:szCs w:val="24"/>
        </w:rPr>
        <w:t>This section presents detailed findings on each of the 9 vendors evaluated. Vendors are</w:t>
      </w:r>
      <w:r w:rsidR="00027BC5">
        <w:rPr>
          <w:rFonts w:ascii="Times New Roman" w:hAnsi="Times New Roman" w:cs="Times New Roman"/>
          <w:sz w:val="24"/>
          <w:szCs w:val="24"/>
        </w:rPr>
        <w:t xml:space="preserve"> </w:t>
      </w:r>
      <w:r w:rsidRPr="00572FFB">
        <w:rPr>
          <w:rFonts w:ascii="Times New Roman" w:hAnsi="Times New Roman" w:cs="Times New Roman"/>
          <w:sz w:val="24"/>
          <w:szCs w:val="24"/>
        </w:rPr>
        <w:t>organized by tier, with Tier 1 representing essential sources for comprehensive energy market</w:t>
      </w:r>
      <w:r w:rsidR="00027BC5">
        <w:rPr>
          <w:rFonts w:ascii="Times New Roman" w:hAnsi="Times New Roman" w:cs="Times New Roman"/>
          <w:sz w:val="24"/>
          <w:szCs w:val="24"/>
        </w:rPr>
        <w:t xml:space="preserve"> </w:t>
      </w:r>
      <w:r w:rsidRPr="00572FFB">
        <w:rPr>
          <w:rFonts w:ascii="Times New Roman" w:hAnsi="Times New Roman" w:cs="Times New Roman"/>
          <w:sz w:val="24"/>
          <w:szCs w:val="24"/>
        </w:rPr>
        <w:t>monitoring.</w:t>
      </w:r>
    </w:p>
    <w:p w14:paraId="4E4DF81E" w14:textId="00B66247" w:rsidR="00572FFB" w:rsidRPr="0047219B" w:rsidRDefault="00027BC5" w:rsidP="00572FFB">
      <w:pPr>
        <w:rPr>
          <w:rFonts w:ascii="Times New Roman" w:hAnsi="Times New Roman" w:cs="Times New Roman"/>
          <w:b/>
          <w:bCs/>
          <w:i/>
          <w:iCs/>
          <w:sz w:val="24"/>
          <w:szCs w:val="24"/>
        </w:rPr>
      </w:pPr>
      <w:r w:rsidRPr="0047219B">
        <w:rPr>
          <w:rFonts w:ascii="Times New Roman" w:hAnsi="Times New Roman" w:cs="Times New Roman"/>
          <w:b/>
          <w:bCs/>
          <w:i/>
          <w:iCs/>
          <w:sz w:val="24"/>
          <w:szCs w:val="24"/>
        </w:rPr>
        <w:t>Tier 1: Essential Vendors (Score 24-27)</w:t>
      </w:r>
    </w:p>
    <w:p w14:paraId="203480D9" w14:textId="77777777" w:rsidR="00572FFB" w:rsidRPr="00572FFB" w:rsidRDefault="00572FFB" w:rsidP="00572FFB">
      <w:pPr>
        <w:rPr>
          <w:rFonts w:ascii="Times New Roman" w:hAnsi="Times New Roman" w:cs="Times New Roman"/>
          <w:sz w:val="24"/>
          <w:szCs w:val="24"/>
        </w:rPr>
      </w:pPr>
    </w:p>
    <w:p w14:paraId="193FD888" w14:textId="77777777" w:rsidR="00572FFB" w:rsidRPr="0047219B" w:rsidRDefault="00572FFB" w:rsidP="00572FFB">
      <w:pPr>
        <w:rPr>
          <w:rFonts w:ascii="Times New Roman" w:hAnsi="Times New Roman" w:cs="Times New Roman"/>
          <w:b/>
          <w:bCs/>
          <w:sz w:val="24"/>
          <w:szCs w:val="24"/>
        </w:rPr>
      </w:pPr>
      <w:r w:rsidRPr="0047219B">
        <w:rPr>
          <w:rFonts w:ascii="Times New Roman" w:hAnsi="Times New Roman" w:cs="Times New Roman"/>
          <w:b/>
          <w:bCs/>
          <w:sz w:val="24"/>
          <w:szCs w:val="24"/>
        </w:rPr>
        <w:t>1. KPLER: Crude Oil &amp; LNG Supply Intelligence</w:t>
      </w:r>
    </w:p>
    <w:p w14:paraId="792FBBA6" w14:textId="0795D68F" w:rsidR="00572FFB" w:rsidRPr="00572FFB" w:rsidRDefault="00572FFB" w:rsidP="008F0E8A">
      <w:pPr>
        <w:spacing w:line="360" w:lineRule="auto"/>
        <w:jc w:val="both"/>
        <w:rPr>
          <w:rFonts w:ascii="Times New Roman" w:hAnsi="Times New Roman" w:cs="Times New Roman"/>
          <w:sz w:val="24"/>
          <w:szCs w:val="24"/>
        </w:rPr>
      </w:pPr>
      <w:r w:rsidRPr="00572FFB">
        <w:rPr>
          <w:rFonts w:ascii="Times New Roman" w:hAnsi="Times New Roman" w:cs="Times New Roman"/>
          <w:sz w:val="24"/>
          <w:szCs w:val="24"/>
        </w:rPr>
        <w:t>Provides real-time global crude inventory at tank-level, LNG inventory by country, tanker</w:t>
      </w:r>
      <w:r w:rsidR="0018345F">
        <w:rPr>
          <w:rFonts w:ascii="Times New Roman" w:hAnsi="Times New Roman" w:cs="Times New Roman"/>
          <w:sz w:val="24"/>
          <w:szCs w:val="24"/>
        </w:rPr>
        <w:t xml:space="preserve"> </w:t>
      </w:r>
      <w:r w:rsidRPr="00572FFB">
        <w:rPr>
          <w:rFonts w:ascii="Times New Roman" w:hAnsi="Times New Roman" w:cs="Times New Roman"/>
          <w:sz w:val="24"/>
          <w:szCs w:val="24"/>
        </w:rPr>
        <w:t xml:space="preserve">tracking, refinery runs (900+ refineries), refined product trade flows, commodity prices, and supply/demand analytics. Energy investors use </w:t>
      </w:r>
      <w:proofErr w:type="spellStart"/>
      <w:r w:rsidRPr="00572FFB">
        <w:rPr>
          <w:rFonts w:ascii="Times New Roman" w:hAnsi="Times New Roman" w:cs="Times New Roman"/>
          <w:sz w:val="24"/>
          <w:szCs w:val="24"/>
        </w:rPr>
        <w:t>Kpler</w:t>
      </w:r>
      <w:proofErr w:type="spellEnd"/>
      <w:r w:rsidRPr="00572FFB">
        <w:rPr>
          <w:rFonts w:ascii="Times New Roman" w:hAnsi="Times New Roman" w:cs="Times New Roman"/>
          <w:sz w:val="24"/>
          <w:szCs w:val="24"/>
        </w:rPr>
        <w:t xml:space="preserve"> data to predict supply constraints months in advance and capture trading opportunities before traditional data surfaces. </w:t>
      </w:r>
    </w:p>
    <w:p w14:paraId="373ECE29" w14:textId="2C30876C" w:rsidR="00572FFB" w:rsidRPr="00572FFB" w:rsidRDefault="00572FFB" w:rsidP="00572FFB">
      <w:pPr>
        <w:rPr>
          <w:rFonts w:ascii="Times New Roman" w:hAnsi="Times New Roman" w:cs="Times New Roman"/>
          <w:sz w:val="24"/>
          <w:szCs w:val="24"/>
        </w:rPr>
      </w:pPr>
      <w:r w:rsidRPr="00572FFB">
        <w:rPr>
          <w:rFonts w:ascii="Times New Roman" w:hAnsi="Times New Roman" w:cs="Times New Roman"/>
          <w:sz w:val="24"/>
          <w:szCs w:val="24"/>
        </w:rPr>
        <w:t xml:space="preserve">Estimated cost: $150K-$400K+/year. </w:t>
      </w:r>
    </w:p>
    <w:p w14:paraId="7F77C24C" w14:textId="6A576A96" w:rsidR="00572FFB" w:rsidRPr="00572FFB" w:rsidRDefault="00572FFB" w:rsidP="00572FFB">
      <w:pPr>
        <w:rPr>
          <w:rFonts w:ascii="Times New Roman" w:hAnsi="Times New Roman" w:cs="Times New Roman"/>
          <w:sz w:val="24"/>
          <w:szCs w:val="24"/>
        </w:rPr>
      </w:pPr>
      <w:r w:rsidRPr="00572FFB">
        <w:rPr>
          <w:rFonts w:ascii="Times New Roman" w:hAnsi="Times New Roman" w:cs="Times New Roman"/>
          <w:sz w:val="24"/>
          <w:szCs w:val="24"/>
        </w:rPr>
        <w:t>Score: 27/30.</w:t>
      </w:r>
    </w:p>
    <w:p w14:paraId="3065E1C9" w14:textId="77777777" w:rsidR="00572FFB" w:rsidRPr="00572FFB" w:rsidRDefault="00572FFB" w:rsidP="00572FFB">
      <w:pPr>
        <w:rPr>
          <w:rFonts w:ascii="Times New Roman" w:hAnsi="Times New Roman" w:cs="Times New Roman"/>
          <w:sz w:val="24"/>
          <w:szCs w:val="24"/>
        </w:rPr>
      </w:pPr>
    </w:p>
    <w:p w14:paraId="4F939F61" w14:textId="77777777" w:rsidR="00572FFB" w:rsidRPr="0047219B" w:rsidRDefault="00572FFB" w:rsidP="00572FFB">
      <w:pPr>
        <w:rPr>
          <w:rFonts w:ascii="Times New Roman" w:hAnsi="Times New Roman" w:cs="Times New Roman"/>
          <w:b/>
          <w:bCs/>
          <w:sz w:val="24"/>
          <w:szCs w:val="24"/>
        </w:rPr>
      </w:pPr>
      <w:r w:rsidRPr="0047219B">
        <w:rPr>
          <w:rFonts w:ascii="Times New Roman" w:hAnsi="Times New Roman" w:cs="Times New Roman"/>
          <w:b/>
          <w:bCs/>
          <w:sz w:val="24"/>
          <w:szCs w:val="24"/>
        </w:rPr>
        <w:t>2. PRIVATEER: Oil &amp; Gas Operations Intelligence</w:t>
      </w:r>
    </w:p>
    <w:p w14:paraId="10A0E3A3" w14:textId="1DB473A5" w:rsidR="00572FFB" w:rsidRPr="00572FFB" w:rsidRDefault="00572FFB" w:rsidP="008F0E8A">
      <w:pPr>
        <w:spacing w:line="360" w:lineRule="auto"/>
        <w:rPr>
          <w:rFonts w:ascii="Times New Roman" w:hAnsi="Times New Roman" w:cs="Times New Roman"/>
          <w:sz w:val="24"/>
          <w:szCs w:val="24"/>
        </w:rPr>
      </w:pPr>
      <w:r w:rsidRPr="00572FFB">
        <w:rPr>
          <w:rFonts w:ascii="Times New Roman" w:hAnsi="Times New Roman" w:cs="Times New Roman"/>
          <w:sz w:val="24"/>
          <w:szCs w:val="24"/>
        </w:rPr>
        <w:t>Combines satellite imagery and AIS data to monitor upstream oilfields,</w:t>
      </w:r>
      <w:r w:rsidR="008F0E8A">
        <w:rPr>
          <w:rFonts w:ascii="Times New Roman" w:hAnsi="Times New Roman" w:cs="Times New Roman"/>
          <w:sz w:val="24"/>
          <w:szCs w:val="24"/>
        </w:rPr>
        <w:t xml:space="preserve"> </w:t>
      </w:r>
      <w:r w:rsidRPr="00572FFB">
        <w:rPr>
          <w:rFonts w:ascii="Times New Roman" w:hAnsi="Times New Roman" w:cs="Times New Roman"/>
          <w:sz w:val="24"/>
          <w:szCs w:val="24"/>
        </w:rPr>
        <w:t xml:space="preserve">midstream pipelines, downstream terminals, refineries, methane emissions, and fracking activity. Covers entire energy value chain (upstream to downstream). Real-time satellite signal detection provides operational visibility competitors lack. </w:t>
      </w:r>
    </w:p>
    <w:p w14:paraId="0749AC99" w14:textId="4CB1558A" w:rsidR="00572FFB" w:rsidRPr="00572FFB" w:rsidRDefault="00572FFB" w:rsidP="00572FFB">
      <w:pPr>
        <w:rPr>
          <w:rFonts w:ascii="Times New Roman" w:hAnsi="Times New Roman" w:cs="Times New Roman"/>
          <w:sz w:val="24"/>
          <w:szCs w:val="24"/>
        </w:rPr>
      </w:pPr>
      <w:r w:rsidRPr="00572FFB">
        <w:rPr>
          <w:rFonts w:ascii="Times New Roman" w:hAnsi="Times New Roman" w:cs="Times New Roman"/>
          <w:sz w:val="24"/>
          <w:szCs w:val="24"/>
        </w:rPr>
        <w:t xml:space="preserve">Cost: $30K-$100K+/year. </w:t>
      </w:r>
    </w:p>
    <w:p w14:paraId="306F2EE4" w14:textId="238C808B" w:rsidR="00572FFB" w:rsidRPr="00572FFB" w:rsidRDefault="00572FFB" w:rsidP="00572FFB">
      <w:pPr>
        <w:rPr>
          <w:rFonts w:ascii="Times New Roman" w:hAnsi="Times New Roman" w:cs="Times New Roman"/>
          <w:sz w:val="24"/>
          <w:szCs w:val="24"/>
        </w:rPr>
      </w:pPr>
      <w:r w:rsidRPr="00572FFB">
        <w:rPr>
          <w:rFonts w:ascii="Times New Roman" w:hAnsi="Times New Roman" w:cs="Times New Roman"/>
          <w:sz w:val="24"/>
          <w:szCs w:val="24"/>
        </w:rPr>
        <w:t>Score: 26/30.</w:t>
      </w:r>
    </w:p>
    <w:p w14:paraId="3466BB58" w14:textId="77777777" w:rsidR="00572FFB" w:rsidRPr="00572FFB" w:rsidRDefault="00572FFB" w:rsidP="00572FFB">
      <w:pPr>
        <w:rPr>
          <w:rFonts w:ascii="Times New Roman" w:hAnsi="Times New Roman" w:cs="Times New Roman"/>
          <w:sz w:val="24"/>
          <w:szCs w:val="24"/>
        </w:rPr>
      </w:pPr>
    </w:p>
    <w:p w14:paraId="642DE2A1" w14:textId="77777777" w:rsidR="00572FFB" w:rsidRPr="0047219B" w:rsidRDefault="00572FFB" w:rsidP="00572FFB">
      <w:pPr>
        <w:rPr>
          <w:rFonts w:ascii="Times New Roman" w:hAnsi="Times New Roman" w:cs="Times New Roman"/>
          <w:b/>
          <w:bCs/>
          <w:sz w:val="24"/>
          <w:szCs w:val="24"/>
        </w:rPr>
      </w:pPr>
      <w:r w:rsidRPr="0047219B">
        <w:rPr>
          <w:rFonts w:ascii="Times New Roman" w:hAnsi="Times New Roman" w:cs="Times New Roman"/>
          <w:b/>
          <w:bCs/>
          <w:sz w:val="24"/>
          <w:szCs w:val="24"/>
        </w:rPr>
        <w:t>3. ENVERUS: Energy Operations &amp; Production Intelligence</w:t>
      </w:r>
    </w:p>
    <w:p w14:paraId="285EB379" w14:textId="5F308C37" w:rsidR="00572FFB" w:rsidRPr="00572FFB" w:rsidRDefault="00572FFB" w:rsidP="008F0E8A">
      <w:pPr>
        <w:spacing w:line="360" w:lineRule="auto"/>
        <w:rPr>
          <w:rFonts w:ascii="Times New Roman" w:hAnsi="Times New Roman" w:cs="Times New Roman"/>
          <w:sz w:val="24"/>
          <w:szCs w:val="24"/>
        </w:rPr>
      </w:pPr>
      <w:r w:rsidRPr="00572FFB">
        <w:rPr>
          <w:rFonts w:ascii="Times New Roman" w:hAnsi="Times New Roman" w:cs="Times New Roman"/>
          <w:sz w:val="24"/>
          <w:szCs w:val="24"/>
        </w:rPr>
        <w:t xml:space="preserve">Tracks real-time rig counts, drilling activity, production capacity, and operational data across 98% of USA producers. Critical for assessing production capacity constraints and growth potential. Used by operators and investors to benchmark performance. </w:t>
      </w:r>
    </w:p>
    <w:p w14:paraId="5417F456" w14:textId="6B01CEA9" w:rsidR="00572FFB" w:rsidRPr="00572FFB" w:rsidRDefault="00572FFB" w:rsidP="00572FFB">
      <w:pPr>
        <w:rPr>
          <w:rFonts w:ascii="Times New Roman" w:hAnsi="Times New Roman" w:cs="Times New Roman"/>
          <w:sz w:val="24"/>
          <w:szCs w:val="24"/>
        </w:rPr>
      </w:pPr>
      <w:r w:rsidRPr="00572FFB">
        <w:rPr>
          <w:rFonts w:ascii="Times New Roman" w:hAnsi="Times New Roman" w:cs="Times New Roman"/>
          <w:sz w:val="24"/>
          <w:szCs w:val="24"/>
        </w:rPr>
        <w:t xml:space="preserve">Cost: $100K+/year (custom). </w:t>
      </w:r>
    </w:p>
    <w:p w14:paraId="360556BE" w14:textId="66817B92" w:rsidR="00572FFB" w:rsidRPr="00572FFB" w:rsidRDefault="00572FFB" w:rsidP="00572FFB">
      <w:pPr>
        <w:rPr>
          <w:rFonts w:ascii="Times New Roman" w:hAnsi="Times New Roman" w:cs="Times New Roman"/>
          <w:sz w:val="24"/>
          <w:szCs w:val="24"/>
        </w:rPr>
      </w:pPr>
      <w:r w:rsidRPr="00572FFB">
        <w:rPr>
          <w:rFonts w:ascii="Times New Roman" w:hAnsi="Times New Roman" w:cs="Times New Roman"/>
          <w:sz w:val="24"/>
          <w:szCs w:val="24"/>
        </w:rPr>
        <w:t>Score: 25/30.</w:t>
      </w:r>
    </w:p>
    <w:p w14:paraId="05DD8627" w14:textId="77777777" w:rsidR="00572FFB" w:rsidRDefault="00572FFB" w:rsidP="00572FFB">
      <w:pPr>
        <w:rPr>
          <w:rFonts w:ascii="Times New Roman" w:hAnsi="Times New Roman" w:cs="Times New Roman"/>
          <w:sz w:val="24"/>
          <w:szCs w:val="24"/>
        </w:rPr>
      </w:pPr>
    </w:p>
    <w:p w14:paraId="7736EA87" w14:textId="77777777" w:rsidR="0047219B" w:rsidRPr="00572FFB" w:rsidRDefault="0047219B" w:rsidP="00572FFB">
      <w:pPr>
        <w:rPr>
          <w:rFonts w:ascii="Times New Roman" w:hAnsi="Times New Roman" w:cs="Times New Roman"/>
          <w:sz w:val="24"/>
          <w:szCs w:val="24"/>
        </w:rPr>
      </w:pPr>
    </w:p>
    <w:p w14:paraId="1E703274" w14:textId="77777777" w:rsidR="00572FFB" w:rsidRPr="0047219B" w:rsidRDefault="00572FFB" w:rsidP="00572FFB">
      <w:pPr>
        <w:rPr>
          <w:rFonts w:ascii="Times New Roman" w:hAnsi="Times New Roman" w:cs="Times New Roman"/>
          <w:b/>
          <w:bCs/>
          <w:sz w:val="24"/>
          <w:szCs w:val="24"/>
        </w:rPr>
      </w:pPr>
      <w:r w:rsidRPr="0047219B">
        <w:rPr>
          <w:rFonts w:ascii="Times New Roman" w:hAnsi="Times New Roman" w:cs="Times New Roman"/>
          <w:b/>
          <w:bCs/>
          <w:sz w:val="24"/>
          <w:szCs w:val="24"/>
        </w:rPr>
        <w:lastRenderedPageBreak/>
        <w:t>4. KAYRROS: Energy Market Intelligence (Satellite-Based)</w:t>
      </w:r>
    </w:p>
    <w:p w14:paraId="23F3FDFC" w14:textId="25A51240" w:rsidR="00572FFB" w:rsidRPr="00572FFB" w:rsidRDefault="00572FFB" w:rsidP="0047219B">
      <w:pPr>
        <w:spacing w:line="360" w:lineRule="auto"/>
        <w:jc w:val="both"/>
        <w:rPr>
          <w:rFonts w:ascii="Times New Roman" w:hAnsi="Times New Roman" w:cs="Times New Roman"/>
          <w:sz w:val="24"/>
          <w:szCs w:val="24"/>
        </w:rPr>
      </w:pPr>
      <w:r w:rsidRPr="00572FFB">
        <w:rPr>
          <w:rFonts w:ascii="Times New Roman" w:hAnsi="Times New Roman" w:cs="Times New Roman"/>
          <w:sz w:val="24"/>
          <w:szCs w:val="24"/>
        </w:rPr>
        <w:t xml:space="preserve">Satellite-based platform for crude oil inventory tracking, production forecasting, flaring/emissions detection, LNG outages, renewable construction monitoring, carbon allowance tracking. Unique combination of satellite intelligence with machine learning models. </w:t>
      </w:r>
    </w:p>
    <w:p w14:paraId="626367BD" w14:textId="211C1BF4" w:rsidR="00572FFB" w:rsidRPr="00572FFB" w:rsidRDefault="00572FFB" w:rsidP="00572FFB">
      <w:pPr>
        <w:rPr>
          <w:rFonts w:ascii="Times New Roman" w:hAnsi="Times New Roman" w:cs="Times New Roman"/>
          <w:sz w:val="24"/>
          <w:szCs w:val="24"/>
        </w:rPr>
      </w:pPr>
      <w:r w:rsidRPr="00572FFB">
        <w:rPr>
          <w:rFonts w:ascii="Times New Roman" w:hAnsi="Times New Roman" w:cs="Times New Roman"/>
          <w:sz w:val="24"/>
          <w:szCs w:val="24"/>
        </w:rPr>
        <w:t xml:space="preserve"> Cost: $150K-$500K+/year. </w:t>
      </w:r>
    </w:p>
    <w:p w14:paraId="1A8FAA89" w14:textId="325C7D0F" w:rsidR="00572FFB" w:rsidRPr="00572FFB" w:rsidRDefault="00572FFB" w:rsidP="00572FFB">
      <w:pPr>
        <w:rPr>
          <w:rFonts w:ascii="Times New Roman" w:hAnsi="Times New Roman" w:cs="Times New Roman"/>
          <w:sz w:val="24"/>
          <w:szCs w:val="24"/>
        </w:rPr>
      </w:pPr>
      <w:r w:rsidRPr="00572FFB">
        <w:rPr>
          <w:rFonts w:ascii="Times New Roman" w:hAnsi="Times New Roman" w:cs="Times New Roman"/>
          <w:sz w:val="24"/>
          <w:szCs w:val="24"/>
        </w:rPr>
        <w:t xml:space="preserve"> Score: 25/30.</w:t>
      </w:r>
    </w:p>
    <w:p w14:paraId="148DFA53" w14:textId="77777777" w:rsidR="00572FFB" w:rsidRPr="00572FFB" w:rsidRDefault="00572FFB" w:rsidP="00572FFB">
      <w:pPr>
        <w:rPr>
          <w:rFonts w:ascii="Times New Roman" w:hAnsi="Times New Roman" w:cs="Times New Roman"/>
          <w:sz w:val="24"/>
          <w:szCs w:val="24"/>
        </w:rPr>
      </w:pPr>
    </w:p>
    <w:p w14:paraId="25C9109B" w14:textId="77777777" w:rsidR="00572FFB" w:rsidRPr="0047219B" w:rsidRDefault="00572FFB" w:rsidP="00572FFB">
      <w:pPr>
        <w:rPr>
          <w:rFonts w:ascii="Times New Roman" w:hAnsi="Times New Roman" w:cs="Times New Roman"/>
          <w:b/>
          <w:bCs/>
          <w:sz w:val="24"/>
          <w:szCs w:val="24"/>
        </w:rPr>
      </w:pPr>
      <w:r w:rsidRPr="0047219B">
        <w:rPr>
          <w:rFonts w:ascii="Times New Roman" w:hAnsi="Times New Roman" w:cs="Times New Roman"/>
          <w:b/>
          <w:bCs/>
          <w:sz w:val="24"/>
          <w:szCs w:val="24"/>
        </w:rPr>
        <w:t>5. YES ENERGY: Power Market Operating System</w:t>
      </w:r>
    </w:p>
    <w:p w14:paraId="43077AFA" w14:textId="765BD4D8" w:rsidR="00572FFB" w:rsidRPr="00572FFB" w:rsidRDefault="00572FFB" w:rsidP="0047219B">
      <w:pPr>
        <w:spacing w:line="360" w:lineRule="auto"/>
        <w:jc w:val="both"/>
        <w:rPr>
          <w:rFonts w:ascii="Times New Roman" w:hAnsi="Times New Roman" w:cs="Times New Roman"/>
          <w:sz w:val="24"/>
          <w:szCs w:val="24"/>
        </w:rPr>
      </w:pPr>
      <w:r w:rsidRPr="00572FFB">
        <w:rPr>
          <w:rFonts w:ascii="Times New Roman" w:hAnsi="Times New Roman" w:cs="Times New Roman"/>
          <w:sz w:val="24"/>
          <w:szCs w:val="24"/>
        </w:rPr>
        <w:t xml:space="preserve">Real-time power market data (LMP pricing, grid frequency, renewable generation, demand forecasts, FTR data) across 1,100+ data sources. Minute-by-minute grid visibility critical for traders and utilities. 15+ years historical data. </w:t>
      </w:r>
    </w:p>
    <w:p w14:paraId="1105AD61" w14:textId="381A562A" w:rsidR="00572FFB" w:rsidRPr="00572FFB" w:rsidRDefault="00572FFB" w:rsidP="00572FFB">
      <w:pPr>
        <w:rPr>
          <w:rFonts w:ascii="Times New Roman" w:hAnsi="Times New Roman" w:cs="Times New Roman"/>
          <w:sz w:val="24"/>
          <w:szCs w:val="24"/>
        </w:rPr>
      </w:pPr>
      <w:r w:rsidRPr="00572FFB">
        <w:rPr>
          <w:rFonts w:ascii="Times New Roman" w:hAnsi="Times New Roman" w:cs="Times New Roman"/>
          <w:sz w:val="24"/>
          <w:szCs w:val="24"/>
        </w:rPr>
        <w:t xml:space="preserve">Cost: $100K-$300K+/year (custom). </w:t>
      </w:r>
    </w:p>
    <w:p w14:paraId="21D90C93" w14:textId="71D3BA8F" w:rsidR="00572FFB" w:rsidRPr="00572FFB" w:rsidRDefault="00572FFB" w:rsidP="00572FFB">
      <w:pPr>
        <w:rPr>
          <w:rFonts w:ascii="Times New Roman" w:hAnsi="Times New Roman" w:cs="Times New Roman"/>
          <w:sz w:val="24"/>
          <w:szCs w:val="24"/>
        </w:rPr>
      </w:pPr>
      <w:r w:rsidRPr="00572FFB">
        <w:rPr>
          <w:rFonts w:ascii="Times New Roman" w:hAnsi="Times New Roman" w:cs="Times New Roman"/>
          <w:sz w:val="24"/>
          <w:szCs w:val="24"/>
        </w:rPr>
        <w:t xml:space="preserve"> Score: 26/30.</w:t>
      </w:r>
    </w:p>
    <w:p w14:paraId="1EC42EEF" w14:textId="77777777" w:rsidR="00572FFB" w:rsidRPr="00572FFB" w:rsidRDefault="00572FFB" w:rsidP="00572FFB">
      <w:pPr>
        <w:rPr>
          <w:rFonts w:ascii="Times New Roman" w:hAnsi="Times New Roman" w:cs="Times New Roman"/>
          <w:sz w:val="24"/>
          <w:szCs w:val="24"/>
        </w:rPr>
      </w:pPr>
    </w:p>
    <w:p w14:paraId="67493DE5" w14:textId="77777777" w:rsidR="00572FFB" w:rsidRPr="0047219B" w:rsidRDefault="00572FFB" w:rsidP="00572FFB">
      <w:pPr>
        <w:rPr>
          <w:rFonts w:ascii="Times New Roman" w:hAnsi="Times New Roman" w:cs="Times New Roman"/>
          <w:b/>
          <w:bCs/>
          <w:sz w:val="24"/>
          <w:szCs w:val="24"/>
        </w:rPr>
      </w:pPr>
      <w:r w:rsidRPr="0047219B">
        <w:rPr>
          <w:rFonts w:ascii="Times New Roman" w:hAnsi="Times New Roman" w:cs="Times New Roman"/>
          <w:b/>
          <w:bCs/>
          <w:sz w:val="24"/>
          <w:szCs w:val="24"/>
        </w:rPr>
        <w:t>6. VORTEXA: Energy Shipping &amp; Trading Intelligence</w:t>
      </w:r>
    </w:p>
    <w:p w14:paraId="57ED90E9" w14:textId="03C79ACA" w:rsidR="00572FFB" w:rsidRPr="00572FFB" w:rsidRDefault="00572FFB" w:rsidP="0047219B">
      <w:pPr>
        <w:spacing w:line="360" w:lineRule="auto"/>
        <w:jc w:val="both"/>
        <w:rPr>
          <w:rFonts w:ascii="Times New Roman" w:hAnsi="Times New Roman" w:cs="Times New Roman"/>
          <w:sz w:val="24"/>
          <w:szCs w:val="24"/>
        </w:rPr>
      </w:pPr>
      <w:r w:rsidRPr="00572FFB">
        <w:rPr>
          <w:rFonts w:ascii="Times New Roman" w:hAnsi="Times New Roman" w:cs="Times New Roman"/>
          <w:sz w:val="24"/>
          <w:szCs w:val="24"/>
        </w:rPr>
        <w:t xml:space="preserve">Global oil &amp; gas vessel tracking, shipping flows, freight analytics, inventory data, and trading signals. Covers $3 trillion annual energy trade. Traders use </w:t>
      </w:r>
      <w:proofErr w:type="spellStart"/>
      <w:r w:rsidRPr="00572FFB">
        <w:rPr>
          <w:rFonts w:ascii="Times New Roman" w:hAnsi="Times New Roman" w:cs="Times New Roman"/>
          <w:sz w:val="24"/>
          <w:szCs w:val="24"/>
        </w:rPr>
        <w:t>Vortexa</w:t>
      </w:r>
      <w:proofErr w:type="spellEnd"/>
      <w:r w:rsidRPr="00572FFB">
        <w:rPr>
          <w:rFonts w:ascii="Times New Roman" w:hAnsi="Times New Roman" w:cs="Times New Roman"/>
          <w:sz w:val="24"/>
          <w:szCs w:val="24"/>
        </w:rPr>
        <w:t xml:space="preserve"> to spot arbitrage opportunities in real-time. </w:t>
      </w:r>
    </w:p>
    <w:p w14:paraId="4FDD2425" w14:textId="13E178A9" w:rsidR="00572FFB" w:rsidRPr="00572FFB" w:rsidRDefault="00572FFB" w:rsidP="00572FFB">
      <w:pPr>
        <w:rPr>
          <w:rFonts w:ascii="Times New Roman" w:hAnsi="Times New Roman" w:cs="Times New Roman"/>
          <w:sz w:val="24"/>
          <w:szCs w:val="24"/>
        </w:rPr>
      </w:pPr>
      <w:r w:rsidRPr="00572FFB">
        <w:rPr>
          <w:rFonts w:ascii="Times New Roman" w:hAnsi="Times New Roman" w:cs="Times New Roman"/>
          <w:sz w:val="24"/>
          <w:szCs w:val="24"/>
        </w:rPr>
        <w:t xml:space="preserve"> Cost: $100K-$300K+/year. </w:t>
      </w:r>
    </w:p>
    <w:p w14:paraId="71C06FB0" w14:textId="35930D6B" w:rsidR="00572FFB" w:rsidRPr="00572FFB" w:rsidRDefault="00572FFB" w:rsidP="00572FFB">
      <w:pPr>
        <w:rPr>
          <w:rFonts w:ascii="Times New Roman" w:hAnsi="Times New Roman" w:cs="Times New Roman"/>
          <w:sz w:val="24"/>
          <w:szCs w:val="24"/>
        </w:rPr>
      </w:pPr>
      <w:r w:rsidRPr="00572FFB">
        <w:rPr>
          <w:rFonts w:ascii="Times New Roman" w:hAnsi="Times New Roman" w:cs="Times New Roman"/>
          <w:sz w:val="24"/>
          <w:szCs w:val="24"/>
        </w:rPr>
        <w:t xml:space="preserve"> Score: 25/30.</w:t>
      </w:r>
    </w:p>
    <w:p w14:paraId="7E89A161" w14:textId="77777777" w:rsidR="00572FFB" w:rsidRPr="0047219B" w:rsidRDefault="00572FFB" w:rsidP="00572FFB">
      <w:pPr>
        <w:rPr>
          <w:rFonts w:ascii="Times New Roman" w:hAnsi="Times New Roman" w:cs="Times New Roman"/>
          <w:b/>
          <w:bCs/>
          <w:sz w:val="24"/>
          <w:szCs w:val="24"/>
        </w:rPr>
      </w:pPr>
    </w:p>
    <w:p w14:paraId="0100FC8E" w14:textId="77777777" w:rsidR="00572FFB" w:rsidRPr="0047219B" w:rsidRDefault="00572FFB" w:rsidP="00572FFB">
      <w:pPr>
        <w:rPr>
          <w:rFonts w:ascii="Times New Roman" w:hAnsi="Times New Roman" w:cs="Times New Roman"/>
          <w:b/>
          <w:bCs/>
          <w:sz w:val="24"/>
          <w:szCs w:val="24"/>
        </w:rPr>
      </w:pPr>
      <w:r w:rsidRPr="0047219B">
        <w:rPr>
          <w:rFonts w:ascii="Times New Roman" w:hAnsi="Times New Roman" w:cs="Times New Roman"/>
          <w:b/>
          <w:bCs/>
          <w:sz w:val="24"/>
          <w:szCs w:val="24"/>
        </w:rPr>
        <w:t>7. MARINETRAFFIC: Global Vessel Tracking &amp; Port Activity</w:t>
      </w:r>
    </w:p>
    <w:p w14:paraId="7E4ABE6E" w14:textId="697BBF49" w:rsidR="00572FFB" w:rsidRPr="00572FFB" w:rsidRDefault="00572FFB" w:rsidP="0047219B">
      <w:pPr>
        <w:spacing w:line="360" w:lineRule="auto"/>
        <w:jc w:val="both"/>
        <w:rPr>
          <w:rFonts w:ascii="Times New Roman" w:hAnsi="Times New Roman" w:cs="Times New Roman"/>
          <w:sz w:val="24"/>
          <w:szCs w:val="24"/>
        </w:rPr>
      </w:pPr>
      <w:r w:rsidRPr="00572FFB">
        <w:rPr>
          <w:rFonts w:ascii="Times New Roman" w:hAnsi="Times New Roman" w:cs="Times New Roman"/>
          <w:sz w:val="24"/>
          <w:szCs w:val="24"/>
        </w:rPr>
        <w:t>Real-time AIS tracking (13,000+ global receivers), port call events, ship-to-ship transfers, vessel compliance data. 15+ years historical vessel movements. Essential for monitoring</w:t>
      </w:r>
      <w:r w:rsidR="0047219B">
        <w:rPr>
          <w:rFonts w:ascii="Times New Roman" w:hAnsi="Times New Roman" w:cs="Times New Roman"/>
          <w:sz w:val="24"/>
          <w:szCs w:val="24"/>
        </w:rPr>
        <w:t xml:space="preserve"> </w:t>
      </w:r>
      <w:r w:rsidRPr="00572FFB">
        <w:rPr>
          <w:rFonts w:ascii="Times New Roman" w:hAnsi="Times New Roman" w:cs="Times New Roman"/>
          <w:sz w:val="24"/>
          <w:szCs w:val="24"/>
        </w:rPr>
        <w:t xml:space="preserve">energy product flows globally. </w:t>
      </w:r>
    </w:p>
    <w:p w14:paraId="14788799" w14:textId="016C166E" w:rsidR="00572FFB" w:rsidRPr="00572FFB" w:rsidRDefault="00572FFB" w:rsidP="00572FFB">
      <w:pPr>
        <w:rPr>
          <w:rFonts w:ascii="Times New Roman" w:hAnsi="Times New Roman" w:cs="Times New Roman"/>
          <w:sz w:val="24"/>
          <w:szCs w:val="24"/>
        </w:rPr>
      </w:pPr>
      <w:r w:rsidRPr="00572FFB">
        <w:rPr>
          <w:rFonts w:ascii="Times New Roman" w:hAnsi="Times New Roman" w:cs="Times New Roman"/>
          <w:sz w:val="24"/>
          <w:szCs w:val="24"/>
        </w:rPr>
        <w:t xml:space="preserve"> Cost: €1K-Custom/year. </w:t>
      </w:r>
    </w:p>
    <w:p w14:paraId="6EF6BD97" w14:textId="31073688" w:rsidR="00572FFB" w:rsidRPr="00572FFB" w:rsidRDefault="00572FFB" w:rsidP="00572FFB">
      <w:pPr>
        <w:rPr>
          <w:rFonts w:ascii="Times New Roman" w:hAnsi="Times New Roman" w:cs="Times New Roman"/>
          <w:sz w:val="24"/>
          <w:szCs w:val="24"/>
        </w:rPr>
      </w:pPr>
      <w:r w:rsidRPr="00572FFB">
        <w:rPr>
          <w:rFonts w:ascii="Times New Roman" w:hAnsi="Times New Roman" w:cs="Times New Roman"/>
          <w:sz w:val="24"/>
          <w:szCs w:val="24"/>
        </w:rPr>
        <w:t xml:space="preserve"> Score: 24/30.</w:t>
      </w:r>
    </w:p>
    <w:p w14:paraId="0AD42EDD" w14:textId="77777777" w:rsidR="00572FFB" w:rsidRDefault="00572FFB" w:rsidP="00572FFB">
      <w:pPr>
        <w:rPr>
          <w:rFonts w:ascii="Times New Roman" w:hAnsi="Times New Roman" w:cs="Times New Roman"/>
          <w:sz w:val="24"/>
          <w:szCs w:val="24"/>
        </w:rPr>
      </w:pPr>
    </w:p>
    <w:p w14:paraId="298EBB86" w14:textId="77777777" w:rsidR="0047219B" w:rsidRDefault="0047219B" w:rsidP="00572FFB">
      <w:pPr>
        <w:rPr>
          <w:rFonts w:ascii="Times New Roman" w:hAnsi="Times New Roman" w:cs="Times New Roman"/>
          <w:sz w:val="24"/>
          <w:szCs w:val="24"/>
        </w:rPr>
      </w:pPr>
    </w:p>
    <w:p w14:paraId="5B385AC7" w14:textId="77777777" w:rsidR="0047219B" w:rsidRPr="00572FFB" w:rsidRDefault="0047219B" w:rsidP="00572FFB">
      <w:pPr>
        <w:rPr>
          <w:rFonts w:ascii="Times New Roman" w:hAnsi="Times New Roman" w:cs="Times New Roman"/>
          <w:sz w:val="24"/>
          <w:szCs w:val="24"/>
        </w:rPr>
      </w:pPr>
    </w:p>
    <w:p w14:paraId="09168212" w14:textId="70420B4C" w:rsidR="00572FFB" w:rsidRPr="0047219B" w:rsidRDefault="0047219B" w:rsidP="00572FFB">
      <w:pPr>
        <w:rPr>
          <w:rFonts w:ascii="Times New Roman" w:hAnsi="Times New Roman" w:cs="Times New Roman"/>
          <w:b/>
          <w:bCs/>
          <w:i/>
          <w:iCs/>
          <w:sz w:val="24"/>
          <w:szCs w:val="24"/>
        </w:rPr>
      </w:pPr>
      <w:r w:rsidRPr="0047219B">
        <w:rPr>
          <w:rFonts w:ascii="Times New Roman" w:hAnsi="Times New Roman" w:cs="Times New Roman"/>
          <w:b/>
          <w:bCs/>
          <w:i/>
          <w:iCs/>
          <w:sz w:val="24"/>
          <w:szCs w:val="24"/>
        </w:rPr>
        <w:lastRenderedPageBreak/>
        <w:t>Tier 2: Important Vendors (Score 18-23)</w:t>
      </w:r>
    </w:p>
    <w:p w14:paraId="3F889F57" w14:textId="77777777" w:rsidR="00572FFB" w:rsidRPr="00572FFB" w:rsidRDefault="00572FFB" w:rsidP="00572FFB">
      <w:pPr>
        <w:rPr>
          <w:rFonts w:ascii="Times New Roman" w:hAnsi="Times New Roman" w:cs="Times New Roman"/>
          <w:sz w:val="24"/>
          <w:szCs w:val="24"/>
        </w:rPr>
      </w:pPr>
    </w:p>
    <w:p w14:paraId="7755AC49" w14:textId="77777777" w:rsidR="00572FFB" w:rsidRPr="0012134F" w:rsidRDefault="00572FFB" w:rsidP="00572FFB">
      <w:pPr>
        <w:rPr>
          <w:rFonts w:ascii="Times New Roman" w:hAnsi="Times New Roman" w:cs="Times New Roman"/>
          <w:b/>
          <w:bCs/>
          <w:sz w:val="24"/>
          <w:szCs w:val="24"/>
        </w:rPr>
      </w:pPr>
      <w:r w:rsidRPr="0012134F">
        <w:rPr>
          <w:rFonts w:ascii="Times New Roman" w:hAnsi="Times New Roman" w:cs="Times New Roman"/>
          <w:b/>
          <w:bCs/>
          <w:sz w:val="24"/>
          <w:szCs w:val="24"/>
        </w:rPr>
        <w:t>8. WOOD MACKENZIE: Energy Market Intelligence &amp; Analytics</w:t>
      </w:r>
    </w:p>
    <w:p w14:paraId="3F7AAE8D" w14:textId="78817D9F" w:rsidR="00572FFB" w:rsidRPr="00572FFB" w:rsidRDefault="00572FFB" w:rsidP="0012134F">
      <w:pPr>
        <w:spacing w:line="360" w:lineRule="auto"/>
        <w:jc w:val="both"/>
        <w:rPr>
          <w:rFonts w:ascii="Times New Roman" w:hAnsi="Times New Roman" w:cs="Times New Roman"/>
          <w:sz w:val="24"/>
          <w:szCs w:val="24"/>
        </w:rPr>
      </w:pPr>
      <w:r w:rsidRPr="00572FFB">
        <w:rPr>
          <w:rFonts w:ascii="Times New Roman" w:hAnsi="Times New Roman" w:cs="Times New Roman"/>
          <w:sz w:val="24"/>
          <w:szCs w:val="24"/>
        </w:rPr>
        <w:t xml:space="preserve">Upstream/downstream oil &amp; gas data, LNG insights, refinery analytics, emissions tracking, energy transition intelligence, power &amp; renewables reports. Expert research and reports (daily/weekly basis) rather than real-time data feeds. Used for strategic planning and market context. </w:t>
      </w:r>
    </w:p>
    <w:p w14:paraId="6087273F" w14:textId="0D50ED4F" w:rsidR="00572FFB" w:rsidRPr="00572FFB" w:rsidRDefault="00572FFB" w:rsidP="00572FFB">
      <w:pPr>
        <w:rPr>
          <w:rFonts w:ascii="Times New Roman" w:hAnsi="Times New Roman" w:cs="Times New Roman"/>
          <w:sz w:val="24"/>
          <w:szCs w:val="24"/>
        </w:rPr>
      </w:pPr>
      <w:r w:rsidRPr="00572FFB">
        <w:rPr>
          <w:rFonts w:ascii="Times New Roman" w:hAnsi="Times New Roman" w:cs="Times New Roman"/>
          <w:sz w:val="24"/>
          <w:szCs w:val="24"/>
        </w:rPr>
        <w:t xml:space="preserve"> Cost: $100K+/year (subscriptions). </w:t>
      </w:r>
    </w:p>
    <w:p w14:paraId="3BF9756D" w14:textId="20444CC5" w:rsidR="00572FFB" w:rsidRPr="00572FFB" w:rsidRDefault="00572FFB" w:rsidP="00572FFB">
      <w:pPr>
        <w:rPr>
          <w:rFonts w:ascii="Times New Roman" w:hAnsi="Times New Roman" w:cs="Times New Roman"/>
          <w:sz w:val="24"/>
          <w:szCs w:val="24"/>
        </w:rPr>
      </w:pPr>
      <w:r w:rsidRPr="00572FFB">
        <w:rPr>
          <w:rFonts w:ascii="Times New Roman" w:hAnsi="Times New Roman" w:cs="Times New Roman"/>
          <w:sz w:val="24"/>
          <w:szCs w:val="24"/>
        </w:rPr>
        <w:t xml:space="preserve"> Score: 21/30.</w:t>
      </w:r>
    </w:p>
    <w:p w14:paraId="6C1AB2C2" w14:textId="77777777" w:rsidR="00572FFB" w:rsidRPr="00572FFB" w:rsidRDefault="00572FFB" w:rsidP="00572FFB">
      <w:pPr>
        <w:rPr>
          <w:rFonts w:ascii="Times New Roman" w:hAnsi="Times New Roman" w:cs="Times New Roman"/>
          <w:sz w:val="24"/>
          <w:szCs w:val="24"/>
        </w:rPr>
      </w:pPr>
    </w:p>
    <w:p w14:paraId="5748A659" w14:textId="77777777" w:rsidR="00572FFB" w:rsidRPr="0012134F" w:rsidRDefault="00572FFB" w:rsidP="00572FFB">
      <w:pPr>
        <w:rPr>
          <w:rFonts w:ascii="Times New Roman" w:hAnsi="Times New Roman" w:cs="Times New Roman"/>
          <w:b/>
          <w:bCs/>
          <w:sz w:val="24"/>
          <w:szCs w:val="24"/>
        </w:rPr>
      </w:pPr>
      <w:r w:rsidRPr="0012134F">
        <w:rPr>
          <w:rFonts w:ascii="Times New Roman" w:hAnsi="Times New Roman" w:cs="Times New Roman"/>
          <w:b/>
          <w:bCs/>
          <w:sz w:val="24"/>
          <w:szCs w:val="24"/>
        </w:rPr>
        <w:t>9. IEA (International Energy Agency): Global Energy Statistics &amp; Forecasts</w:t>
      </w:r>
    </w:p>
    <w:p w14:paraId="2F71F6FF" w14:textId="4FB02B7B" w:rsidR="00572FFB" w:rsidRPr="00572FFB" w:rsidRDefault="00572FFB" w:rsidP="00013FBB">
      <w:pPr>
        <w:spacing w:line="360" w:lineRule="auto"/>
        <w:jc w:val="both"/>
        <w:rPr>
          <w:rFonts w:ascii="Times New Roman" w:hAnsi="Times New Roman" w:cs="Times New Roman"/>
          <w:sz w:val="24"/>
          <w:szCs w:val="24"/>
        </w:rPr>
      </w:pPr>
      <w:r w:rsidRPr="00572FFB">
        <w:rPr>
          <w:rFonts w:ascii="Times New Roman" w:hAnsi="Times New Roman" w:cs="Times New Roman"/>
          <w:sz w:val="24"/>
          <w:szCs w:val="24"/>
        </w:rPr>
        <w:t xml:space="preserve">Production forecasts, supply/demand balances, energy outlook reports, policy database, </w:t>
      </w:r>
      <w:proofErr w:type="gramStart"/>
      <w:r w:rsidRPr="00572FFB">
        <w:rPr>
          <w:rFonts w:ascii="Times New Roman" w:hAnsi="Times New Roman" w:cs="Times New Roman"/>
          <w:sz w:val="24"/>
          <w:szCs w:val="24"/>
        </w:rPr>
        <w:t>5-10 year</w:t>
      </w:r>
      <w:proofErr w:type="gramEnd"/>
      <w:r w:rsidRPr="00572FFB">
        <w:rPr>
          <w:rFonts w:ascii="Times New Roman" w:hAnsi="Times New Roman" w:cs="Times New Roman"/>
          <w:sz w:val="24"/>
          <w:szCs w:val="24"/>
        </w:rPr>
        <w:t xml:space="preserve"> projections across 64% of global energy production. Monthly/quarterly reports rather than real-time data. Essential for long-term scenario planning and policy context. </w:t>
      </w:r>
    </w:p>
    <w:p w14:paraId="421D5F57" w14:textId="7E69F163" w:rsidR="00572FFB" w:rsidRPr="00572FFB" w:rsidRDefault="00572FFB" w:rsidP="00572FFB">
      <w:pPr>
        <w:rPr>
          <w:rFonts w:ascii="Times New Roman" w:hAnsi="Times New Roman" w:cs="Times New Roman"/>
          <w:sz w:val="24"/>
          <w:szCs w:val="24"/>
        </w:rPr>
      </w:pPr>
      <w:r w:rsidRPr="00572FFB">
        <w:rPr>
          <w:rFonts w:ascii="Times New Roman" w:hAnsi="Times New Roman" w:cs="Times New Roman"/>
          <w:sz w:val="24"/>
          <w:szCs w:val="24"/>
        </w:rPr>
        <w:t xml:space="preserve"> Cost: $50K-$150K/year. </w:t>
      </w:r>
    </w:p>
    <w:p w14:paraId="7BDF6A1D" w14:textId="5CAD7EC3" w:rsidR="00572FFB" w:rsidRPr="00572FFB" w:rsidRDefault="00572FFB" w:rsidP="00572FFB">
      <w:pPr>
        <w:rPr>
          <w:rFonts w:ascii="Times New Roman" w:hAnsi="Times New Roman" w:cs="Times New Roman"/>
          <w:sz w:val="24"/>
          <w:szCs w:val="24"/>
        </w:rPr>
      </w:pPr>
      <w:r w:rsidRPr="00572FFB">
        <w:rPr>
          <w:rFonts w:ascii="Times New Roman" w:hAnsi="Times New Roman" w:cs="Times New Roman"/>
          <w:sz w:val="24"/>
          <w:szCs w:val="24"/>
        </w:rPr>
        <w:t xml:space="preserve"> Score: 18/30.</w:t>
      </w:r>
    </w:p>
    <w:p w14:paraId="44F6CEC0" w14:textId="77777777" w:rsidR="00572FFB" w:rsidRPr="00572FFB" w:rsidRDefault="00572FFB" w:rsidP="00572FFB">
      <w:pPr>
        <w:rPr>
          <w:rFonts w:ascii="Times New Roman" w:hAnsi="Times New Roman" w:cs="Times New Roman"/>
          <w:sz w:val="24"/>
          <w:szCs w:val="24"/>
        </w:rPr>
      </w:pPr>
    </w:p>
    <w:p w14:paraId="332785A2" w14:textId="7846C5BA" w:rsidR="00572FFB" w:rsidRPr="00013FBB" w:rsidRDefault="00013FBB" w:rsidP="00013FBB">
      <w:pPr>
        <w:pStyle w:val="Heading2"/>
        <w:rPr>
          <w:rFonts w:ascii="Times New Roman" w:hAnsi="Times New Roman" w:cs="Times New Roman"/>
          <w:color w:val="4EA72E" w:themeColor="accent6"/>
        </w:rPr>
      </w:pPr>
      <w:r w:rsidRPr="00013FBB">
        <w:rPr>
          <w:rFonts w:ascii="Times New Roman" w:hAnsi="Times New Roman" w:cs="Times New Roman"/>
          <w:color w:val="4EA72E" w:themeColor="accent6"/>
        </w:rPr>
        <w:t>Vendor Scoring Matrix</w:t>
      </w:r>
    </w:p>
    <w:p w14:paraId="0CC4A32A" w14:textId="77777777" w:rsidR="00572FFB" w:rsidRPr="00572FFB" w:rsidRDefault="00572FFB" w:rsidP="00572FFB">
      <w:pPr>
        <w:rPr>
          <w:rFonts w:ascii="Times New Roman" w:hAnsi="Times New Roman" w:cs="Times New Roman"/>
          <w:sz w:val="24"/>
          <w:szCs w:val="24"/>
        </w:rPr>
      </w:pPr>
    </w:p>
    <w:p w14:paraId="32EE10ED" w14:textId="01CDF574" w:rsidR="008753A1" w:rsidRPr="00EB23A0" w:rsidRDefault="00572FFB" w:rsidP="00EB23A0">
      <w:pPr>
        <w:spacing w:line="360" w:lineRule="auto"/>
        <w:jc w:val="both"/>
        <w:rPr>
          <w:rFonts w:ascii="Times New Roman" w:hAnsi="Times New Roman" w:cs="Times New Roman"/>
          <w:sz w:val="24"/>
          <w:szCs w:val="24"/>
        </w:rPr>
      </w:pPr>
      <w:r w:rsidRPr="00572FFB">
        <w:rPr>
          <w:rFonts w:ascii="Times New Roman" w:hAnsi="Times New Roman" w:cs="Times New Roman"/>
          <w:sz w:val="24"/>
          <w:szCs w:val="24"/>
        </w:rPr>
        <w:t>The following table summarizes the scoring results for all 9 vendors across three dimensions.</w:t>
      </w:r>
      <w:r w:rsidR="000B7DD4">
        <w:rPr>
          <w:rFonts w:ascii="Times New Roman" w:hAnsi="Times New Roman" w:cs="Times New Roman"/>
          <w:sz w:val="24"/>
          <w:szCs w:val="24"/>
        </w:rPr>
        <w:t xml:space="preserve"> </w:t>
      </w:r>
      <w:r w:rsidRPr="00572FFB">
        <w:rPr>
          <w:rFonts w:ascii="Times New Roman" w:hAnsi="Times New Roman" w:cs="Times New Roman"/>
          <w:sz w:val="24"/>
          <w:szCs w:val="24"/>
        </w:rPr>
        <w:t>Scores range from 1-10 per dimension, with maximum total score of 30.</w:t>
      </w:r>
    </w:p>
    <w:tbl>
      <w:tblPr>
        <w:tblStyle w:val="LightShading-Accent1"/>
        <w:tblW w:w="5000" w:type="pct"/>
        <w:tblBorders>
          <w:bottom w:val="single" w:sz="4" w:space="0" w:color="auto"/>
          <w:insideH w:val="single" w:sz="4" w:space="0" w:color="auto"/>
          <w:insideV w:val="single" w:sz="4" w:space="0" w:color="auto"/>
        </w:tblBorders>
        <w:tblLook w:val="0620" w:firstRow="1" w:lastRow="0" w:firstColumn="0" w:lastColumn="0" w:noHBand="1" w:noVBand="1"/>
      </w:tblPr>
      <w:tblGrid>
        <w:gridCol w:w="1916"/>
        <w:gridCol w:w="1256"/>
        <w:gridCol w:w="1310"/>
        <w:gridCol w:w="1856"/>
        <w:gridCol w:w="1345"/>
        <w:gridCol w:w="1343"/>
      </w:tblGrid>
      <w:tr w:rsidR="00FE6B83" w14:paraId="0A7EA068" w14:textId="033A69CA" w:rsidTr="004B6ED7">
        <w:trPr>
          <w:cnfStyle w:val="100000000000" w:firstRow="1" w:lastRow="0" w:firstColumn="0" w:lastColumn="0" w:oddVBand="0" w:evenVBand="0" w:oddHBand="0" w:evenHBand="0" w:firstRowFirstColumn="0" w:firstRowLastColumn="0" w:lastRowFirstColumn="0" w:lastRowLastColumn="0"/>
        </w:trPr>
        <w:tc>
          <w:tcPr>
            <w:tcW w:w="1061" w:type="pct"/>
            <w:tcBorders>
              <w:top w:val="none" w:sz="0" w:space="0" w:color="auto"/>
              <w:left w:val="none" w:sz="0" w:space="0" w:color="auto"/>
              <w:bottom w:val="none" w:sz="0" w:space="0" w:color="auto"/>
              <w:right w:val="none" w:sz="0" w:space="0" w:color="auto"/>
            </w:tcBorders>
            <w:noWrap/>
          </w:tcPr>
          <w:p w14:paraId="720C2491" w14:textId="0FE92572" w:rsidR="00FE6B83" w:rsidRDefault="00FE6B83">
            <w:r w:rsidRPr="00572FFB">
              <w:rPr>
                <w:rFonts w:ascii="Times New Roman" w:hAnsi="Times New Roman" w:cs="Times New Roman"/>
                <w:sz w:val="24"/>
                <w:szCs w:val="24"/>
              </w:rPr>
              <w:t xml:space="preserve">Vendor   </w:t>
            </w:r>
          </w:p>
        </w:tc>
        <w:tc>
          <w:tcPr>
            <w:tcW w:w="696" w:type="pct"/>
            <w:tcBorders>
              <w:top w:val="none" w:sz="0" w:space="0" w:color="auto"/>
              <w:left w:val="none" w:sz="0" w:space="0" w:color="auto"/>
              <w:bottom w:val="none" w:sz="0" w:space="0" w:color="auto"/>
              <w:right w:val="none" w:sz="0" w:space="0" w:color="auto"/>
            </w:tcBorders>
          </w:tcPr>
          <w:p w14:paraId="56E3D206" w14:textId="540F9089" w:rsidR="00FE6B83" w:rsidRDefault="00FE6B83">
            <w:r w:rsidRPr="00572FFB">
              <w:rPr>
                <w:rFonts w:ascii="Times New Roman" w:hAnsi="Times New Roman" w:cs="Times New Roman"/>
                <w:sz w:val="24"/>
                <w:szCs w:val="24"/>
              </w:rPr>
              <w:t>Relevance</w:t>
            </w:r>
          </w:p>
        </w:tc>
        <w:tc>
          <w:tcPr>
            <w:tcW w:w="726" w:type="pct"/>
            <w:tcBorders>
              <w:top w:val="none" w:sz="0" w:space="0" w:color="auto"/>
              <w:left w:val="none" w:sz="0" w:space="0" w:color="auto"/>
              <w:bottom w:val="none" w:sz="0" w:space="0" w:color="auto"/>
              <w:right w:val="none" w:sz="0" w:space="0" w:color="auto"/>
            </w:tcBorders>
          </w:tcPr>
          <w:p w14:paraId="7CFD1A0D" w14:textId="02AD617A" w:rsidR="00FE6B83" w:rsidRDefault="00FE6B83">
            <w:r w:rsidRPr="00572FFB">
              <w:rPr>
                <w:rFonts w:ascii="Times New Roman" w:hAnsi="Times New Roman" w:cs="Times New Roman"/>
                <w:sz w:val="24"/>
                <w:szCs w:val="24"/>
              </w:rPr>
              <w:t>Timeliness</w:t>
            </w:r>
          </w:p>
        </w:tc>
        <w:tc>
          <w:tcPr>
            <w:tcW w:w="1028" w:type="pct"/>
            <w:tcBorders>
              <w:top w:val="none" w:sz="0" w:space="0" w:color="auto"/>
              <w:left w:val="none" w:sz="0" w:space="0" w:color="auto"/>
              <w:bottom w:val="none" w:sz="0" w:space="0" w:color="auto"/>
              <w:right w:val="none" w:sz="0" w:space="0" w:color="auto"/>
            </w:tcBorders>
          </w:tcPr>
          <w:p w14:paraId="14DD57D1" w14:textId="07F7A488" w:rsidR="00FE6B83" w:rsidRDefault="00FE6B83" w:rsidP="00FE6B83">
            <w:pPr>
              <w:jc w:val="center"/>
            </w:pPr>
            <w:r w:rsidRPr="00572FFB">
              <w:rPr>
                <w:rFonts w:ascii="Times New Roman" w:hAnsi="Times New Roman" w:cs="Times New Roman"/>
                <w:sz w:val="24"/>
                <w:szCs w:val="24"/>
              </w:rPr>
              <w:t>Implementation</w:t>
            </w:r>
          </w:p>
        </w:tc>
        <w:tc>
          <w:tcPr>
            <w:tcW w:w="745" w:type="pct"/>
            <w:tcBorders>
              <w:top w:val="none" w:sz="0" w:space="0" w:color="auto"/>
              <w:left w:val="none" w:sz="0" w:space="0" w:color="auto"/>
              <w:bottom w:val="none" w:sz="0" w:space="0" w:color="auto"/>
              <w:right w:val="none" w:sz="0" w:space="0" w:color="auto"/>
            </w:tcBorders>
          </w:tcPr>
          <w:p w14:paraId="5FA1881E" w14:textId="53CC02D9" w:rsidR="00FE6B83" w:rsidRPr="00572FFB" w:rsidRDefault="00FE6B83" w:rsidP="00FE6B83">
            <w:pPr>
              <w:jc w:val="center"/>
              <w:rPr>
                <w:rFonts w:ascii="Times New Roman" w:hAnsi="Times New Roman" w:cs="Times New Roman"/>
                <w:sz w:val="24"/>
                <w:szCs w:val="24"/>
              </w:rPr>
            </w:pPr>
            <w:r>
              <w:rPr>
                <w:rFonts w:ascii="Times New Roman" w:hAnsi="Times New Roman" w:cs="Times New Roman"/>
                <w:sz w:val="24"/>
                <w:szCs w:val="24"/>
              </w:rPr>
              <w:t>Total Score</w:t>
            </w:r>
          </w:p>
        </w:tc>
        <w:tc>
          <w:tcPr>
            <w:tcW w:w="744" w:type="pct"/>
            <w:tcBorders>
              <w:top w:val="none" w:sz="0" w:space="0" w:color="auto"/>
              <w:left w:val="none" w:sz="0" w:space="0" w:color="auto"/>
              <w:bottom w:val="none" w:sz="0" w:space="0" w:color="auto"/>
              <w:right w:val="none" w:sz="0" w:space="0" w:color="auto"/>
            </w:tcBorders>
          </w:tcPr>
          <w:p w14:paraId="72F91D1B" w14:textId="7CC9AA91" w:rsidR="00FE6B83" w:rsidRPr="00572FFB" w:rsidRDefault="00FE6B83">
            <w:pPr>
              <w:rPr>
                <w:rFonts w:ascii="Times New Roman" w:hAnsi="Times New Roman" w:cs="Times New Roman"/>
                <w:sz w:val="24"/>
                <w:szCs w:val="24"/>
              </w:rPr>
            </w:pPr>
            <w:r w:rsidRPr="00572FFB">
              <w:rPr>
                <w:rFonts w:ascii="Times New Roman" w:hAnsi="Times New Roman" w:cs="Times New Roman"/>
                <w:sz w:val="24"/>
                <w:szCs w:val="24"/>
              </w:rPr>
              <w:t>Tier</w:t>
            </w:r>
          </w:p>
        </w:tc>
      </w:tr>
      <w:tr w:rsidR="00FE6B83" w14:paraId="76170531" w14:textId="02779A94" w:rsidTr="004B6ED7">
        <w:tc>
          <w:tcPr>
            <w:tcW w:w="1061" w:type="pct"/>
            <w:noWrap/>
          </w:tcPr>
          <w:p w14:paraId="7E076DCD" w14:textId="31B20050" w:rsidR="00FE6B83" w:rsidRDefault="00FE6B83">
            <w:proofErr w:type="spellStart"/>
            <w:r w:rsidRPr="00572FFB">
              <w:rPr>
                <w:rFonts w:ascii="Times New Roman" w:hAnsi="Times New Roman" w:cs="Times New Roman"/>
                <w:sz w:val="24"/>
                <w:szCs w:val="24"/>
              </w:rPr>
              <w:t>Kpler</w:t>
            </w:r>
            <w:proofErr w:type="spellEnd"/>
            <w:r w:rsidRPr="00572FFB">
              <w:rPr>
                <w:rFonts w:ascii="Times New Roman" w:hAnsi="Times New Roman" w:cs="Times New Roman"/>
                <w:sz w:val="24"/>
                <w:szCs w:val="24"/>
              </w:rPr>
              <w:t xml:space="preserve">  </w:t>
            </w:r>
          </w:p>
        </w:tc>
        <w:tc>
          <w:tcPr>
            <w:tcW w:w="696" w:type="pct"/>
          </w:tcPr>
          <w:p w14:paraId="7E0C5B0A" w14:textId="548FD6EB" w:rsidR="00FE6B83" w:rsidRPr="00F26BB4" w:rsidRDefault="00FE6B83" w:rsidP="00F26BB4">
            <w:pPr>
              <w:pStyle w:val="DecimalAligned"/>
              <w:jc w:val="center"/>
              <w:rPr>
                <w:rFonts w:ascii="Times New Roman" w:hAnsi="Times New Roman"/>
              </w:rPr>
            </w:pPr>
            <w:r w:rsidRPr="00F26BB4">
              <w:rPr>
                <w:rFonts w:ascii="Times New Roman" w:hAnsi="Times New Roman"/>
              </w:rPr>
              <w:t>10</w:t>
            </w:r>
          </w:p>
        </w:tc>
        <w:tc>
          <w:tcPr>
            <w:tcW w:w="726" w:type="pct"/>
          </w:tcPr>
          <w:p w14:paraId="3B0D7B5B" w14:textId="0B80CF64" w:rsidR="00FE6B83" w:rsidRDefault="00FE6B83">
            <w:pPr>
              <w:pStyle w:val="DecimalAligned"/>
            </w:pPr>
            <w:r>
              <w:t>9</w:t>
            </w:r>
          </w:p>
        </w:tc>
        <w:tc>
          <w:tcPr>
            <w:tcW w:w="1028" w:type="pct"/>
          </w:tcPr>
          <w:p w14:paraId="0F421B1E" w14:textId="5D97D9CA" w:rsidR="00FE6B83" w:rsidRDefault="00FE6B83" w:rsidP="00FE6B83">
            <w:pPr>
              <w:pStyle w:val="DecimalAligned"/>
              <w:jc w:val="center"/>
            </w:pPr>
            <w:r>
              <w:t>8</w:t>
            </w:r>
          </w:p>
        </w:tc>
        <w:tc>
          <w:tcPr>
            <w:tcW w:w="745" w:type="pct"/>
          </w:tcPr>
          <w:p w14:paraId="0EAF7887" w14:textId="135C4E2B" w:rsidR="00FE6B83" w:rsidRDefault="00FE6B83" w:rsidP="004B6ED7">
            <w:pPr>
              <w:pStyle w:val="DecimalAligned"/>
              <w:jc w:val="center"/>
            </w:pPr>
            <w:r>
              <w:t>27</w:t>
            </w:r>
          </w:p>
        </w:tc>
        <w:tc>
          <w:tcPr>
            <w:tcW w:w="744" w:type="pct"/>
          </w:tcPr>
          <w:p w14:paraId="4171C7B4" w14:textId="0004D8E7" w:rsidR="00FE6B83" w:rsidRDefault="004B6ED7" w:rsidP="004B6ED7">
            <w:pPr>
              <w:pStyle w:val="DecimalAligned"/>
              <w:jc w:val="center"/>
            </w:pPr>
            <w:r>
              <w:t>1</w:t>
            </w:r>
          </w:p>
        </w:tc>
      </w:tr>
      <w:tr w:rsidR="00FE6B83" w14:paraId="42DCC934" w14:textId="161304E3" w:rsidTr="004B6ED7">
        <w:tc>
          <w:tcPr>
            <w:tcW w:w="1061" w:type="pct"/>
            <w:noWrap/>
          </w:tcPr>
          <w:p w14:paraId="6C2F2AF3" w14:textId="1FD559EE" w:rsidR="00FE6B83" w:rsidRDefault="00FE6B83">
            <w:r w:rsidRPr="00572FFB">
              <w:rPr>
                <w:rFonts w:ascii="Times New Roman" w:hAnsi="Times New Roman" w:cs="Times New Roman"/>
                <w:sz w:val="24"/>
                <w:szCs w:val="24"/>
              </w:rPr>
              <w:t>Privateer</w:t>
            </w:r>
          </w:p>
        </w:tc>
        <w:tc>
          <w:tcPr>
            <w:tcW w:w="696" w:type="pct"/>
          </w:tcPr>
          <w:p w14:paraId="688F99BF" w14:textId="60B2DD1F" w:rsidR="00FE6B83" w:rsidRPr="00F26BB4" w:rsidRDefault="00FE6B83" w:rsidP="00F26BB4">
            <w:pPr>
              <w:pStyle w:val="DecimalAligned"/>
              <w:jc w:val="center"/>
              <w:rPr>
                <w:rFonts w:ascii="Times New Roman" w:hAnsi="Times New Roman"/>
              </w:rPr>
            </w:pPr>
            <w:r w:rsidRPr="00F26BB4">
              <w:rPr>
                <w:rFonts w:ascii="Times New Roman" w:hAnsi="Times New Roman"/>
              </w:rPr>
              <w:t>9</w:t>
            </w:r>
          </w:p>
        </w:tc>
        <w:tc>
          <w:tcPr>
            <w:tcW w:w="726" w:type="pct"/>
          </w:tcPr>
          <w:p w14:paraId="680A1CC2" w14:textId="5B3A123C" w:rsidR="00FE6B83" w:rsidRDefault="00FE6B83">
            <w:pPr>
              <w:pStyle w:val="DecimalAligned"/>
            </w:pPr>
            <w:r>
              <w:t>10</w:t>
            </w:r>
          </w:p>
        </w:tc>
        <w:tc>
          <w:tcPr>
            <w:tcW w:w="1028" w:type="pct"/>
          </w:tcPr>
          <w:p w14:paraId="66FE3FA7" w14:textId="3721CFEC" w:rsidR="00FE6B83" w:rsidRDefault="00FE6B83" w:rsidP="00FE6B83">
            <w:pPr>
              <w:pStyle w:val="DecimalAligned"/>
              <w:jc w:val="center"/>
            </w:pPr>
            <w:r>
              <w:t>7</w:t>
            </w:r>
          </w:p>
        </w:tc>
        <w:tc>
          <w:tcPr>
            <w:tcW w:w="745" w:type="pct"/>
          </w:tcPr>
          <w:p w14:paraId="2B007D9A" w14:textId="52FCC67A" w:rsidR="00FE6B83" w:rsidRDefault="00FE6B83" w:rsidP="004B6ED7">
            <w:pPr>
              <w:pStyle w:val="DecimalAligned"/>
              <w:jc w:val="center"/>
            </w:pPr>
            <w:r>
              <w:t>26</w:t>
            </w:r>
          </w:p>
        </w:tc>
        <w:tc>
          <w:tcPr>
            <w:tcW w:w="744" w:type="pct"/>
          </w:tcPr>
          <w:p w14:paraId="72AF23EC" w14:textId="5501C2E0" w:rsidR="00FE6B83" w:rsidRDefault="004B6ED7" w:rsidP="004B6ED7">
            <w:pPr>
              <w:pStyle w:val="DecimalAligned"/>
              <w:jc w:val="center"/>
            </w:pPr>
            <w:r>
              <w:t>1</w:t>
            </w:r>
          </w:p>
        </w:tc>
      </w:tr>
      <w:tr w:rsidR="00FE6B83" w14:paraId="4608493F" w14:textId="10ADB97C" w:rsidTr="004B6ED7">
        <w:tc>
          <w:tcPr>
            <w:tcW w:w="1061" w:type="pct"/>
            <w:noWrap/>
          </w:tcPr>
          <w:p w14:paraId="2B1F9A12" w14:textId="6286833F" w:rsidR="00FE6B83" w:rsidRDefault="00FE6B83">
            <w:r w:rsidRPr="00572FFB">
              <w:rPr>
                <w:rFonts w:ascii="Times New Roman" w:hAnsi="Times New Roman" w:cs="Times New Roman"/>
                <w:sz w:val="24"/>
                <w:szCs w:val="24"/>
              </w:rPr>
              <w:t xml:space="preserve">YES Energy          </w:t>
            </w:r>
          </w:p>
        </w:tc>
        <w:tc>
          <w:tcPr>
            <w:tcW w:w="696" w:type="pct"/>
          </w:tcPr>
          <w:p w14:paraId="766677A2" w14:textId="34646E73" w:rsidR="00FE6B83" w:rsidRPr="00F26BB4" w:rsidRDefault="00FE6B83" w:rsidP="00F26BB4">
            <w:pPr>
              <w:pStyle w:val="DecimalAligned"/>
              <w:jc w:val="center"/>
              <w:rPr>
                <w:rFonts w:ascii="Times New Roman" w:hAnsi="Times New Roman"/>
              </w:rPr>
            </w:pPr>
            <w:r w:rsidRPr="00F26BB4">
              <w:rPr>
                <w:rFonts w:ascii="Times New Roman" w:hAnsi="Times New Roman"/>
              </w:rPr>
              <w:t>8</w:t>
            </w:r>
          </w:p>
        </w:tc>
        <w:tc>
          <w:tcPr>
            <w:tcW w:w="726" w:type="pct"/>
          </w:tcPr>
          <w:p w14:paraId="54086C8C" w14:textId="31C3CBDD" w:rsidR="00FE6B83" w:rsidRDefault="00FE6B83">
            <w:pPr>
              <w:pStyle w:val="DecimalAligned"/>
            </w:pPr>
            <w:r>
              <w:t>10</w:t>
            </w:r>
          </w:p>
        </w:tc>
        <w:tc>
          <w:tcPr>
            <w:tcW w:w="1028" w:type="pct"/>
          </w:tcPr>
          <w:p w14:paraId="623929DF" w14:textId="3D21E87E" w:rsidR="00FE6B83" w:rsidRDefault="00FE6B83" w:rsidP="00FE6B83">
            <w:pPr>
              <w:pStyle w:val="DecimalAligned"/>
              <w:jc w:val="center"/>
            </w:pPr>
            <w:r>
              <w:t>8</w:t>
            </w:r>
          </w:p>
        </w:tc>
        <w:tc>
          <w:tcPr>
            <w:tcW w:w="745" w:type="pct"/>
          </w:tcPr>
          <w:p w14:paraId="2B2A74A9" w14:textId="0BCDBA14" w:rsidR="00FE6B83" w:rsidRDefault="004B6ED7" w:rsidP="004B6ED7">
            <w:pPr>
              <w:pStyle w:val="DecimalAligned"/>
              <w:jc w:val="center"/>
            </w:pPr>
            <w:r>
              <w:t>26</w:t>
            </w:r>
          </w:p>
        </w:tc>
        <w:tc>
          <w:tcPr>
            <w:tcW w:w="744" w:type="pct"/>
          </w:tcPr>
          <w:p w14:paraId="73B18ADB" w14:textId="3F9DE49E" w:rsidR="00FE6B83" w:rsidRDefault="004B6ED7" w:rsidP="004B6ED7">
            <w:pPr>
              <w:pStyle w:val="DecimalAligned"/>
              <w:jc w:val="center"/>
            </w:pPr>
            <w:r>
              <w:t>1</w:t>
            </w:r>
          </w:p>
        </w:tc>
      </w:tr>
      <w:tr w:rsidR="00FE6B83" w14:paraId="7D324D9F" w14:textId="4B372362" w:rsidTr="004B6ED7">
        <w:tc>
          <w:tcPr>
            <w:tcW w:w="1061" w:type="pct"/>
            <w:noWrap/>
          </w:tcPr>
          <w:p w14:paraId="46EECBAE" w14:textId="1D885D90" w:rsidR="00FE6B83" w:rsidRDefault="00FE6B83">
            <w:proofErr w:type="spellStart"/>
            <w:r w:rsidRPr="00572FFB">
              <w:rPr>
                <w:rFonts w:ascii="Times New Roman" w:hAnsi="Times New Roman" w:cs="Times New Roman"/>
                <w:sz w:val="24"/>
                <w:szCs w:val="24"/>
              </w:rPr>
              <w:t>Enverus</w:t>
            </w:r>
            <w:proofErr w:type="spellEnd"/>
            <w:r w:rsidRPr="00572FFB">
              <w:rPr>
                <w:rFonts w:ascii="Times New Roman" w:hAnsi="Times New Roman" w:cs="Times New Roman"/>
                <w:sz w:val="24"/>
                <w:szCs w:val="24"/>
              </w:rPr>
              <w:t xml:space="preserve">   </w:t>
            </w:r>
          </w:p>
        </w:tc>
        <w:tc>
          <w:tcPr>
            <w:tcW w:w="696" w:type="pct"/>
          </w:tcPr>
          <w:p w14:paraId="5208AB3A" w14:textId="2AAF157D" w:rsidR="00FE6B83" w:rsidRPr="00F26BB4" w:rsidRDefault="00FE6B83" w:rsidP="00F26BB4">
            <w:pPr>
              <w:pStyle w:val="DecimalAligned"/>
              <w:jc w:val="center"/>
              <w:rPr>
                <w:rFonts w:ascii="Times New Roman" w:hAnsi="Times New Roman"/>
              </w:rPr>
            </w:pPr>
            <w:r w:rsidRPr="00F26BB4">
              <w:rPr>
                <w:rFonts w:ascii="Times New Roman" w:hAnsi="Times New Roman"/>
              </w:rPr>
              <w:t>8</w:t>
            </w:r>
          </w:p>
        </w:tc>
        <w:tc>
          <w:tcPr>
            <w:tcW w:w="726" w:type="pct"/>
          </w:tcPr>
          <w:p w14:paraId="319DA1D1" w14:textId="28730167" w:rsidR="00FE6B83" w:rsidRDefault="00FE6B83">
            <w:pPr>
              <w:pStyle w:val="DecimalAligned"/>
            </w:pPr>
            <w:r>
              <w:t>9</w:t>
            </w:r>
          </w:p>
        </w:tc>
        <w:tc>
          <w:tcPr>
            <w:tcW w:w="1028" w:type="pct"/>
          </w:tcPr>
          <w:p w14:paraId="0755AF4A" w14:textId="1E4CA564" w:rsidR="00FE6B83" w:rsidRDefault="00FE6B83" w:rsidP="00FE6B83">
            <w:pPr>
              <w:pStyle w:val="DecimalAligned"/>
              <w:jc w:val="center"/>
            </w:pPr>
            <w:r>
              <w:t>8</w:t>
            </w:r>
          </w:p>
        </w:tc>
        <w:tc>
          <w:tcPr>
            <w:tcW w:w="745" w:type="pct"/>
          </w:tcPr>
          <w:p w14:paraId="0314D8A2" w14:textId="348057E6" w:rsidR="00FE6B83" w:rsidRDefault="004B6ED7" w:rsidP="004B6ED7">
            <w:pPr>
              <w:pStyle w:val="DecimalAligned"/>
              <w:jc w:val="center"/>
            </w:pPr>
            <w:r>
              <w:t>25</w:t>
            </w:r>
          </w:p>
        </w:tc>
        <w:tc>
          <w:tcPr>
            <w:tcW w:w="744" w:type="pct"/>
          </w:tcPr>
          <w:p w14:paraId="1D5552A7" w14:textId="27584F8D" w:rsidR="00FE6B83" w:rsidRDefault="004B6ED7" w:rsidP="004B6ED7">
            <w:pPr>
              <w:pStyle w:val="DecimalAligned"/>
              <w:jc w:val="center"/>
            </w:pPr>
            <w:r>
              <w:t>1</w:t>
            </w:r>
          </w:p>
        </w:tc>
      </w:tr>
      <w:tr w:rsidR="00FE6B83" w14:paraId="2E3110D3" w14:textId="0DC2E715" w:rsidTr="004B6ED7">
        <w:tc>
          <w:tcPr>
            <w:tcW w:w="1061" w:type="pct"/>
            <w:noWrap/>
          </w:tcPr>
          <w:p w14:paraId="0DD8BF41" w14:textId="5448C3A3" w:rsidR="00FE6B83" w:rsidRDefault="00FE6B83">
            <w:proofErr w:type="spellStart"/>
            <w:r w:rsidRPr="00572FFB">
              <w:rPr>
                <w:rFonts w:ascii="Times New Roman" w:hAnsi="Times New Roman" w:cs="Times New Roman"/>
                <w:sz w:val="24"/>
                <w:szCs w:val="24"/>
              </w:rPr>
              <w:t>Kayrros</w:t>
            </w:r>
            <w:proofErr w:type="spellEnd"/>
            <w:r w:rsidRPr="00572FFB">
              <w:rPr>
                <w:rFonts w:ascii="Times New Roman" w:hAnsi="Times New Roman" w:cs="Times New Roman"/>
                <w:sz w:val="24"/>
                <w:szCs w:val="24"/>
              </w:rPr>
              <w:t xml:space="preserve">  </w:t>
            </w:r>
          </w:p>
        </w:tc>
        <w:tc>
          <w:tcPr>
            <w:tcW w:w="696" w:type="pct"/>
          </w:tcPr>
          <w:p w14:paraId="4F2DE911" w14:textId="04791BD9" w:rsidR="00FE6B83" w:rsidRPr="00F26BB4" w:rsidRDefault="00FE6B83" w:rsidP="00F26BB4">
            <w:pPr>
              <w:pStyle w:val="DecimalAligned"/>
              <w:jc w:val="center"/>
              <w:rPr>
                <w:rFonts w:ascii="Times New Roman" w:hAnsi="Times New Roman"/>
              </w:rPr>
            </w:pPr>
            <w:r w:rsidRPr="00F26BB4">
              <w:rPr>
                <w:rFonts w:ascii="Times New Roman" w:hAnsi="Times New Roman"/>
              </w:rPr>
              <w:t>9</w:t>
            </w:r>
          </w:p>
        </w:tc>
        <w:tc>
          <w:tcPr>
            <w:tcW w:w="726" w:type="pct"/>
          </w:tcPr>
          <w:p w14:paraId="2F5323D1" w14:textId="42DB6A69" w:rsidR="00FE6B83" w:rsidRDefault="00FE6B83">
            <w:pPr>
              <w:pStyle w:val="DecimalAligned"/>
            </w:pPr>
            <w:r>
              <w:t>9</w:t>
            </w:r>
          </w:p>
        </w:tc>
        <w:tc>
          <w:tcPr>
            <w:tcW w:w="1028" w:type="pct"/>
          </w:tcPr>
          <w:p w14:paraId="2391DF52" w14:textId="59BFE51D" w:rsidR="00FE6B83" w:rsidRDefault="00FE6B83" w:rsidP="00FE6B83">
            <w:pPr>
              <w:pStyle w:val="DecimalAligned"/>
              <w:jc w:val="center"/>
            </w:pPr>
            <w:r>
              <w:t>7</w:t>
            </w:r>
          </w:p>
        </w:tc>
        <w:tc>
          <w:tcPr>
            <w:tcW w:w="745" w:type="pct"/>
          </w:tcPr>
          <w:p w14:paraId="0975112A" w14:textId="61F8BFE1" w:rsidR="00FE6B83" w:rsidRDefault="004B6ED7" w:rsidP="004B6ED7">
            <w:pPr>
              <w:pStyle w:val="DecimalAligned"/>
              <w:jc w:val="center"/>
            </w:pPr>
            <w:r>
              <w:t>25</w:t>
            </w:r>
          </w:p>
        </w:tc>
        <w:tc>
          <w:tcPr>
            <w:tcW w:w="744" w:type="pct"/>
          </w:tcPr>
          <w:p w14:paraId="0927D09F" w14:textId="01F09903" w:rsidR="00FE6B83" w:rsidRDefault="004B6ED7" w:rsidP="004B6ED7">
            <w:pPr>
              <w:pStyle w:val="DecimalAligned"/>
              <w:jc w:val="center"/>
            </w:pPr>
            <w:r>
              <w:t>1</w:t>
            </w:r>
          </w:p>
        </w:tc>
      </w:tr>
      <w:tr w:rsidR="00FE6B83" w14:paraId="5E096838" w14:textId="77777777" w:rsidTr="004B6ED7">
        <w:trPr>
          <w:trHeight w:val="357"/>
        </w:trPr>
        <w:tc>
          <w:tcPr>
            <w:tcW w:w="1061" w:type="pct"/>
            <w:noWrap/>
          </w:tcPr>
          <w:p w14:paraId="6A54DEB8" w14:textId="0629D1B1" w:rsidR="00FE6B83" w:rsidRPr="00F26B4C" w:rsidRDefault="00FE6B83">
            <w:pPr>
              <w:rPr>
                <w:rFonts w:ascii="Times New Roman" w:hAnsi="Times New Roman" w:cs="Times New Roman"/>
                <w:sz w:val="24"/>
                <w:szCs w:val="24"/>
              </w:rPr>
            </w:pPr>
            <w:proofErr w:type="spellStart"/>
            <w:r w:rsidRPr="00F26B4C">
              <w:rPr>
                <w:rFonts w:ascii="Times New Roman" w:hAnsi="Times New Roman" w:cs="Times New Roman"/>
                <w:sz w:val="24"/>
                <w:szCs w:val="24"/>
              </w:rPr>
              <w:t>Vortexa</w:t>
            </w:r>
            <w:proofErr w:type="spellEnd"/>
          </w:p>
        </w:tc>
        <w:tc>
          <w:tcPr>
            <w:tcW w:w="696" w:type="pct"/>
          </w:tcPr>
          <w:p w14:paraId="54F137C5" w14:textId="352E17A5" w:rsidR="00FE6B83" w:rsidRPr="00F26BB4" w:rsidRDefault="00FE6B83" w:rsidP="00F26BB4">
            <w:pPr>
              <w:pStyle w:val="DecimalAligned"/>
              <w:jc w:val="center"/>
              <w:rPr>
                <w:rStyle w:val="SubtleEmphasis"/>
                <w:rFonts w:ascii="Times New Roman" w:hAnsi="Times New Roman"/>
                <w:i w:val="0"/>
                <w:iCs w:val="0"/>
              </w:rPr>
            </w:pPr>
            <w:r w:rsidRPr="00F26BB4">
              <w:t>8</w:t>
            </w:r>
          </w:p>
        </w:tc>
        <w:tc>
          <w:tcPr>
            <w:tcW w:w="726" w:type="pct"/>
          </w:tcPr>
          <w:p w14:paraId="44F5753B" w14:textId="0D933990" w:rsidR="00FE6B83" w:rsidRDefault="00FE6B83" w:rsidP="00FE6B83">
            <w:pPr>
              <w:pStyle w:val="DecimalAligned"/>
            </w:pPr>
            <w:r>
              <w:t>9</w:t>
            </w:r>
          </w:p>
        </w:tc>
        <w:tc>
          <w:tcPr>
            <w:tcW w:w="1028" w:type="pct"/>
          </w:tcPr>
          <w:p w14:paraId="179F2B28" w14:textId="31C5780E" w:rsidR="00FE6B83" w:rsidRDefault="00FE6B83" w:rsidP="00FE6B83">
            <w:pPr>
              <w:pStyle w:val="DecimalAligned"/>
              <w:jc w:val="center"/>
            </w:pPr>
            <w:r>
              <w:t>8</w:t>
            </w:r>
          </w:p>
        </w:tc>
        <w:tc>
          <w:tcPr>
            <w:tcW w:w="745" w:type="pct"/>
          </w:tcPr>
          <w:p w14:paraId="64B6FDD4" w14:textId="7BF2293D" w:rsidR="00FE6B83" w:rsidRDefault="004B6ED7" w:rsidP="004B6ED7">
            <w:pPr>
              <w:jc w:val="center"/>
            </w:pPr>
            <w:r>
              <w:t>25</w:t>
            </w:r>
          </w:p>
        </w:tc>
        <w:tc>
          <w:tcPr>
            <w:tcW w:w="744" w:type="pct"/>
          </w:tcPr>
          <w:p w14:paraId="50476563" w14:textId="062AB1D4" w:rsidR="00FE6B83" w:rsidRDefault="004B6ED7" w:rsidP="004B6ED7">
            <w:pPr>
              <w:pStyle w:val="DecimalAligned"/>
              <w:jc w:val="center"/>
            </w:pPr>
            <w:r>
              <w:t>1</w:t>
            </w:r>
          </w:p>
        </w:tc>
      </w:tr>
      <w:tr w:rsidR="00FE6B83" w14:paraId="32D1A5A4" w14:textId="377166C8" w:rsidTr="004B6ED7">
        <w:trPr>
          <w:trHeight w:val="454"/>
        </w:trPr>
        <w:tc>
          <w:tcPr>
            <w:tcW w:w="1061" w:type="pct"/>
            <w:noWrap/>
          </w:tcPr>
          <w:p w14:paraId="14C8FD3D" w14:textId="7E4496F0" w:rsidR="00FE6B83" w:rsidRDefault="00FE6B83">
            <w:proofErr w:type="spellStart"/>
            <w:r w:rsidRPr="00572FFB">
              <w:rPr>
                <w:rFonts w:ascii="Times New Roman" w:hAnsi="Times New Roman" w:cs="Times New Roman"/>
                <w:sz w:val="24"/>
                <w:szCs w:val="24"/>
              </w:rPr>
              <w:t>MarineTraffic</w:t>
            </w:r>
            <w:proofErr w:type="spellEnd"/>
          </w:p>
        </w:tc>
        <w:tc>
          <w:tcPr>
            <w:tcW w:w="696" w:type="pct"/>
          </w:tcPr>
          <w:p w14:paraId="7DA7C042" w14:textId="0D192C0A" w:rsidR="00FE6B83" w:rsidRPr="00F26BB4" w:rsidRDefault="00FE6B83" w:rsidP="00F26BB4">
            <w:pPr>
              <w:pStyle w:val="DecimalAligned"/>
              <w:jc w:val="center"/>
              <w:rPr>
                <w:rFonts w:ascii="Times New Roman" w:hAnsi="Times New Roman"/>
              </w:rPr>
            </w:pPr>
            <w:r w:rsidRPr="00F26BB4">
              <w:rPr>
                <w:rFonts w:ascii="Times New Roman" w:hAnsi="Times New Roman"/>
              </w:rPr>
              <w:t>7</w:t>
            </w:r>
          </w:p>
        </w:tc>
        <w:tc>
          <w:tcPr>
            <w:tcW w:w="726" w:type="pct"/>
          </w:tcPr>
          <w:p w14:paraId="27879F89" w14:textId="53576E1E" w:rsidR="00FE6B83" w:rsidRDefault="00FE6B83">
            <w:pPr>
              <w:pStyle w:val="DecimalAligned"/>
            </w:pPr>
            <w:r>
              <w:t>8</w:t>
            </w:r>
          </w:p>
        </w:tc>
        <w:tc>
          <w:tcPr>
            <w:tcW w:w="1028" w:type="pct"/>
          </w:tcPr>
          <w:p w14:paraId="1900127B" w14:textId="7B11A483" w:rsidR="00FE6B83" w:rsidRDefault="00FE6B83" w:rsidP="00FE6B83">
            <w:pPr>
              <w:pStyle w:val="DecimalAligned"/>
              <w:jc w:val="center"/>
            </w:pPr>
            <w:r>
              <w:t>9</w:t>
            </w:r>
          </w:p>
        </w:tc>
        <w:tc>
          <w:tcPr>
            <w:tcW w:w="745" w:type="pct"/>
          </w:tcPr>
          <w:p w14:paraId="4DF658E3" w14:textId="69DF9DCF" w:rsidR="00FE6B83" w:rsidRDefault="004B6ED7" w:rsidP="004B6ED7">
            <w:pPr>
              <w:pStyle w:val="DecimalAligned"/>
              <w:jc w:val="center"/>
            </w:pPr>
            <w:r>
              <w:t>24</w:t>
            </w:r>
          </w:p>
        </w:tc>
        <w:tc>
          <w:tcPr>
            <w:tcW w:w="744" w:type="pct"/>
          </w:tcPr>
          <w:p w14:paraId="1480C9A5" w14:textId="2EF4CC2A" w:rsidR="00FE6B83" w:rsidRDefault="004B6ED7" w:rsidP="004B6ED7">
            <w:pPr>
              <w:pStyle w:val="DecimalAligned"/>
              <w:jc w:val="center"/>
            </w:pPr>
            <w:r>
              <w:t>1</w:t>
            </w:r>
          </w:p>
        </w:tc>
      </w:tr>
      <w:tr w:rsidR="00FE6B83" w14:paraId="3603B61A" w14:textId="7AD6483C" w:rsidTr="004B6ED7">
        <w:tc>
          <w:tcPr>
            <w:tcW w:w="1061" w:type="pct"/>
            <w:noWrap/>
          </w:tcPr>
          <w:p w14:paraId="2FCC5DD2" w14:textId="38BCD7E7" w:rsidR="00FE6B83" w:rsidRDefault="00FE6B83">
            <w:r w:rsidRPr="00572FFB">
              <w:rPr>
                <w:rFonts w:ascii="Times New Roman" w:hAnsi="Times New Roman" w:cs="Times New Roman"/>
                <w:sz w:val="24"/>
                <w:szCs w:val="24"/>
              </w:rPr>
              <w:lastRenderedPageBreak/>
              <w:t xml:space="preserve">Wood Mackenzie      </w:t>
            </w:r>
          </w:p>
        </w:tc>
        <w:tc>
          <w:tcPr>
            <w:tcW w:w="696" w:type="pct"/>
          </w:tcPr>
          <w:p w14:paraId="4E380194" w14:textId="26D017A3" w:rsidR="00FE6B83" w:rsidRDefault="00FE6B83">
            <w:pPr>
              <w:pStyle w:val="DecimalAligned"/>
            </w:pPr>
            <w:r>
              <w:t>8</w:t>
            </w:r>
          </w:p>
        </w:tc>
        <w:tc>
          <w:tcPr>
            <w:tcW w:w="726" w:type="pct"/>
          </w:tcPr>
          <w:p w14:paraId="55A15EC2" w14:textId="04ECF637" w:rsidR="00FE6B83" w:rsidRDefault="00FE6B83">
            <w:pPr>
              <w:pStyle w:val="DecimalAligned"/>
            </w:pPr>
            <w:r>
              <w:t>6</w:t>
            </w:r>
          </w:p>
        </w:tc>
        <w:tc>
          <w:tcPr>
            <w:tcW w:w="1028" w:type="pct"/>
          </w:tcPr>
          <w:p w14:paraId="2ABD2A12" w14:textId="02FA5E20" w:rsidR="00FE6B83" w:rsidRDefault="00FE6B83" w:rsidP="00FE6B83">
            <w:pPr>
              <w:pStyle w:val="DecimalAligned"/>
              <w:jc w:val="center"/>
            </w:pPr>
            <w:r>
              <w:t>7</w:t>
            </w:r>
          </w:p>
        </w:tc>
        <w:tc>
          <w:tcPr>
            <w:tcW w:w="745" w:type="pct"/>
          </w:tcPr>
          <w:p w14:paraId="70C19FBB" w14:textId="5A7C17CF" w:rsidR="00FE6B83" w:rsidRDefault="004B6ED7" w:rsidP="004B6ED7">
            <w:pPr>
              <w:pStyle w:val="DecimalAligned"/>
              <w:jc w:val="center"/>
            </w:pPr>
            <w:r>
              <w:t>21</w:t>
            </w:r>
          </w:p>
        </w:tc>
        <w:tc>
          <w:tcPr>
            <w:tcW w:w="744" w:type="pct"/>
          </w:tcPr>
          <w:p w14:paraId="099E17D7" w14:textId="00492FEF" w:rsidR="00FE6B83" w:rsidRDefault="004B6ED7" w:rsidP="004B6ED7">
            <w:pPr>
              <w:pStyle w:val="DecimalAligned"/>
              <w:jc w:val="center"/>
            </w:pPr>
            <w:r>
              <w:t>1</w:t>
            </w:r>
          </w:p>
        </w:tc>
      </w:tr>
      <w:tr w:rsidR="00FE6B83" w14:paraId="6FF2931E" w14:textId="5329970F" w:rsidTr="004B6ED7">
        <w:tc>
          <w:tcPr>
            <w:tcW w:w="1061" w:type="pct"/>
            <w:noWrap/>
          </w:tcPr>
          <w:p w14:paraId="476DDAD0" w14:textId="1043ABCF" w:rsidR="00FE6B83" w:rsidRDefault="00FE6B83">
            <w:r w:rsidRPr="00572FFB">
              <w:rPr>
                <w:rFonts w:ascii="Times New Roman" w:hAnsi="Times New Roman" w:cs="Times New Roman"/>
                <w:sz w:val="24"/>
                <w:szCs w:val="24"/>
              </w:rPr>
              <w:t xml:space="preserve">IEA   </w:t>
            </w:r>
          </w:p>
        </w:tc>
        <w:tc>
          <w:tcPr>
            <w:tcW w:w="696" w:type="pct"/>
          </w:tcPr>
          <w:p w14:paraId="5C702F75" w14:textId="40700810" w:rsidR="00FE6B83" w:rsidRDefault="00FE6B83">
            <w:pPr>
              <w:pStyle w:val="DecimalAligned"/>
            </w:pPr>
            <w:r>
              <w:t>7</w:t>
            </w:r>
          </w:p>
        </w:tc>
        <w:tc>
          <w:tcPr>
            <w:tcW w:w="726" w:type="pct"/>
          </w:tcPr>
          <w:p w14:paraId="56D989CC" w14:textId="76AD1AD5" w:rsidR="00FE6B83" w:rsidRDefault="00FE6B83">
            <w:pPr>
              <w:pStyle w:val="DecimalAligned"/>
            </w:pPr>
            <w:r>
              <w:t>5</w:t>
            </w:r>
          </w:p>
        </w:tc>
        <w:tc>
          <w:tcPr>
            <w:tcW w:w="1028" w:type="pct"/>
          </w:tcPr>
          <w:p w14:paraId="72883F55" w14:textId="09D50C3C" w:rsidR="00FE6B83" w:rsidRDefault="00FE6B83" w:rsidP="00FE6B83">
            <w:pPr>
              <w:pStyle w:val="DecimalAligned"/>
              <w:jc w:val="center"/>
            </w:pPr>
            <w:r>
              <w:t>6</w:t>
            </w:r>
          </w:p>
        </w:tc>
        <w:tc>
          <w:tcPr>
            <w:tcW w:w="745" w:type="pct"/>
          </w:tcPr>
          <w:p w14:paraId="03458C36" w14:textId="05561F2F" w:rsidR="00FE6B83" w:rsidRDefault="004B6ED7" w:rsidP="004B6ED7">
            <w:pPr>
              <w:pStyle w:val="DecimalAligned"/>
              <w:jc w:val="center"/>
            </w:pPr>
            <w:r>
              <w:t>18</w:t>
            </w:r>
          </w:p>
        </w:tc>
        <w:tc>
          <w:tcPr>
            <w:tcW w:w="744" w:type="pct"/>
          </w:tcPr>
          <w:p w14:paraId="7D94F45C" w14:textId="12C08F66" w:rsidR="00FE6B83" w:rsidRDefault="004B6ED7" w:rsidP="004B6ED7">
            <w:pPr>
              <w:pStyle w:val="DecimalAligned"/>
              <w:jc w:val="center"/>
            </w:pPr>
            <w:r>
              <w:t>1</w:t>
            </w:r>
          </w:p>
        </w:tc>
      </w:tr>
    </w:tbl>
    <w:p w14:paraId="43F4A6F8" w14:textId="77777777" w:rsidR="00AB4C7A" w:rsidRPr="00572FFB" w:rsidRDefault="00AB4C7A" w:rsidP="00572FFB">
      <w:pPr>
        <w:rPr>
          <w:rFonts w:ascii="Times New Roman" w:hAnsi="Times New Roman" w:cs="Times New Roman"/>
          <w:sz w:val="24"/>
          <w:szCs w:val="24"/>
        </w:rPr>
      </w:pPr>
    </w:p>
    <w:p w14:paraId="7D8334A1" w14:textId="7C2A841F" w:rsidR="00572FFB" w:rsidRPr="00C33450" w:rsidRDefault="00572FFB" w:rsidP="00572FFB">
      <w:pPr>
        <w:rPr>
          <w:rFonts w:ascii="Times New Roman" w:hAnsi="Times New Roman" w:cs="Times New Roman"/>
          <w:i/>
          <w:iCs/>
          <w:sz w:val="24"/>
          <w:szCs w:val="24"/>
        </w:rPr>
      </w:pPr>
      <w:r w:rsidRPr="00C33450">
        <w:rPr>
          <w:rFonts w:ascii="Times New Roman" w:hAnsi="Times New Roman" w:cs="Times New Roman"/>
          <w:i/>
          <w:iCs/>
          <w:sz w:val="24"/>
          <w:szCs w:val="24"/>
        </w:rPr>
        <w:t>Scoring Criteria:</w:t>
      </w:r>
    </w:p>
    <w:p w14:paraId="2D8706A4" w14:textId="6A73EC37" w:rsidR="00572FFB" w:rsidRPr="00C33450" w:rsidRDefault="00572FFB" w:rsidP="00C33450">
      <w:pPr>
        <w:pStyle w:val="ListParagraph"/>
        <w:numPr>
          <w:ilvl w:val="0"/>
          <w:numId w:val="3"/>
        </w:numPr>
        <w:rPr>
          <w:rFonts w:ascii="Times New Roman" w:hAnsi="Times New Roman" w:cs="Times New Roman"/>
          <w:sz w:val="24"/>
          <w:szCs w:val="24"/>
        </w:rPr>
      </w:pPr>
      <w:r w:rsidRPr="00C33450">
        <w:rPr>
          <w:rFonts w:ascii="Times New Roman" w:hAnsi="Times New Roman" w:cs="Times New Roman"/>
          <w:sz w:val="24"/>
          <w:szCs w:val="24"/>
        </w:rPr>
        <w:t>Relevance (1-10) = How critical for investment decisions</w:t>
      </w:r>
    </w:p>
    <w:p w14:paraId="301688B0" w14:textId="55FADD5C" w:rsidR="00572FFB" w:rsidRPr="00C33450" w:rsidRDefault="00572FFB" w:rsidP="00C33450">
      <w:pPr>
        <w:pStyle w:val="ListParagraph"/>
        <w:numPr>
          <w:ilvl w:val="0"/>
          <w:numId w:val="3"/>
        </w:numPr>
        <w:rPr>
          <w:rFonts w:ascii="Times New Roman" w:hAnsi="Times New Roman" w:cs="Times New Roman"/>
          <w:sz w:val="24"/>
          <w:szCs w:val="24"/>
        </w:rPr>
      </w:pPr>
      <w:r w:rsidRPr="00C33450">
        <w:rPr>
          <w:rFonts w:ascii="Times New Roman" w:hAnsi="Times New Roman" w:cs="Times New Roman"/>
          <w:sz w:val="24"/>
          <w:szCs w:val="24"/>
        </w:rPr>
        <w:t>Timeliness (1-10) = How current is the data</w:t>
      </w:r>
    </w:p>
    <w:p w14:paraId="6B8689DF" w14:textId="02D44F7B" w:rsidR="00572FFB" w:rsidRPr="00C33450" w:rsidRDefault="00572FFB" w:rsidP="00C33450">
      <w:pPr>
        <w:pStyle w:val="ListParagraph"/>
        <w:numPr>
          <w:ilvl w:val="0"/>
          <w:numId w:val="3"/>
        </w:numPr>
        <w:rPr>
          <w:rFonts w:ascii="Times New Roman" w:hAnsi="Times New Roman" w:cs="Times New Roman"/>
          <w:sz w:val="24"/>
          <w:szCs w:val="24"/>
        </w:rPr>
      </w:pPr>
      <w:r w:rsidRPr="00C33450">
        <w:rPr>
          <w:rFonts w:ascii="Times New Roman" w:hAnsi="Times New Roman" w:cs="Times New Roman"/>
          <w:sz w:val="24"/>
          <w:szCs w:val="24"/>
        </w:rPr>
        <w:t>Implementation (1-10) = Ease of integration/use</w:t>
      </w:r>
    </w:p>
    <w:p w14:paraId="23642A39" w14:textId="77777777" w:rsidR="00572FFB" w:rsidRPr="00572FFB" w:rsidRDefault="00572FFB" w:rsidP="00572FFB">
      <w:pPr>
        <w:rPr>
          <w:rFonts w:ascii="Times New Roman" w:hAnsi="Times New Roman" w:cs="Times New Roman"/>
          <w:sz w:val="24"/>
          <w:szCs w:val="24"/>
        </w:rPr>
      </w:pPr>
    </w:p>
    <w:p w14:paraId="2D21CBAD" w14:textId="0F4A76E0" w:rsidR="00572FFB" w:rsidRPr="001C1FE2" w:rsidRDefault="001C1FE2" w:rsidP="001C1FE2">
      <w:pPr>
        <w:pStyle w:val="Heading2"/>
        <w:rPr>
          <w:rFonts w:ascii="Times New Roman" w:hAnsi="Times New Roman" w:cs="Times New Roman"/>
          <w:color w:val="4EA72E" w:themeColor="accent6"/>
        </w:rPr>
      </w:pPr>
      <w:r w:rsidRPr="001C1FE2">
        <w:rPr>
          <w:rFonts w:ascii="Times New Roman" w:hAnsi="Times New Roman" w:cs="Times New Roman"/>
          <w:color w:val="4EA72E" w:themeColor="accent6"/>
        </w:rPr>
        <w:t>Recommendations</w:t>
      </w:r>
    </w:p>
    <w:p w14:paraId="0FEECF49" w14:textId="77777777" w:rsidR="00572FFB" w:rsidRPr="00572FFB" w:rsidRDefault="00572FFB" w:rsidP="00572FFB">
      <w:pPr>
        <w:rPr>
          <w:rFonts w:ascii="Times New Roman" w:hAnsi="Times New Roman" w:cs="Times New Roman"/>
          <w:sz w:val="24"/>
          <w:szCs w:val="24"/>
        </w:rPr>
      </w:pPr>
    </w:p>
    <w:p w14:paraId="5792EAC6" w14:textId="68C2B8FD" w:rsidR="00572FFB" w:rsidRPr="005B0808" w:rsidRDefault="001C1FE2" w:rsidP="00572FFB">
      <w:pPr>
        <w:rPr>
          <w:rFonts w:ascii="Times New Roman" w:hAnsi="Times New Roman" w:cs="Times New Roman"/>
          <w:b/>
          <w:bCs/>
          <w:sz w:val="24"/>
          <w:szCs w:val="24"/>
        </w:rPr>
      </w:pPr>
      <w:r w:rsidRPr="005B0808">
        <w:rPr>
          <w:rFonts w:ascii="Times New Roman" w:hAnsi="Times New Roman" w:cs="Times New Roman"/>
          <w:b/>
          <w:bCs/>
          <w:sz w:val="24"/>
          <w:szCs w:val="24"/>
        </w:rPr>
        <w:t>Recommended Data Stack:</w:t>
      </w:r>
    </w:p>
    <w:p w14:paraId="3A45A42B" w14:textId="77777777" w:rsidR="00572FFB" w:rsidRPr="00572FFB" w:rsidRDefault="00572FFB" w:rsidP="00572FFB">
      <w:pPr>
        <w:rPr>
          <w:rFonts w:ascii="Times New Roman" w:hAnsi="Times New Roman" w:cs="Times New Roman"/>
          <w:sz w:val="24"/>
          <w:szCs w:val="24"/>
        </w:rPr>
      </w:pPr>
    </w:p>
    <w:p w14:paraId="52E25C1C" w14:textId="2EECC073" w:rsidR="00572FFB" w:rsidRPr="00572FFB" w:rsidRDefault="00572FFB" w:rsidP="00572FFB">
      <w:pPr>
        <w:rPr>
          <w:rFonts w:ascii="Times New Roman" w:hAnsi="Times New Roman" w:cs="Times New Roman"/>
          <w:sz w:val="24"/>
          <w:szCs w:val="24"/>
        </w:rPr>
      </w:pPr>
      <w:r w:rsidRPr="00572FFB">
        <w:rPr>
          <w:rFonts w:ascii="Times New Roman" w:hAnsi="Times New Roman" w:cs="Times New Roman"/>
          <w:sz w:val="24"/>
          <w:szCs w:val="24"/>
        </w:rPr>
        <w:t>Energy investors should prioritize these Tier 1 vendors for comprehensive market visibility:</w:t>
      </w:r>
    </w:p>
    <w:p w14:paraId="50F4874C" w14:textId="77777777" w:rsidR="00572FFB" w:rsidRPr="00572FFB" w:rsidRDefault="00572FFB" w:rsidP="00572FFB">
      <w:pPr>
        <w:rPr>
          <w:rFonts w:ascii="Times New Roman" w:hAnsi="Times New Roman" w:cs="Times New Roman"/>
          <w:sz w:val="24"/>
          <w:szCs w:val="24"/>
        </w:rPr>
      </w:pPr>
    </w:p>
    <w:p w14:paraId="17FED507" w14:textId="1526AB8F" w:rsidR="00572FFB" w:rsidRPr="00572FFB" w:rsidRDefault="00572FFB" w:rsidP="001C1FE2">
      <w:pPr>
        <w:spacing w:line="360" w:lineRule="auto"/>
        <w:jc w:val="both"/>
        <w:rPr>
          <w:rFonts w:ascii="Times New Roman" w:hAnsi="Times New Roman" w:cs="Times New Roman"/>
          <w:sz w:val="24"/>
          <w:szCs w:val="24"/>
        </w:rPr>
      </w:pPr>
      <w:r w:rsidRPr="00572FFB">
        <w:rPr>
          <w:rFonts w:ascii="Times New Roman" w:hAnsi="Times New Roman" w:cs="Times New Roman"/>
          <w:sz w:val="24"/>
          <w:szCs w:val="24"/>
        </w:rPr>
        <w:t>1. KPLER (Score: 27) - Crude oil &amp; LNG supply intelligence with real-time tank-level inventory and refinery runs. Essential for supply forecasting.</w:t>
      </w:r>
    </w:p>
    <w:p w14:paraId="074D500D" w14:textId="35202770" w:rsidR="00572FFB" w:rsidRPr="00572FFB" w:rsidRDefault="00572FFB" w:rsidP="001C1FE2">
      <w:pPr>
        <w:spacing w:line="360" w:lineRule="auto"/>
        <w:jc w:val="both"/>
        <w:rPr>
          <w:rFonts w:ascii="Times New Roman" w:hAnsi="Times New Roman" w:cs="Times New Roman"/>
          <w:sz w:val="24"/>
          <w:szCs w:val="24"/>
        </w:rPr>
      </w:pPr>
      <w:r w:rsidRPr="00572FFB">
        <w:rPr>
          <w:rFonts w:ascii="Times New Roman" w:hAnsi="Times New Roman" w:cs="Times New Roman"/>
          <w:sz w:val="24"/>
          <w:szCs w:val="24"/>
        </w:rPr>
        <w:t>2. PRIVATEER (Score: 26) - Satellite + AIS data covering entire energy value chain (upstream to downstream). Real-time operational visibility.</w:t>
      </w:r>
    </w:p>
    <w:p w14:paraId="4546A720" w14:textId="1B8B0FE3" w:rsidR="00572FFB" w:rsidRPr="00572FFB" w:rsidRDefault="00572FFB" w:rsidP="001C1FE2">
      <w:pPr>
        <w:spacing w:line="360" w:lineRule="auto"/>
        <w:jc w:val="both"/>
        <w:rPr>
          <w:rFonts w:ascii="Times New Roman" w:hAnsi="Times New Roman" w:cs="Times New Roman"/>
          <w:sz w:val="24"/>
          <w:szCs w:val="24"/>
        </w:rPr>
      </w:pPr>
      <w:r w:rsidRPr="00572FFB">
        <w:rPr>
          <w:rFonts w:ascii="Times New Roman" w:hAnsi="Times New Roman" w:cs="Times New Roman"/>
          <w:sz w:val="24"/>
          <w:szCs w:val="24"/>
        </w:rPr>
        <w:t>3. ENVERUS (Score: 25) - Real-time rig counts and production capacity across 98% USA producers. Critical for assessing supply expansion.</w:t>
      </w:r>
    </w:p>
    <w:p w14:paraId="34DE0182" w14:textId="761B4F6A" w:rsidR="00572FFB" w:rsidRPr="00572FFB" w:rsidRDefault="00572FFB" w:rsidP="001C1FE2">
      <w:pPr>
        <w:spacing w:line="360" w:lineRule="auto"/>
        <w:jc w:val="both"/>
        <w:rPr>
          <w:rFonts w:ascii="Times New Roman" w:hAnsi="Times New Roman" w:cs="Times New Roman"/>
          <w:sz w:val="24"/>
          <w:szCs w:val="24"/>
        </w:rPr>
      </w:pPr>
      <w:r w:rsidRPr="00572FFB">
        <w:rPr>
          <w:rFonts w:ascii="Times New Roman" w:hAnsi="Times New Roman" w:cs="Times New Roman"/>
          <w:sz w:val="24"/>
          <w:szCs w:val="24"/>
        </w:rPr>
        <w:t>4. KAYRROS (Score: 25) - Satellite intelligence for crude inventory, flaring detection, LNG outages, renewable monitoring. Unique ML-enhanced insights.</w:t>
      </w:r>
    </w:p>
    <w:p w14:paraId="6961536A" w14:textId="77777777" w:rsidR="00572FFB" w:rsidRPr="005B0808" w:rsidRDefault="00572FFB" w:rsidP="00572FFB">
      <w:pPr>
        <w:rPr>
          <w:rFonts w:ascii="Times New Roman" w:hAnsi="Times New Roman" w:cs="Times New Roman"/>
          <w:b/>
          <w:bCs/>
          <w:sz w:val="24"/>
          <w:szCs w:val="24"/>
        </w:rPr>
      </w:pPr>
    </w:p>
    <w:p w14:paraId="55C9F8ED" w14:textId="77B47A92" w:rsidR="00572FFB" w:rsidRPr="005B0808" w:rsidRDefault="001C1FE2" w:rsidP="00572FFB">
      <w:pPr>
        <w:rPr>
          <w:rFonts w:ascii="Times New Roman" w:hAnsi="Times New Roman" w:cs="Times New Roman"/>
          <w:b/>
          <w:bCs/>
          <w:sz w:val="24"/>
          <w:szCs w:val="24"/>
        </w:rPr>
      </w:pPr>
      <w:r w:rsidRPr="005B0808">
        <w:rPr>
          <w:rFonts w:ascii="Times New Roman" w:hAnsi="Times New Roman" w:cs="Times New Roman"/>
          <w:b/>
          <w:bCs/>
          <w:sz w:val="24"/>
          <w:szCs w:val="24"/>
        </w:rPr>
        <w:t>Investment Roadmap:</w:t>
      </w:r>
    </w:p>
    <w:p w14:paraId="405F79C2" w14:textId="77777777" w:rsidR="00572FFB" w:rsidRPr="00572FFB" w:rsidRDefault="00572FFB" w:rsidP="00572FFB">
      <w:pPr>
        <w:rPr>
          <w:rFonts w:ascii="Times New Roman" w:hAnsi="Times New Roman" w:cs="Times New Roman"/>
          <w:sz w:val="24"/>
          <w:szCs w:val="24"/>
        </w:rPr>
      </w:pPr>
    </w:p>
    <w:p w14:paraId="29CEE344" w14:textId="77777777" w:rsidR="00572FFB" w:rsidRPr="00572FFB" w:rsidRDefault="00572FFB" w:rsidP="005B0808">
      <w:pPr>
        <w:spacing w:line="360" w:lineRule="auto"/>
        <w:jc w:val="both"/>
        <w:rPr>
          <w:rFonts w:ascii="Times New Roman" w:hAnsi="Times New Roman" w:cs="Times New Roman"/>
          <w:sz w:val="24"/>
          <w:szCs w:val="24"/>
        </w:rPr>
      </w:pPr>
      <w:r w:rsidRPr="00572FFB">
        <w:rPr>
          <w:rFonts w:ascii="Times New Roman" w:hAnsi="Times New Roman" w:cs="Times New Roman"/>
          <w:sz w:val="24"/>
          <w:szCs w:val="24"/>
        </w:rPr>
        <w:t>Minimum Stack (4 Tier 1 vendors): $400K-$600K/year</w:t>
      </w:r>
    </w:p>
    <w:p w14:paraId="493203A1" w14:textId="24B2E8BA" w:rsidR="00572FFB" w:rsidRPr="00572FFB" w:rsidRDefault="00572FFB" w:rsidP="005B0808">
      <w:pPr>
        <w:spacing w:line="360" w:lineRule="auto"/>
        <w:jc w:val="both"/>
        <w:rPr>
          <w:rFonts w:ascii="Times New Roman" w:hAnsi="Times New Roman" w:cs="Times New Roman"/>
          <w:sz w:val="24"/>
          <w:szCs w:val="24"/>
        </w:rPr>
      </w:pPr>
      <w:r w:rsidRPr="00572FFB">
        <w:rPr>
          <w:rFonts w:ascii="Times New Roman" w:hAnsi="Times New Roman" w:cs="Times New Roman"/>
          <w:sz w:val="24"/>
          <w:szCs w:val="24"/>
        </w:rPr>
        <w:t>Comprehensive Stack (7 Tier 1 vendors): $600K-$900K/year</w:t>
      </w:r>
    </w:p>
    <w:p w14:paraId="7A4A3A7A" w14:textId="77777777" w:rsidR="005B0808" w:rsidRDefault="00572FFB" w:rsidP="005B0808">
      <w:pPr>
        <w:spacing w:line="360" w:lineRule="auto"/>
        <w:jc w:val="both"/>
        <w:rPr>
          <w:rFonts w:ascii="Times New Roman" w:hAnsi="Times New Roman" w:cs="Times New Roman"/>
          <w:sz w:val="24"/>
          <w:szCs w:val="24"/>
        </w:rPr>
      </w:pPr>
      <w:r w:rsidRPr="00572FFB">
        <w:rPr>
          <w:rFonts w:ascii="Times New Roman" w:hAnsi="Times New Roman" w:cs="Times New Roman"/>
          <w:sz w:val="24"/>
          <w:szCs w:val="24"/>
        </w:rPr>
        <w:t>Decision: Select based on portfolio focus (crude oil, LNG, power, global shipping) and risk management priorities.</w:t>
      </w:r>
    </w:p>
    <w:p w14:paraId="32134689" w14:textId="5A2AD099" w:rsidR="00572FFB" w:rsidRPr="005B0808" w:rsidRDefault="005B0808" w:rsidP="005B0808">
      <w:pPr>
        <w:pStyle w:val="Heading2"/>
        <w:rPr>
          <w:rFonts w:ascii="Times New Roman" w:hAnsi="Times New Roman" w:cs="Times New Roman"/>
          <w:color w:val="4EA72E" w:themeColor="accent6"/>
        </w:rPr>
      </w:pPr>
      <w:r w:rsidRPr="005B0808">
        <w:rPr>
          <w:rFonts w:ascii="Times New Roman" w:hAnsi="Times New Roman" w:cs="Times New Roman"/>
          <w:color w:val="4EA72E" w:themeColor="accent6"/>
        </w:rPr>
        <w:lastRenderedPageBreak/>
        <w:t>Conclusion</w:t>
      </w:r>
    </w:p>
    <w:p w14:paraId="28D157FA" w14:textId="0269EF2B" w:rsidR="00572FFB" w:rsidRPr="00572FFB" w:rsidRDefault="00572FFB" w:rsidP="005B0808">
      <w:pPr>
        <w:spacing w:line="360" w:lineRule="auto"/>
        <w:jc w:val="both"/>
        <w:rPr>
          <w:rFonts w:ascii="Times New Roman" w:hAnsi="Times New Roman" w:cs="Times New Roman"/>
          <w:sz w:val="24"/>
          <w:szCs w:val="24"/>
        </w:rPr>
      </w:pPr>
      <w:r w:rsidRPr="00572FFB">
        <w:rPr>
          <w:rFonts w:ascii="Times New Roman" w:hAnsi="Times New Roman" w:cs="Times New Roman"/>
          <w:sz w:val="24"/>
          <w:szCs w:val="24"/>
        </w:rPr>
        <w:t>The alternative data market for energy sector investing has matured significantly. Seven Tier 1 vendors now provide institutional investors with real-time visibility into supply, demand, and risk factors that traditional data cannot match.</w:t>
      </w:r>
    </w:p>
    <w:p w14:paraId="7B0F5796" w14:textId="2160DF4F" w:rsidR="00572FFB" w:rsidRPr="00572FFB" w:rsidRDefault="00572FFB" w:rsidP="005B0808">
      <w:pPr>
        <w:spacing w:line="360" w:lineRule="auto"/>
        <w:jc w:val="both"/>
        <w:rPr>
          <w:rFonts w:ascii="Times New Roman" w:hAnsi="Times New Roman" w:cs="Times New Roman"/>
          <w:sz w:val="24"/>
          <w:szCs w:val="24"/>
        </w:rPr>
      </w:pPr>
      <w:r w:rsidRPr="00572FFB">
        <w:rPr>
          <w:rFonts w:ascii="Times New Roman" w:hAnsi="Times New Roman" w:cs="Times New Roman"/>
          <w:sz w:val="24"/>
          <w:szCs w:val="24"/>
        </w:rPr>
        <w:t>The recommended data stack (</w:t>
      </w:r>
      <w:proofErr w:type="spellStart"/>
      <w:r w:rsidRPr="00572FFB">
        <w:rPr>
          <w:rFonts w:ascii="Times New Roman" w:hAnsi="Times New Roman" w:cs="Times New Roman"/>
          <w:sz w:val="24"/>
          <w:szCs w:val="24"/>
        </w:rPr>
        <w:t>Kpler</w:t>
      </w:r>
      <w:proofErr w:type="spellEnd"/>
      <w:r w:rsidRPr="00572FFB">
        <w:rPr>
          <w:rFonts w:ascii="Times New Roman" w:hAnsi="Times New Roman" w:cs="Times New Roman"/>
          <w:sz w:val="24"/>
          <w:szCs w:val="24"/>
        </w:rPr>
        <w:t xml:space="preserve">, Privateer, </w:t>
      </w:r>
      <w:proofErr w:type="spellStart"/>
      <w:r w:rsidRPr="00572FFB">
        <w:rPr>
          <w:rFonts w:ascii="Times New Roman" w:hAnsi="Times New Roman" w:cs="Times New Roman"/>
          <w:sz w:val="24"/>
          <w:szCs w:val="24"/>
        </w:rPr>
        <w:t>Enverus</w:t>
      </w:r>
      <w:proofErr w:type="spellEnd"/>
      <w:r w:rsidRPr="00572FFB">
        <w:rPr>
          <w:rFonts w:ascii="Times New Roman" w:hAnsi="Times New Roman" w:cs="Times New Roman"/>
          <w:sz w:val="24"/>
          <w:szCs w:val="24"/>
        </w:rPr>
        <w:t xml:space="preserve">, </w:t>
      </w:r>
      <w:proofErr w:type="spellStart"/>
      <w:r w:rsidRPr="00572FFB">
        <w:rPr>
          <w:rFonts w:ascii="Times New Roman" w:hAnsi="Times New Roman" w:cs="Times New Roman"/>
          <w:sz w:val="24"/>
          <w:szCs w:val="24"/>
        </w:rPr>
        <w:t>Kayrros</w:t>
      </w:r>
      <w:proofErr w:type="spellEnd"/>
      <w:r w:rsidRPr="00572FFB">
        <w:rPr>
          <w:rFonts w:ascii="Times New Roman" w:hAnsi="Times New Roman" w:cs="Times New Roman"/>
          <w:sz w:val="24"/>
          <w:szCs w:val="24"/>
        </w:rPr>
        <w:t xml:space="preserve">) provides comprehensive coverage of upstream production, midstream logistics, downstream refining, and trading signals necessary for competitive energy investing. Additional vendors (YES Energy, </w:t>
      </w:r>
      <w:proofErr w:type="spellStart"/>
      <w:r w:rsidRPr="00572FFB">
        <w:rPr>
          <w:rFonts w:ascii="Times New Roman" w:hAnsi="Times New Roman" w:cs="Times New Roman"/>
          <w:sz w:val="24"/>
          <w:szCs w:val="24"/>
        </w:rPr>
        <w:t>Vortexa</w:t>
      </w:r>
      <w:proofErr w:type="spellEnd"/>
      <w:r w:rsidRPr="00572FFB">
        <w:rPr>
          <w:rFonts w:ascii="Times New Roman" w:hAnsi="Times New Roman" w:cs="Times New Roman"/>
          <w:sz w:val="24"/>
          <w:szCs w:val="24"/>
        </w:rPr>
        <w:t xml:space="preserve">, </w:t>
      </w:r>
      <w:proofErr w:type="spellStart"/>
      <w:r w:rsidRPr="00572FFB">
        <w:rPr>
          <w:rFonts w:ascii="Times New Roman" w:hAnsi="Times New Roman" w:cs="Times New Roman"/>
          <w:sz w:val="24"/>
          <w:szCs w:val="24"/>
        </w:rPr>
        <w:t>MarineTraffic</w:t>
      </w:r>
      <w:proofErr w:type="spellEnd"/>
      <w:r w:rsidRPr="00572FFB">
        <w:rPr>
          <w:rFonts w:ascii="Times New Roman" w:hAnsi="Times New Roman" w:cs="Times New Roman"/>
          <w:sz w:val="24"/>
          <w:szCs w:val="24"/>
        </w:rPr>
        <w:t>) extend coverage into power markets and global shipping.</w:t>
      </w:r>
    </w:p>
    <w:p w14:paraId="0F0543ED" w14:textId="6B064D72" w:rsidR="00572FFB" w:rsidRPr="00572FFB" w:rsidRDefault="00572FFB" w:rsidP="005B0808">
      <w:pPr>
        <w:spacing w:line="360" w:lineRule="auto"/>
        <w:jc w:val="both"/>
        <w:rPr>
          <w:rFonts w:ascii="Times New Roman" w:hAnsi="Times New Roman" w:cs="Times New Roman"/>
          <w:sz w:val="24"/>
          <w:szCs w:val="24"/>
        </w:rPr>
      </w:pPr>
      <w:r w:rsidRPr="00572FFB">
        <w:rPr>
          <w:rFonts w:ascii="Times New Roman" w:hAnsi="Times New Roman" w:cs="Times New Roman"/>
          <w:sz w:val="24"/>
          <w:szCs w:val="24"/>
        </w:rPr>
        <w:t xml:space="preserve">Investment in alternative data sources is no longer optional for sophisticated energy market </w:t>
      </w:r>
      <w:r w:rsidR="005B0808" w:rsidRPr="00572FFB">
        <w:rPr>
          <w:rFonts w:ascii="Times New Roman" w:hAnsi="Times New Roman" w:cs="Times New Roman"/>
          <w:sz w:val="24"/>
          <w:szCs w:val="24"/>
        </w:rPr>
        <w:t>participants</w:t>
      </w:r>
      <w:r w:rsidR="005B0808">
        <w:rPr>
          <w:rFonts w:ascii="Times New Roman" w:hAnsi="Times New Roman" w:cs="Times New Roman"/>
          <w:sz w:val="24"/>
          <w:szCs w:val="24"/>
        </w:rPr>
        <w:t xml:space="preserve">; </w:t>
      </w:r>
      <w:r w:rsidRPr="00572FFB">
        <w:rPr>
          <w:rFonts w:ascii="Times New Roman" w:hAnsi="Times New Roman" w:cs="Times New Roman"/>
          <w:sz w:val="24"/>
          <w:szCs w:val="24"/>
        </w:rPr>
        <w:t>it is essential for maintaining competitive edge in an increasingly volatile market.</w:t>
      </w:r>
    </w:p>
    <w:p w14:paraId="580B844F" w14:textId="77777777" w:rsidR="00572FFB" w:rsidRPr="00572FFB" w:rsidRDefault="00572FFB" w:rsidP="00572FFB">
      <w:pPr>
        <w:rPr>
          <w:rFonts w:ascii="Times New Roman" w:hAnsi="Times New Roman" w:cs="Times New Roman"/>
          <w:sz w:val="24"/>
          <w:szCs w:val="24"/>
        </w:rPr>
      </w:pPr>
    </w:p>
    <w:p w14:paraId="750A1995" w14:textId="1C61F1AD" w:rsidR="00226EDE" w:rsidRPr="00572FFB" w:rsidRDefault="00226EDE" w:rsidP="00572FFB">
      <w:pPr>
        <w:rPr>
          <w:rFonts w:ascii="Times New Roman" w:hAnsi="Times New Roman" w:cs="Times New Roman"/>
          <w:sz w:val="24"/>
          <w:szCs w:val="24"/>
        </w:rPr>
      </w:pPr>
    </w:p>
    <w:sectPr w:rsidR="00226EDE" w:rsidRPr="00572FFB" w:rsidSect="0087237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005EC"/>
    <w:multiLevelType w:val="hybridMultilevel"/>
    <w:tmpl w:val="A0BE3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B614928"/>
    <w:multiLevelType w:val="hybridMultilevel"/>
    <w:tmpl w:val="AA90E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2B42ED3"/>
    <w:multiLevelType w:val="hybridMultilevel"/>
    <w:tmpl w:val="17BE2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20380501">
    <w:abstractNumId w:val="2"/>
  </w:num>
  <w:num w:numId="2" w16cid:durableId="1848717159">
    <w:abstractNumId w:val="0"/>
  </w:num>
  <w:num w:numId="3" w16cid:durableId="494078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398"/>
    <w:rsid w:val="00013FBB"/>
    <w:rsid w:val="00027BC5"/>
    <w:rsid w:val="0004489A"/>
    <w:rsid w:val="000B7DD4"/>
    <w:rsid w:val="0011578B"/>
    <w:rsid w:val="0012134F"/>
    <w:rsid w:val="0018345F"/>
    <w:rsid w:val="001C1FE2"/>
    <w:rsid w:val="00221500"/>
    <w:rsid w:val="00224EDE"/>
    <w:rsid w:val="00226EDE"/>
    <w:rsid w:val="003423DB"/>
    <w:rsid w:val="003D6A6A"/>
    <w:rsid w:val="0047219B"/>
    <w:rsid w:val="004B6ED7"/>
    <w:rsid w:val="00572FFB"/>
    <w:rsid w:val="005B0808"/>
    <w:rsid w:val="007222BE"/>
    <w:rsid w:val="00843398"/>
    <w:rsid w:val="00872375"/>
    <w:rsid w:val="008753A1"/>
    <w:rsid w:val="008F0E8A"/>
    <w:rsid w:val="00A4765B"/>
    <w:rsid w:val="00A62579"/>
    <w:rsid w:val="00AB4C7A"/>
    <w:rsid w:val="00AC0257"/>
    <w:rsid w:val="00B30D0C"/>
    <w:rsid w:val="00BA2B13"/>
    <w:rsid w:val="00BB2365"/>
    <w:rsid w:val="00BC2480"/>
    <w:rsid w:val="00C00F55"/>
    <w:rsid w:val="00C33450"/>
    <w:rsid w:val="00CC4AC5"/>
    <w:rsid w:val="00D90FBF"/>
    <w:rsid w:val="00DA1BDC"/>
    <w:rsid w:val="00EB23A0"/>
    <w:rsid w:val="00EE4EEE"/>
    <w:rsid w:val="00F041C2"/>
    <w:rsid w:val="00F26B4C"/>
    <w:rsid w:val="00F26BB4"/>
    <w:rsid w:val="00F75EEA"/>
    <w:rsid w:val="00F90994"/>
    <w:rsid w:val="00FE6B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B7323"/>
  <w15:chartTrackingRefBased/>
  <w15:docId w15:val="{6F4D407D-89D4-498F-96A1-53CF7DA75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3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3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398"/>
    <w:rPr>
      <w:rFonts w:eastAsiaTheme="majorEastAsia" w:cstheme="majorBidi"/>
      <w:color w:val="272727" w:themeColor="text1" w:themeTint="D8"/>
    </w:rPr>
  </w:style>
  <w:style w:type="paragraph" w:styleId="Title">
    <w:name w:val="Title"/>
    <w:basedOn w:val="Normal"/>
    <w:next w:val="Normal"/>
    <w:link w:val="TitleChar"/>
    <w:uiPriority w:val="10"/>
    <w:qFormat/>
    <w:rsid w:val="00843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398"/>
    <w:pPr>
      <w:spacing w:before="160"/>
      <w:jc w:val="center"/>
    </w:pPr>
    <w:rPr>
      <w:i/>
      <w:iCs/>
      <w:color w:val="404040" w:themeColor="text1" w:themeTint="BF"/>
    </w:rPr>
  </w:style>
  <w:style w:type="character" w:customStyle="1" w:styleId="QuoteChar">
    <w:name w:val="Quote Char"/>
    <w:basedOn w:val="DefaultParagraphFont"/>
    <w:link w:val="Quote"/>
    <w:uiPriority w:val="29"/>
    <w:rsid w:val="00843398"/>
    <w:rPr>
      <w:i/>
      <w:iCs/>
      <w:color w:val="404040" w:themeColor="text1" w:themeTint="BF"/>
    </w:rPr>
  </w:style>
  <w:style w:type="paragraph" w:styleId="ListParagraph">
    <w:name w:val="List Paragraph"/>
    <w:basedOn w:val="Normal"/>
    <w:uiPriority w:val="34"/>
    <w:qFormat/>
    <w:rsid w:val="00843398"/>
    <w:pPr>
      <w:ind w:left="720"/>
      <w:contextualSpacing/>
    </w:pPr>
  </w:style>
  <w:style w:type="character" w:styleId="IntenseEmphasis">
    <w:name w:val="Intense Emphasis"/>
    <w:basedOn w:val="DefaultParagraphFont"/>
    <w:uiPriority w:val="21"/>
    <w:qFormat/>
    <w:rsid w:val="00843398"/>
    <w:rPr>
      <w:i/>
      <w:iCs/>
      <w:color w:val="0F4761" w:themeColor="accent1" w:themeShade="BF"/>
    </w:rPr>
  </w:style>
  <w:style w:type="paragraph" w:styleId="IntenseQuote">
    <w:name w:val="Intense Quote"/>
    <w:basedOn w:val="Normal"/>
    <w:next w:val="Normal"/>
    <w:link w:val="IntenseQuoteChar"/>
    <w:uiPriority w:val="30"/>
    <w:qFormat/>
    <w:rsid w:val="00843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398"/>
    <w:rPr>
      <w:i/>
      <w:iCs/>
      <w:color w:val="0F4761" w:themeColor="accent1" w:themeShade="BF"/>
    </w:rPr>
  </w:style>
  <w:style w:type="character" w:styleId="IntenseReference">
    <w:name w:val="Intense Reference"/>
    <w:basedOn w:val="DefaultParagraphFont"/>
    <w:uiPriority w:val="32"/>
    <w:qFormat/>
    <w:rsid w:val="00843398"/>
    <w:rPr>
      <w:b/>
      <w:bCs/>
      <w:smallCaps/>
      <w:color w:val="0F4761" w:themeColor="accent1" w:themeShade="BF"/>
      <w:spacing w:val="5"/>
    </w:rPr>
  </w:style>
  <w:style w:type="character" w:styleId="SubtleEmphasis">
    <w:name w:val="Subtle Emphasis"/>
    <w:basedOn w:val="DefaultParagraphFont"/>
    <w:uiPriority w:val="19"/>
    <w:qFormat/>
    <w:rsid w:val="00A4765B"/>
    <w:rPr>
      <w:i/>
      <w:iCs/>
      <w:color w:val="404040" w:themeColor="text1" w:themeTint="BF"/>
    </w:rPr>
  </w:style>
  <w:style w:type="paragraph" w:customStyle="1" w:styleId="DecimalAligned">
    <w:name w:val="Decimal Aligned"/>
    <w:basedOn w:val="Normal"/>
    <w:uiPriority w:val="40"/>
    <w:qFormat/>
    <w:rsid w:val="008753A1"/>
    <w:pPr>
      <w:tabs>
        <w:tab w:val="decimal" w:pos="360"/>
      </w:tabs>
      <w:spacing w:after="200" w:line="276" w:lineRule="auto"/>
    </w:pPr>
    <w:rPr>
      <w:rFonts w:eastAsiaTheme="minorEastAsia" w:cs="Times New Roman"/>
      <w:kern w:val="0"/>
      <w:lang w:val="en-US"/>
      <w14:ligatures w14:val="none"/>
    </w:rPr>
  </w:style>
  <w:style w:type="paragraph" w:styleId="FootnoteText">
    <w:name w:val="footnote text"/>
    <w:basedOn w:val="Normal"/>
    <w:link w:val="FootnoteTextChar"/>
    <w:uiPriority w:val="99"/>
    <w:unhideWhenUsed/>
    <w:rsid w:val="008753A1"/>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8753A1"/>
    <w:rPr>
      <w:rFonts w:eastAsiaTheme="minorEastAsia" w:cs="Times New Roman"/>
      <w:kern w:val="0"/>
      <w:sz w:val="20"/>
      <w:szCs w:val="20"/>
      <w:lang w:val="en-US"/>
      <w14:ligatures w14:val="none"/>
    </w:rPr>
  </w:style>
  <w:style w:type="table" w:styleId="LightShading-Accent1">
    <w:name w:val="Light Shading Accent 1"/>
    <w:basedOn w:val="TableNormal"/>
    <w:uiPriority w:val="60"/>
    <w:rsid w:val="008753A1"/>
    <w:pPr>
      <w:spacing w:after="0" w:line="240" w:lineRule="auto"/>
    </w:pPr>
    <w:rPr>
      <w:rFonts w:eastAsiaTheme="minorEastAsia"/>
      <w:color w:val="0F4761" w:themeColor="accent1" w:themeShade="BF"/>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7</Pages>
  <Words>1177</Words>
  <Characters>6713</Characters>
  <Application>Microsoft Office Word</Application>
  <DocSecurity>0</DocSecurity>
  <Lines>55</Lines>
  <Paragraphs>15</Paragraphs>
  <ScaleCrop>false</ScaleCrop>
  <Company/>
  <LinksUpToDate>false</LinksUpToDate>
  <CharactersWithSpaces>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AG</dc:creator>
  <cp:keywords/>
  <dc:description/>
  <cp:lastModifiedBy>Varun AG</cp:lastModifiedBy>
  <cp:revision>35</cp:revision>
  <dcterms:created xsi:type="dcterms:W3CDTF">2026-04-16T16:27:00Z</dcterms:created>
  <dcterms:modified xsi:type="dcterms:W3CDTF">2026-04-16T17:50:00Z</dcterms:modified>
</cp:coreProperties>
</file>