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44"/>
          <w:szCs w:val="44"/>
        </w:rPr>
        <w:t xml:space="preserve">Part 2 — Product Understanding</w:t>
      </w:r>
    </w:p>
    <w:p>
      <w:pPr>
        <w:spacing w:after="60"/>
      </w:pPr>
      <w:r>
        <w:rPr>
          <w:color w:val="6b6b73"/>
          <w:sz w:val="28"/>
          <w:szCs w:val="28"/>
        </w:rPr>
        <w:t xml:space="preserve">AbleSpace — Caseload → Take Data Workflow</w:t>
      </w:r>
    </w:p>
    <w:p>
      <w:pPr>
        <w:spacing w:after="320"/>
      </w:pPr>
      <w:r>
        <w:rPr>
          <w:color w:val="a6a6ad"/>
          <w:sz w:val="22"/>
          <w:szCs w:val="22"/>
        </w:rPr>
        <w:t xml:space="preserve">Full Stack Developer (Fresher) Assessment</w:t>
      </w:r>
    </w:p>
    <w:p>
      <w:pPr>
        <w:spacing w:after="160"/>
      </w:pPr>
      <w:r>
        <w:t xml:space="preserve">I signed up for AbleSpace's free trial (app.ablespace.io) as a Teacher/Therapist and did a full hands-on walkthrough of Caseload → Take Data using the two pre-loaded demo students, including every tab, view mode, and data type I could find. Screenshots below are from that session, taken on 16 Aug 2026.</w:t>
      </w:r>
    </w:p>
    <w:p>
      <w:pPr>
        <w:pStyle w:val="Heading1"/>
        <w:spacing w:after="160" w:before="320"/>
      </w:pPr>
      <w:r>
        <w:t xml:space="preserve">1. Entry point: Caseload → Take Data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Caseload — each student row ends in a “Take Data” button.</w:t>
      </w:r>
    </w:p>
    <w:p>
      <w:pPr>
        <w:spacing w:after="160"/>
      </w:pPr>
      <w:r>
        <w:t xml:space="preserve">Clicking “Take Data” opens a new Session (URL /session/&lt;id&gt;) with an auto-generated 30-minute time window starting now, and loads every active IEP goal for that student.</w:t>
      </w:r>
    </w:p>
    <w:p>
      <w:pPr>
        <w:pStyle w:val="Heading1"/>
        <w:spacing w:after="160" w:before="320"/>
      </w:pPr>
      <w:r>
        <w:t xml:space="preserve">2. The Session screen and its two main panes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Left: Goals (7/7) list. Right: Capture pane for whichever goal is selected, with Trial navigation and a tap-to-count pad.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Top toolbar: clickable “Accommodations” and “Services Not Tracked” chips (each opens a modal), plus “Customize View” and a student switcher (“+ Add Student” for group sessions).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 pane tabs: Capture / Graph / Stats / Info — covered in section 4.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Bottom: Notes and a Lesson Plan editor — covered in section 5.</w:t>
      </w:r>
    </w:p>
    <w:p>
      <w:pPr>
        <w:pStyle w:val="Heading1"/>
        <w:spacing w:after="160" w:before="320"/>
      </w:pPr>
      <w:r>
        <w:t xml:space="preserve">3. Logging Accommodations and Service Time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Accommodations modal — per-student Accommodation + Option dropdowns.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Services modal — attendance, service minutes, running Total, and an Autofill shortcut.</w:t>
      </w:r>
    </w:p>
    <w:p>
      <w:pPr>
        <w:spacing w:after="160"/>
      </w:pPr>
      <w:r>
        <w:t xml:space="preserve">Both are logged independently of goal data, from small modals reachable via the top-bar chips.</w:t>
      </w:r>
    </w:p>
    <w:p>
      <w:pPr>
        <w:pStyle w:val="Heading1"/>
        <w:spacing w:after="160" w:before="320"/>
      </w:pPr>
      <w:r>
        <w:t xml:space="preserve">4. Graph, Stats and Info — reviewing a goal's history mid-session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Graph tab — frequency plotted over time, with an “All Time” range picker, Graph Options, and a filter icon.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Stats tab — a Session/Trial table (date, who edited it, frequency, notes) with Add Data / Download, plus a “Performance Summary” that is paywalled (“Unlock with free trial”) even on a trial account.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Info tab — Measurement type (Frequency), Data Points count, Notes Count, the full goal target sentence, and a smaller, unlocked “Average” figure (3.22).</w:t>
      </w:r>
    </w:p>
    <w:p>
      <w:pPr>
        <w:spacing w:after="160"/>
      </w:pPr>
      <w:r>
        <w:t xml:space="preserve">Interesting inconsistency: Info's own “Performance Summary → Average” is visible for free, while Stats' “Performance Summary” block for the same goal is locked behind “Unlock with free trial” — two panels with the same name, different access rules, on the same goal, in the same trial account.</w:t>
      </w:r>
    </w:p>
    <w:p>
      <w:pPr>
        <w:pStyle w:val="Heading1"/>
        <w:spacing w:after="160" w:before="320"/>
      </w:pPr>
      <w:r>
        <w:t xml:space="preserve">5. Notes and Lesson Plan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The Lesson Plan tab opens a full rich-text editor (Bold/Italic/Underline/Strikethrough, lists, link, and an “Ask AI” assist button) — richer than the plain Notes field next to it.</w:t>
      </w:r>
    </w:p>
    <w:p>
      <w:pPr>
        <w:pStyle w:val="Heading1"/>
        <w:spacing w:after="160" w:before="320"/>
      </w:pPr>
      <w:r>
        <w:t xml:space="preserve">6. Board view — AbleSpace supports multiple data types, one per goal</w:t>
      </w:r>
    </w:p>
    <w:p>
      <w:pPr>
        <w:spacing w:after="160"/>
      </w:pPr>
      <w:r>
        <w:t xml:space="preserve">“Customize View” switches the whole session between List, Board, and Group layouts, and can show/hide Instructions and Data Collection Buttons, with a “Set as Default View” option.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Board view: every goal is shown at once, each with a data-capture widget matched to its own measurement type.</w:t>
      </w:r>
    </w:p>
    <w:p>
      <w:pPr>
        <w:spacing w:after="160"/>
      </w:pPr>
      <w:r>
        <w:t xml:space="preserve">Working through all 7 demo goals in Board view surfaced at least five distinct data-collection UI types, which matches AbleSpace's marketing claim of “10+ data types”: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Social Studies — a simple tally/frequency counter (tap “+”, Undo available).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Writing — a letter-by-letter checklist (D, E, M, O — checking off each correctly-written letter of the student's name).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Math (goal 3, which has 2 Objectives) — splits into sub-cards 3.1 / 3.2, each with independent Prompted/Accuracy counters and a prompt-level dropdown (“P”).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Reading — an accordion of sub-questions (Answer Who / Answer What / Answer When / Answer Where), each expandable separately.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Toileting — a 4-point independence scale (Independent / 1–2 verbal or visual prompts / More than 2 verbal or visual prompts / More intrusive prompts).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Behavior — a 6-point frequency scale (Not applicable / Never / Hardly ever / Sometimes / Often / Always).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Math (goal 7, clock-reading) — back to a Prompted/Accuracy counter, shown as a running “0/0” ratio.</w:t>
      </w:r>
    </w:p>
    <w:p>
      <w:pPr>
        <w:spacing w:after="160"/>
      </w:pPr>
      <w:r>
        <w:t xml:space="preserve">None of this variety is visible from the Goals list itself — every goal card looks identical (title + truncated sentence + one small icon) until you open it, so a clinician can't tell at a glance whether the next goal is a 2-second tap or a multi-part accordion.</w:t>
      </w:r>
    </w:p>
    <w:p>
      <w:pPr>
        <w:pStyle w:val="Heading1"/>
        <w:spacing w:after="160" w:before="320"/>
      </w:pPr>
      <w:r>
        <w:t xml:space="preserve">7. Group view and multi-student sessions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Group view — the same Board layout, now scoped under a “1 Student” selector, for running data collection across several students in one session.</w:t>
      </w:r>
    </w:p>
    <w:p>
      <w:pPr>
        <w:pStyle w:val="Heading1"/>
        <w:spacing w:after="160" w:before="320"/>
      </w:pPr>
      <w:r>
        <w:t xml:space="preserve">8. Trial-level and Service-level management menus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The “…” menu next to Trial navigation exposes “Reset Trial” and a destructive “Delete Trial” — with no confirmation step visible before the click.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The “…” menu on the “Services Not Tracked” chip offers “Remove Service Time &amp; Attendance” and “View Activity Log”.</w:t>
      </w:r>
    </w:p>
    <w:p>
      <w:pPr>
        <w:pStyle w:val="Heading1"/>
        <w:spacing w:after="160" w:before="320"/>
      </w:pPr>
      <w:r>
        <w:t xml:space="preserve">9. Outside the session: the student's own profile page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Clicking a student's name (rather than “Take Data”) opens a full profile: Profile / Goals / Worksheets / Notes / Service Time / Accommodation / Attachments / Daily Logs / Progress tabs, Basic Details (IEP &amp; Eval due dates, Site, Grade, DOB, Teacher, Room, Case Manager), and both a “Take Data” and a separate “View Data” button.</w:t>
      </w:r>
    </w:p>
    <w:p>
      <w:pPr>
        <w:spacing w:after="160"/>
      </w:pPr>
      <w:r>
        <w:t xml:space="preserve">The “…” menu here adds account-management actions: Edit Student, Student Interests, Guardian Details, Archive (locked, Pro), Transfer (locked, Pro), Assign Collaborator, Delete, View Archived Students, View Activity Log.</w:t>
      </w:r>
    </w:p>
    <w:p>
      <w:pPr>
        <w:pStyle w:val="Heading1"/>
        <w:spacing w:after="160" w:before="320"/>
      </w:pPr>
      <w:r>
        <w:t xml:space="preserve">10. Caseload Filters</w:t>
      </w:r>
    </w:p>
    <w:p>
      <w:pPr>
        <w:spacing w:after="80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</w:pPr>
      <w:r>
        <w:rPr>
          <w:i/>
          <w:iCs/>
          <w:color w:val="6b6b73"/>
          <w:sz w:val="18"/>
          <w:szCs w:val="18"/>
        </w:rPr>
        <w:t xml:space="preserve">The Filters modal on Caseload — left column lists filterable fields (Full Name, Last Name, IEP Due, Eval Due, Collaborators, Service Time, School, Site); selecting “Full Name” shows a checklist of students to filter by name.</w:t>
      </w:r>
    </w:p>
    <w:p>
      <w:pPr>
        <w:pStyle w:val="Heading1"/>
        <w:spacing w:after="160" w:before="320"/>
      </w:pPr>
      <w:r>
        <w:t xml:space="preserve">11. Workflow summary, in my own words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From Caseload, click “Take Data” on a student — or click their name for the full profile first.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AbleSpace opens a Session with a default 30-minute window and every active goal loaded into the Goals list.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Pick a layout: List (one goal open at a time), Board (all goals, all capture widgets, at once), or Group (Board, scoped to multiple students).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Log data using whichever widget matches that goal's measurement type — tally, checklist, accuracy/prompt level, multi-part accordion, or frequency scale — with Undo, Reset Trial, or Delete Trial available per trial.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Independently, log Accommodations provided and Service Time/attendance from the top toolbar.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Check progress without leaving the session via Graph (trend line), Stats (raw session table + paywalled summary), or Info (quick stats + the goal's full target sentence).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Add session Notes or a richer, AI-assisted Lesson Plan before moving on.</w:t>
      </w:r>
    </w:p>
    <w:p>
      <w:pPr>
        <w:pStyle w:val="Heading1"/>
        <w:spacing w:after="160" w:before="320"/>
      </w:pPr>
      <w:r>
        <w:t xml:space="preserve">12. UX / functionality observations &amp; suggested improvements</w:t>
      </w:r>
    </w:p>
    <w:p>
      <w:pPr>
        <w:pStyle w:val="Heading2"/>
        <w:spacing w:after="120" w:before="240"/>
      </w:pPr>
      <w:r>
        <w:t xml:space="preserve">12.1 Goal cards give no hint of data-entry effort before you open them</w:t>
      </w:r>
    </w:p>
    <w:p>
      <w:pPr>
        <w:spacing w:after="160"/>
      </w:pPr>
      <w:r>
        <w:t xml:space="preserve">A one-tap tally goal and a 4-part Wh-question accordion look identical in the Goals list (title + truncated sentence + one small icon). A tiny badge indicating the data type (tally / checklist / scale / accuracy) would let a clinician gauge how long the next goal will take, which matters when juggling a caseload against the clock.</w:t>
      </w:r>
    </w:p>
    <w:p>
      <w:pPr>
        <w:pStyle w:val="Heading2"/>
        <w:spacing w:after="120" w:before="240"/>
      </w:pPr>
      <w:r>
        <w:t xml:space="preserve">12.2 Two “Performance Summary” panels, two different access rules</w:t>
      </w:r>
    </w:p>
    <w:p>
      <w:pPr>
        <w:spacing w:after="160"/>
      </w:pPr>
      <w:r>
        <w:t xml:space="preserve">Info tab shows an unlocked “Average” under a heading literally called “Performance Summary,” while the Stats tab's “Performance Summary” for the same goal is locked behind “Unlock with free trial.” Reusing the same label for a free metric and a paid one, on the same goal, is likely to make users think the paywall is a bug rather than a plan boundary.</w:t>
      </w:r>
    </w:p>
    <w:p>
      <w:pPr>
        <w:pStyle w:val="Heading2"/>
        <w:spacing w:after="120" w:before="240"/>
      </w:pPr>
      <w:r>
        <w:t xml:space="preserve">12.3 Destructive Trial actions have no visible confirmation</w:t>
      </w:r>
    </w:p>
    <w:p>
      <w:pPr>
        <w:spacing w:after="160"/>
      </w:pPr>
      <w:r>
        <w:t xml:space="preserve">“Delete Trial” sits one click away in a small dropdown, styled in red but with no “Are you sure?” step visible before the action fires — a mis-click during a live session with a student could silently lose that trial's data.</w:t>
      </w:r>
    </w:p>
    <w:p>
      <w:pPr>
        <w:pStyle w:val="Heading2"/>
        <w:spacing w:after="120" w:before="240"/>
      </w:pPr>
      <w:r>
        <w:t xml:space="preserve">12.4 Take Data vs. View Data as separate buttons is easy to conflate</w:t>
      </w:r>
    </w:p>
    <w:p>
      <w:pPr>
        <w:spacing w:after="160"/>
      </w:pPr>
      <w:r>
        <w:t xml:space="preserve">On the student profile page, “Take Data” and “View Data” sit side by side and look similar in weight (one is just a filled variant of the other). A clinician glancing quickly could open the read-only view when they meant to start a session, or vice versa.</w:t>
      </w:r>
    </w:p>
    <w:p>
      <w:pPr>
        <w:pStyle w:val="Heading2"/>
        <w:spacing w:after="120" w:before="240"/>
      </w:pPr>
      <w:r>
        <w:t xml:space="preserve">12.5 Locked Pro features are shown but not explained inline</w:t>
      </w:r>
    </w:p>
    <w:p>
      <w:pPr>
        <w:spacing w:after="160"/>
      </w:pPr>
      <w:r>
        <w:t xml:space="preserve">Archive, Transfer, and the Stats Performance Summary all show a small lock icon with no visible price, plan name, or “Upgrade” tooltip on hover — a user has to already know AbleSpace's pricing page to understand what unlocking involves.</w:t>
      </w:r>
    </w:p>
    <w:p>
      <w:pPr>
        <w:pStyle w:val="Heading2"/>
        <w:spacing w:after="120" w:before="240"/>
      </w:pPr>
      <w:r>
        <w:t xml:space="preserve">12.6 Filters modal's left column reads like column visibility, but behaves like a per-field value filter</w:t>
      </w:r>
    </w:p>
    <w:p>
      <w:pPr>
        <w:spacing w:after="160"/>
      </w:pPr>
      <w:r>
        <w:t xml:space="preserve">The left list (Full Name, Last Name, IEP Due, Eval Due, Collaborators, Service Time, School, Site) looks like a set of toggleable table columns at first glance, but clicking one instead opens a value-selection list on the right (e.g. picking specific student names under “Full Name”). Separating “which columns to show” from “filter caseload by this field's value” into two distinct, clearly-labelled controls would remove that ambiguity.</w:t>
      </w:r>
    </w:p>
    <w:p>
      <w:pPr>
        <w:pStyle w:val="Heading2"/>
        <w:spacing w:after="120" w:before="240"/>
      </w:pPr>
      <w:r>
        <w:t xml:space="preserve">12.7 No visible session-end / completeness check</w:t>
      </w:r>
    </w:p>
    <w:p>
      <w:pPr>
        <w:spacing w:after="160"/>
      </w:pPr>
      <w:r>
        <w:t xml:space="preserve">Nothing in the session view summarizes “x/7 goals captured, service time logged, notes added” before the clinician navigates away — everything auto-saves, but a first-time user has no way to confirm the session is actually complete.</w:t>
      </w:r>
    </w:p>
    <w:p>
      <w:pPr>
        <w:pStyle w:val="Heading1"/>
        <w:spacing w:after="160" w:before="320"/>
      </w:pPr>
      <w:r>
        <w:t xml:space="preserve">13. Notes on scope</w:t>
      </w:r>
    </w:p>
    <w:p>
      <w:pPr>
        <w:spacing w:after="160"/>
      </w:pPr>
      <w:r>
        <w:t xml:space="preserve">This walkthrough covered every tab and view mode I could reach on a fresh trial account with the two pre-seeded demo students. I did not test Reports, Billing, multi-student real Group sessions with more than one active student, or any Pro-tier feature that required payment to unlock.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46cbd7b08f8657069717d0dcbbd4ba9661881af.png"/><Relationship Id="rId8" Type="http://schemas.openxmlformats.org/officeDocument/2006/relationships/image" Target="media/73017c9ad8662649b43441d750637fd58b688502.png"/><Relationship Id="rId9" Type="http://schemas.openxmlformats.org/officeDocument/2006/relationships/image" Target="media/43d805cba4c2b21c44bb6695a872d23b52394544.png"/><Relationship Id="rId10" Type="http://schemas.openxmlformats.org/officeDocument/2006/relationships/image" Target="media/7d0ec2e53be3e36d2e9a154563e72250c40b9f88.png"/><Relationship Id="rId11" Type="http://schemas.openxmlformats.org/officeDocument/2006/relationships/image" Target="media/4a13015685fd6e931b612136cc98bfa36c77c59b.png"/><Relationship Id="rId12" Type="http://schemas.openxmlformats.org/officeDocument/2006/relationships/image" Target="media/f5faf070e9afd0703c0cf00942e55638dcb75420.png"/><Relationship Id="rId13" Type="http://schemas.openxmlformats.org/officeDocument/2006/relationships/image" Target="media/c043a6a5c3709f83ae1e747f671c4f6cb3df9f70.png"/><Relationship Id="rId14" Type="http://schemas.openxmlformats.org/officeDocument/2006/relationships/image" Target="media/ec40faccbc8d682191b60c648d88b3e84be93f0d.png"/><Relationship Id="rId15" Type="http://schemas.openxmlformats.org/officeDocument/2006/relationships/image" Target="media/faaf6ae50a61b19107035f21457f67a575b0055b.png"/><Relationship Id="rId16" Type="http://schemas.openxmlformats.org/officeDocument/2006/relationships/image" Target="media/7cae8344774f67e33490eab4743a24cce07813ea.png"/><Relationship Id="rId17" Type="http://schemas.openxmlformats.org/officeDocument/2006/relationships/image" Target="media/fa0d7e8581e55656f22252d1782727a14415f996.png"/><Relationship Id="rId18" Type="http://schemas.openxmlformats.org/officeDocument/2006/relationships/image" Target="media/b4edb6f53f39bb5e8502276c40c51d235f298109.png"/><Relationship Id="rId19" Type="http://schemas.openxmlformats.org/officeDocument/2006/relationships/image" Target="media/ee1eaf72aa433668c7fee35d19877b8fef8892b1.png"/><Relationship Id="rId20" Type="http://schemas.openxmlformats.org/officeDocument/2006/relationships/image" Target="media/d1dcb23b81a13f4f516c40f7cbde67fd591308c5.pn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2026-08-16T04:41:24.182Z</dcterms:created>
  <dcterms:modified xsi:type="dcterms:W3CDTF">2026-08-16T04:41:24.193Z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