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48692C61" w14:textId="77777777" w:rsidR="00B2227B" w:rsidRDefault="00DD58AD" w:rsidP="003F2574">
      <w:pPr>
        <w:spacing w:line="240" w:lineRule="auto"/>
        <w:rPr>
          <w:rFonts w:ascii="Times New Roman" w:hAnsi="Times New Roman" w:cs="Times New Roman"/>
          <w:b/>
          <w:sz w:val="28"/>
          <w:szCs w:val="28"/>
        </w:rPr>
      </w:pPr>
      <w:r w:rsidRPr="00C5478F">
        <w:rPr>
          <w:rFonts w:ascii="Times New Roman" w:hAnsi="Times New Roman" w:cs="Times New Roman"/>
          <w:b/>
          <w:sz w:val="28"/>
          <w:szCs w:val="28"/>
        </w:rPr>
        <w:t>Analysis of Gene Expression across Time in Hematopoietic Cell Development</w:t>
      </w:r>
    </w:p>
    <w:p w14:paraId="05D85A10" w14:textId="77777777" w:rsidR="00511544" w:rsidRDefault="00511544" w:rsidP="00C5478F">
      <w:pPr>
        <w:spacing w:line="240" w:lineRule="auto"/>
        <w:jc w:val="center"/>
        <w:rPr>
          <w:rFonts w:ascii="Times New Roman" w:hAnsi="Times New Roman" w:cs="Times New Roman"/>
          <w:sz w:val="24"/>
          <w:szCs w:val="24"/>
        </w:rPr>
      </w:pPr>
      <w:r>
        <w:rPr>
          <w:rFonts w:ascii="Times New Roman" w:hAnsi="Times New Roman" w:cs="Times New Roman"/>
          <w:sz w:val="24"/>
          <w:szCs w:val="24"/>
        </w:rPr>
        <w:t>Varun Gupta</w:t>
      </w:r>
      <w:r>
        <w:rPr>
          <w:rFonts w:ascii="Times New Roman" w:hAnsi="Times New Roman" w:cs="Times New Roman"/>
          <w:sz w:val="24"/>
          <w:szCs w:val="24"/>
          <w:vertAlign w:val="superscript"/>
        </w:rPr>
        <w:t>1*</w:t>
      </w:r>
      <w:r>
        <w:rPr>
          <w:rFonts w:ascii="Times New Roman" w:hAnsi="Times New Roman" w:cs="Times New Roman"/>
          <w:sz w:val="24"/>
          <w:szCs w:val="24"/>
        </w:rPr>
        <w:t xml:space="preserve"> and Kapil Kanagal</w:t>
      </w:r>
      <w:r>
        <w:rPr>
          <w:rFonts w:ascii="Times New Roman" w:hAnsi="Times New Roman" w:cs="Times New Roman"/>
          <w:sz w:val="24"/>
          <w:szCs w:val="24"/>
          <w:vertAlign w:val="superscript"/>
        </w:rPr>
        <w:t>1</w:t>
      </w:r>
    </w:p>
    <w:p w14:paraId="5803BC9A" w14:textId="77777777" w:rsidR="00511544" w:rsidRDefault="00511544" w:rsidP="00C5478F">
      <w:pPr>
        <w:spacing w:line="240" w:lineRule="auto"/>
        <w:jc w:val="center"/>
        <w:rPr>
          <w:rFonts w:ascii="Times New Roman" w:hAnsi="Times New Roman" w:cs="Times New Roman"/>
          <w:sz w:val="18"/>
          <w:szCs w:val="18"/>
          <w:vertAlign w:val="superscript"/>
        </w:rPr>
      </w:pPr>
    </w:p>
    <w:p w14:paraId="226740E8" w14:textId="77777777" w:rsidR="00511544" w:rsidRDefault="00511544" w:rsidP="00C5478F">
      <w:pPr>
        <w:spacing w:line="240" w:lineRule="auto"/>
        <w:jc w:val="center"/>
        <w:rPr>
          <w:rFonts w:ascii="Times New Roman" w:hAnsi="Times New Roman" w:cs="Times New Roman"/>
          <w:sz w:val="18"/>
          <w:szCs w:val="18"/>
        </w:rPr>
      </w:pPr>
      <w:r w:rsidRPr="00511544">
        <w:rPr>
          <w:rFonts w:ascii="Times New Roman" w:hAnsi="Times New Roman" w:cs="Times New Roman"/>
          <w:sz w:val="18"/>
          <w:szCs w:val="18"/>
          <w:vertAlign w:val="superscript"/>
        </w:rPr>
        <w:t xml:space="preserve">1 </w:t>
      </w:r>
      <w:r w:rsidRPr="00511544">
        <w:rPr>
          <w:rFonts w:ascii="Times New Roman" w:hAnsi="Times New Roman" w:cs="Times New Roman"/>
          <w:sz w:val="18"/>
          <w:szCs w:val="18"/>
        </w:rPr>
        <w:t>Department of Statistics, Stanford University, 592 Mayfield Avenue, Stanford, CA 94309</w:t>
      </w:r>
    </w:p>
    <w:p w14:paraId="6E31B967" w14:textId="77777777" w:rsidR="00511544" w:rsidRPr="00511544" w:rsidRDefault="00511544" w:rsidP="00511544">
      <w:pPr>
        <w:spacing w:line="240" w:lineRule="auto"/>
        <w:jc w:val="center"/>
        <w:rPr>
          <w:rFonts w:ascii="Times New Roman" w:hAnsi="Times New Roman" w:cs="Times New Roman"/>
          <w:sz w:val="18"/>
          <w:szCs w:val="18"/>
        </w:rPr>
      </w:pPr>
      <w:r w:rsidRPr="00511544">
        <w:rPr>
          <w:rFonts w:ascii="Times New Roman" w:hAnsi="Times New Roman" w:cs="Times New Roman"/>
          <w:sz w:val="18"/>
          <w:szCs w:val="18"/>
        </w:rPr>
        <w:t>*To whom correspondence should be addressed. Email</w:t>
      </w:r>
      <w:r>
        <w:rPr>
          <w:rFonts w:ascii="Times New Roman" w:hAnsi="Times New Roman" w:cs="Times New Roman"/>
          <w:sz w:val="18"/>
          <w:szCs w:val="18"/>
        </w:rPr>
        <w:t>: vgupta16</w:t>
      </w:r>
      <w:r w:rsidRPr="00511544">
        <w:rPr>
          <w:rFonts w:ascii="Times New Roman" w:hAnsi="Times New Roman" w:cs="Times New Roman"/>
          <w:sz w:val="18"/>
          <w:szCs w:val="18"/>
        </w:rPr>
        <w:t>@</w:t>
      </w:r>
      <w:r>
        <w:rPr>
          <w:rFonts w:ascii="Times New Roman" w:hAnsi="Times New Roman" w:cs="Times New Roman"/>
          <w:sz w:val="18"/>
          <w:szCs w:val="18"/>
        </w:rPr>
        <w:t>stanford.edu</w:t>
      </w:r>
    </w:p>
    <w:p w14:paraId="04A29C4F" w14:textId="77777777" w:rsidR="00511544" w:rsidRPr="00511544" w:rsidRDefault="00511544" w:rsidP="00511544">
      <w:pPr>
        <w:spacing w:line="240" w:lineRule="auto"/>
        <w:rPr>
          <w:rFonts w:ascii="Times New Roman" w:hAnsi="Times New Roman" w:cs="Times New Roman"/>
          <w:b/>
          <w:sz w:val="18"/>
          <w:szCs w:val="18"/>
          <w:u w:val="single"/>
        </w:rPr>
      </w:pPr>
      <w:r w:rsidRPr="00511544">
        <w:rPr>
          <w:rFonts w:ascii="Times New Roman" w:hAnsi="Times New Roman" w:cs="Times New Roman"/>
          <w:b/>
          <w:sz w:val="18"/>
          <w:szCs w:val="18"/>
          <w:u w:val="single"/>
        </w:rPr>
        <w:t>________________________________________________________________________________________________________</w:t>
      </w:r>
    </w:p>
    <w:p w14:paraId="6D5327C9" w14:textId="77777777" w:rsidR="00B2227B" w:rsidRPr="00511544" w:rsidRDefault="00B2227B" w:rsidP="00C5478F">
      <w:pPr>
        <w:spacing w:line="240" w:lineRule="auto"/>
        <w:jc w:val="center"/>
        <w:rPr>
          <w:rFonts w:ascii="Times New Roman" w:hAnsi="Times New Roman" w:cs="Times New Roman"/>
          <w:sz w:val="18"/>
          <w:szCs w:val="18"/>
        </w:rPr>
      </w:pPr>
    </w:p>
    <w:p w14:paraId="2A2A46DA" w14:textId="77777777" w:rsidR="00B2227B" w:rsidRPr="00C5478F" w:rsidRDefault="00FE42A5" w:rsidP="00FE42A5">
      <w:pPr>
        <w:spacing w:line="240" w:lineRule="auto"/>
        <w:contextualSpacing/>
        <w:rPr>
          <w:rFonts w:ascii="Times New Roman" w:hAnsi="Times New Roman" w:cs="Times New Roman"/>
          <w:b/>
          <w:sz w:val="24"/>
          <w:szCs w:val="24"/>
        </w:rPr>
      </w:pPr>
      <w:r>
        <w:rPr>
          <w:rFonts w:ascii="Times New Roman" w:hAnsi="Times New Roman" w:cs="Times New Roman"/>
          <w:b/>
          <w:sz w:val="24"/>
          <w:szCs w:val="24"/>
        </w:rPr>
        <w:t xml:space="preserve">I. </w:t>
      </w:r>
      <w:r w:rsidR="00DD58AD" w:rsidRPr="00C5478F">
        <w:rPr>
          <w:rFonts w:ascii="Times New Roman" w:hAnsi="Times New Roman" w:cs="Times New Roman"/>
          <w:b/>
          <w:sz w:val="24"/>
          <w:szCs w:val="24"/>
        </w:rPr>
        <w:t>Background</w:t>
      </w:r>
    </w:p>
    <w:p w14:paraId="32ECE459" w14:textId="77777777" w:rsidR="00B2227B" w:rsidRPr="00C5478F" w:rsidRDefault="00B2227B" w:rsidP="00C5478F">
      <w:pPr>
        <w:spacing w:line="240" w:lineRule="auto"/>
        <w:rPr>
          <w:rFonts w:ascii="Times New Roman" w:hAnsi="Times New Roman" w:cs="Times New Roman"/>
          <w:sz w:val="24"/>
          <w:szCs w:val="24"/>
        </w:rPr>
      </w:pPr>
    </w:p>
    <w:p w14:paraId="45010B4A" w14:textId="2E166716" w:rsidR="00B2227B" w:rsidRDefault="00DD58AD" w:rsidP="00C5478F">
      <w:pPr>
        <w:spacing w:line="240" w:lineRule="auto"/>
        <w:rPr>
          <w:rFonts w:ascii="Times New Roman" w:hAnsi="Times New Roman" w:cs="Times New Roman"/>
          <w:sz w:val="24"/>
          <w:szCs w:val="24"/>
        </w:rPr>
      </w:pPr>
      <w:r w:rsidRPr="00C5478F">
        <w:rPr>
          <w:rFonts w:ascii="Times New Roman" w:hAnsi="Times New Roman" w:cs="Times New Roman"/>
          <w:sz w:val="24"/>
          <w:szCs w:val="24"/>
        </w:rPr>
        <w:tab/>
        <w:t>The use of single-cell gene expression analysis of embryonic progenitor cells can aid in determining the molecular pathways that control organ development. Single-cell gene expression analysis has already been used to study transcriptome dynamics during embryonic development; analysis has successfully identified clusters of co-expressed genes and their leading hub genes during preimplantation in mouse and human development</w:t>
      </w:r>
      <w:r w:rsidR="008A6948">
        <w:rPr>
          <w:rStyle w:val="FootnoteReference"/>
          <w:rFonts w:ascii="Times New Roman" w:hAnsi="Times New Roman" w:cs="Times New Roman"/>
          <w:sz w:val="24"/>
          <w:szCs w:val="24"/>
        </w:rPr>
        <w:footnoteReference w:id="1"/>
      </w:r>
      <w:r w:rsidR="00AF36D3">
        <w:rPr>
          <w:rFonts w:ascii="Times New Roman" w:hAnsi="Times New Roman" w:cs="Times New Roman"/>
          <w:sz w:val="24"/>
          <w:szCs w:val="24"/>
        </w:rPr>
        <w:t>,</w:t>
      </w:r>
      <w:r w:rsidRPr="00C5478F">
        <w:rPr>
          <w:rFonts w:ascii="Times New Roman" w:hAnsi="Times New Roman" w:cs="Times New Roman"/>
          <w:sz w:val="24"/>
          <w:szCs w:val="24"/>
        </w:rPr>
        <w:t xml:space="preserve"> cell fates from zygote to blastocyst according to particular transcription factors</w:t>
      </w:r>
      <w:r w:rsidR="008A6948">
        <w:rPr>
          <w:rStyle w:val="FootnoteReference"/>
          <w:rFonts w:ascii="Times New Roman" w:hAnsi="Times New Roman" w:cs="Times New Roman"/>
          <w:sz w:val="24"/>
          <w:szCs w:val="24"/>
        </w:rPr>
        <w:footnoteReference w:id="2"/>
      </w:r>
      <w:r w:rsidRPr="00C5478F">
        <w:rPr>
          <w:rFonts w:ascii="Times New Roman" w:hAnsi="Times New Roman" w:cs="Times New Roman"/>
          <w:sz w:val="24"/>
          <w:szCs w:val="24"/>
        </w:rPr>
        <w:t>, and differences between the gene expression signatures of human epiblast and in vitro hematopoietic stem cells</w:t>
      </w:r>
      <w:r w:rsidR="00AF36D3">
        <w:rPr>
          <w:rFonts w:ascii="Times New Roman" w:hAnsi="Times New Roman" w:cs="Times New Roman"/>
          <w:sz w:val="24"/>
          <w:szCs w:val="24"/>
        </w:rPr>
        <w:t>.</w:t>
      </w:r>
      <w:r w:rsidR="008A6948">
        <w:rPr>
          <w:rStyle w:val="FootnoteReference"/>
          <w:rFonts w:ascii="Times New Roman" w:hAnsi="Times New Roman" w:cs="Times New Roman"/>
          <w:sz w:val="24"/>
          <w:szCs w:val="24"/>
        </w:rPr>
        <w:footnoteReference w:id="3"/>
      </w:r>
      <w:r w:rsidRPr="00C5478F">
        <w:rPr>
          <w:rFonts w:ascii="Times New Roman" w:hAnsi="Times New Roman" w:cs="Times New Roman"/>
          <w:sz w:val="24"/>
          <w:szCs w:val="24"/>
        </w:rPr>
        <w:t xml:space="preserve"> In particular, blood, or hematopoietic stem cells, can be used to study organ development due to recent technical advances in improving its accessibility and the availability for markers of specific embryonic cell populations</w:t>
      </w:r>
      <w:r w:rsidR="008A6948">
        <w:rPr>
          <w:rStyle w:val="FootnoteReference"/>
          <w:rFonts w:ascii="Times New Roman" w:hAnsi="Times New Roman" w:cs="Times New Roman"/>
          <w:sz w:val="24"/>
          <w:szCs w:val="24"/>
        </w:rPr>
        <w:footnoteReference w:id="4"/>
      </w:r>
      <w:r w:rsidRPr="00C5478F">
        <w:rPr>
          <w:rFonts w:ascii="Times New Roman" w:hAnsi="Times New Roman" w:cs="Times New Roman"/>
          <w:sz w:val="24"/>
          <w:szCs w:val="24"/>
        </w:rPr>
        <w:t>, as demonstrated by recent identifications of lineage commitment</w:t>
      </w:r>
      <w:r w:rsidR="008A6948">
        <w:rPr>
          <w:rStyle w:val="FootnoteReference"/>
          <w:rFonts w:ascii="Times New Roman" w:hAnsi="Times New Roman" w:cs="Times New Roman"/>
          <w:sz w:val="24"/>
          <w:szCs w:val="24"/>
        </w:rPr>
        <w:footnoteReference w:id="5"/>
      </w:r>
      <w:r w:rsidRPr="00C5478F">
        <w:rPr>
          <w:rFonts w:ascii="Times New Roman" w:hAnsi="Times New Roman" w:cs="Times New Roman"/>
          <w:sz w:val="24"/>
          <w:szCs w:val="24"/>
        </w:rPr>
        <w:t xml:space="preserve"> and transcriptional regulatory</w:t>
      </w:r>
      <w:r w:rsidR="008A6948">
        <w:rPr>
          <w:rStyle w:val="FootnoteReference"/>
          <w:rFonts w:ascii="Times New Roman" w:hAnsi="Times New Roman" w:cs="Times New Roman"/>
          <w:sz w:val="24"/>
          <w:szCs w:val="24"/>
        </w:rPr>
        <w:footnoteReference w:id="6"/>
      </w:r>
      <w:r w:rsidRPr="00C5478F">
        <w:rPr>
          <w:rFonts w:ascii="Times New Roman" w:hAnsi="Times New Roman" w:cs="Times New Roman"/>
          <w:sz w:val="24"/>
          <w:szCs w:val="24"/>
        </w:rPr>
        <w:t xml:space="preserve"> events in blood. Moreover, blood development occurs early enough during </w:t>
      </w:r>
      <w:r w:rsidR="003F2574" w:rsidRPr="00C5478F">
        <w:rPr>
          <w:rFonts w:ascii="Times New Roman" w:hAnsi="Times New Roman" w:cs="Times New Roman"/>
          <w:sz w:val="24"/>
          <w:szCs w:val="24"/>
        </w:rPr>
        <w:t>organogenesis,</w:t>
      </w:r>
      <w:r w:rsidRPr="00C5478F">
        <w:rPr>
          <w:rFonts w:ascii="Times New Roman" w:hAnsi="Times New Roman" w:cs="Times New Roman"/>
          <w:sz w:val="24"/>
          <w:szCs w:val="24"/>
        </w:rPr>
        <w:t xml:space="preserve"> as primitive erythrocytes are required to support the growing embryo</w:t>
      </w:r>
      <w:r w:rsidR="00F63954">
        <w:rPr>
          <w:rFonts w:ascii="Times New Roman" w:hAnsi="Times New Roman" w:cs="Times New Roman"/>
          <w:sz w:val="24"/>
          <w:szCs w:val="24"/>
        </w:rPr>
        <w:t>.</w:t>
      </w:r>
      <w:r w:rsidR="008A6948">
        <w:rPr>
          <w:rStyle w:val="FootnoteReference"/>
          <w:rFonts w:ascii="Times New Roman" w:hAnsi="Times New Roman" w:cs="Times New Roman"/>
          <w:sz w:val="24"/>
          <w:szCs w:val="24"/>
        </w:rPr>
        <w:footnoteReference w:id="7"/>
      </w:r>
      <w:r w:rsidRPr="00C5478F">
        <w:rPr>
          <w:rFonts w:ascii="Times New Roman" w:hAnsi="Times New Roman" w:cs="Times New Roman"/>
          <w:sz w:val="24"/>
          <w:szCs w:val="24"/>
        </w:rPr>
        <w:t xml:space="preserve"> </w:t>
      </w:r>
    </w:p>
    <w:p w14:paraId="541AF15F" w14:textId="77777777" w:rsidR="00577F4D" w:rsidRPr="00C5478F" w:rsidRDefault="00577F4D" w:rsidP="00C5478F">
      <w:pPr>
        <w:spacing w:line="240" w:lineRule="auto"/>
        <w:rPr>
          <w:rFonts w:ascii="Times New Roman" w:hAnsi="Times New Roman" w:cs="Times New Roman"/>
          <w:sz w:val="24"/>
          <w:szCs w:val="24"/>
        </w:rPr>
      </w:pPr>
    </w:p>
    <w:p w14:paraId="28AA9B09" w14:textId="64DCF312" w:rsidR="00B2227B" w:rsidRDefault="00DD58AD" w:rsidP="00577F4D">
      <w:pPr>
        <w:spacing w:line="240" w:lineRule="auto"/>
        <w:ind w:firstLine="720"/>
        <w:rPr>
          <w:rFonts w:ascii="Times New Roman" w:hAnsi="Times New Roman" w:cs="Times New Roman"/>
          <w:sz w:val="24"/>
          <w:szCs w:val="24"/>
        </w:rPr>
      </w:pPr>
      <w:r w:rsidRPr="00C5478F">
        <w:rPr>
          <w:rFonts w:ascii="Times New Roman" w:hAnsi="Times New Roman" w:cs="Times New Roman"/>
          <w:sz w:val="24"/>
          <w:szCs w:val="24"/>
        </w:rPr>
        <w:t>Given such success in single-cell expression analysis, Moignard et al. inspected hematopoietic development in the mouse embryo through unsupervised analyses of a dataset of 3,934 cells “with blood-forming potential captured at four time points between E7.0 and E8.5” and their levels of expression for 46 different genes</w:t>
      </w:r>
      <w:r w:rsidR="00F63954">
        <w:rPr>
          <w:rFonts w:ascii="Times New Roman" w:hAnsi="Times New Roman" w:cs="Times New Roman"/>
          <w:sz w:val="24"/>
          <w:szCs w:val="24"/>
        </w:rPr>
        <w:t>.</w:t>
      </w:r>
      <w:r w:rsidR="00FE42A5">
        <w:rPr>
          <w:rStyle w:val="FootnoteReference"/>
          <w:rFonts w:ascii="Times New Roman" w:hAnsi="Times New Roman" w:cs="Times New Roman"/>
          <w:sz w:val="24"/>
          <w:szCs w:val="24"/>
        </w:rPr>
        <w:footnoteReference w:id="8"/>
      </w:r>
      <w:r w:rsidRPr="00C5478F">
        <w:rPr>
          <w:rFonts w:ascii="Times New Roman" w:hAnsi="Times New Roman" w:cs="Times New Roman"/>
          <w:sz w:val="24"/>
          <w:szCs w:val="24"/>
        </w:rPr>
        <w:t xml:space="preserve"> In particular, Moignard et al. used hierarchical (agglomerative) clustering, dimensionality reduction in the form of multidimensional scaling (MDS), diffusion mapping, and principal components analysis (PCA), and boolean network synthesis to reconstruct boolean update rules to analyze the molecular pathways behind development. They demonstrated that the Sox7 factor blocks primitive erythroid development and Sox and Hox factors control expression of the Erg factor. They also identified twenty </w:t>
      </w:r>
      <w:r w:rsidR="004A6CA8" w:rsidRPr="00C5478F">
        <w:rPr>
          <w:rFonts w:ascii="Times New Roman" w:hAnsi="Times New Roman" w:cs="Times New Roman"/>
          <w:sz w:val="24"/>
          <w:szCs w:val="24"/>
        </w:rPr>
        <w:t>highly connected</w:t>
      </w:r>
      <w:r w:rsidRPr="00C5478F">
        <w:rPr>
          <w:rFonts w:ascii="Times New Roman" w:hAnsi="Times New Roman" w:cs="Times New Roman"/>
          <w:sz w:val="24"/>
          <w:szCs w:val="24"/>
        </w:rPr>
        <w:t xml:space="preserve"> transcription factors that </w:t>
      </w:r>
      <w:r w:rsidR="00577F4D">
        <w:rPr>
          <w:rFonts w:ascii="Times New Roman" w:hAnsi="Times New Roman" w:cs="Times New Roman"/>
          <w:sz w:val="24"/>
          <w:szCs w:val="24"/>
        </w:rPr>
        <w:t>stabilize in eight subclusters.</w:t>
      </w:r>
    </w:p>
    <w:p w14:paraId="340A73B9" w14:textId="77777777" w:rsidR="00577F4D" w:rsidRPr="00C5478F" w:rsidRDefault="00577F4D" w:rsidP="00577F4D">
      <w:pPr>
        <w:spacing w:line="240" w:lineRule="auto"/>
        <w:ind w:firstLine="720"/>
        <w:rPr>
          <w:rFonts w:ascii="Times New Roman" w:hAnsi="Times New Roman" w:cs="Times New Roman"/>
          <w:sz w:val="24"/>
          <w:szCs w:val="24"/>
        </w:rPr>
      </w:pPr>
    </w:p>
    <w:p w14:paraId="100656AD" w14:textId="772F507B" w:rsidR="009E1D3A" w:rsidRDefault="00DD58AD" w:rsidP="00577F4D">
      <w:pPr>
        <w:spacing w:line="240" w:lineRule="auto"/>
        <w:ind w:firstLine="720"/>
        <w:contextualSpacing/>
        <w:rPr>
          <w:rFonts w:ascii="Times New Roman" w:hAnsi="Times New Roman" w:cs="Times New Roman"/>
          <w:sz w:val="24"/>
          <w:szCs w:val="24"/>
        </w:rPr>
      </w:pPr>
      <w:r w:rsidRPr="00C5478F">
        <w:rPr>
          <w:rFonts w:ascii="Times New Roman" w:hAnsi="Times New Roman" w:cs="Times New Roman"/>
          <w:sz w:val="24"/>
          <w:szCs w:val="24"/>
        </w:rPr>
        <w:t xml:space="preserve">This project aims to develop a more basic understanding of the transcriptome dynamics in the mouse embryo over the given time period. Instead of using sophisticated unsupervised statistical learning methods, this project will focus on conducting tests of homogeneity and independence on the discretized setting of the data to identify factors that contribute the most to heterogeneity in gene expression levels over time and factors that are highly co-dependent during particular periods of time, respectively. Given these insights, our project will then quantify differences in factor expression and dependence from the continuous setting of the data using nonparametric tests such as the Wilcoxon signed-rank test and nonparametric methods such as </w:t>
      </w:r>
      <w:r w:rsidRPr="00C5478F">
        <w:rPr>
          <w:rFonts w:ascii="Times New Roman" w:hAnsi="Times New Roman" w:cs="Times New Roman"/>
          <w:sz w:val="24"/>
          <w:szCs w:val="24"/>
        </w:rPr>
        <w:lastRenderedPageBreak/>
        <w:t xml:space="preserve">bootstrapping. These more fundamental statistical tests will enable us to measure transcriptome </w:t>
      </w:r>
      <w:r w:rsidRPr="009E1D3A">
        <w:rPr>
          <w:rFonts w:ascii="Times New Roman" w:hAnsi="Times New Roman" w:cs="Times New Roman"/>
          <w:sz w:val="24"/>
          <w:szCs w:val="24"/>
        </w:rPr>
        <w:t>changes that occur in cells transitioning from one period to the next and eventually differentiating into either endothelial or blood cells without making parametric assumptions.</w:t>
      </w:r>
      <w:r w:rsidR="008122E7">
        <w:rPr>
          <w:rFonts w:ascii="Times New Roman" w:hAnsi="Times New Roman" w:cs="Times New Roman"/>
          <w:sz w:val="24"/>
          <w:szCs w:val="24"/>
        </w:rPr>
        <w:t xml:space="preserve"> </w:t>
      </w:r>
      <w:r w:rsidR="008122E7" w:rsidRPr="008122E7">
        <w:rPr>
          <w:rFonts w:ascii="Times New Roman" w:hAnsi="Times New Roman" w:cs="Times New Roman"/>
          <w:b/>
          <w:sz w:val="24"/>
          <w:szCs w:val="24"/>
        </w:rPr>
        <w:t>(INSERT CONCLUSIONS)</w:t>
      </w:r>
    </w:p>
    <w:p w14:paraId="5E37F5D9" w14:textId="77777777" w:rsidR="00577F4D" w:rsidRPr="009E1D3A" w:rsidRDefault="00577F4D" w:rsidP="00577F4D">
      <w:pPr>
        <w:spacing w:line="240" w:lineRule="auto"/>
        <w:ind w:firstLine="720"/>
        <w:contextualSpacing/>
        <w:rPr>
          <w:rFonts w:ascii="Times New Roman" w:hAnsi="Times New Roman" w:cs="Times New Roman"/>
          <w:sz w:val="24"/>
          <w:szCs w:val="24"/>
        </w:rPr>
      </w:pPr>
    </w:p>
    <w:p w14:paraId="23DF7F38" w14:textId="77777777" w:rsidR="009E1D3A" w:rsidRDefault="009E1D3A" w:rsidP="009E1D3A">
      <w:pPr>
        <w:spacing w:line="240" w:lineRule="auto"/>
        <w:contextualSpacing/>
        <w:rPr>
          <w:rFonts w:ascii="Times New Roman" w:eastAsia="Times New Roman" w:hAnsi="Times New Roman" w:cs="Times New Roman"/>
          <w:sz w:val="24"/>
          <w:szCs w:val="24"/>
        </w:rPr>
      </w:pPr>
      <w:r w:rsidRPr="009E1D3A">
        <w:rPr>
          <w:rFonts w:ascii="Times New Roman" w:hAnsi="Times New Roman" w:cs="Times New Roman"/>
          <w:sz w:val="24"/>
          <w:szCs w:val="24"/>
        </w:rPr>
        <w:tab/>
      </w:r>
      <w:r w:rsidRPr="009E1D3A">
        <w:rPr>
          <w:rFonts w:ascii="Times New Roman" w:eastAsia="Times New Roman" w:hAnsi="Times New Roman" w:cs="Times New Roman"/>
          <w:sz w:val="24"/>
          <w:szCs w:val="24"/>
        </w:rPr>
        <w:t>The cells had 5 potential types along 4 different time periods, which represented the different stages in their differentiation. The cells could either be primitive streak (PS), neural plate (NP), head fold (HF), four somite putative blood cells (4SG), or endothelial Flk1</w:t>
      </w:r>
      <w:r w:rsidRPr="009E1D3A">
        <w:rPr>
          <w:rFonts w:ascii="Times New Roman" w:eastAsia="Times New Roman" w:hAnsi="Times New Roman" w:cs="Times New Roman"/>
          <w:sz w:val="24"/>
          <w:szCs w:val="24"/>
          <w:vertAlign w:val="superscript"/>
        </w:rPr>
        <w:t>+</w:t>
      </w:r>
      <w:r w:rsidRPr="009E1D3A">
        <w:rPr>
          <w:rFonts w:ascii="Times New Roman" w:eastAsia="Times New Roman" w:hAnsi="Times New Roman" w:cs="Times New Roman"/>
          <w:sz w:val="24"/>
          <w:szCs w:val="24"/>
        </w:rPr>
        <w:t>GFP</w:t>
      </w:r>
      <w:r w:rsidRPr="009E1D3A">
        <w:rPr>
          <w:rFonts w:ascii="Times New Roman" w:eastAsia="Times New Roman" w:hAnsi="Times New Roman" w:cs="Times New Roman"/>
          <w:sz w:val="24"/>
          <w:szCs w:val="24"/>
          <w:vertAlign w:val="superscript"/>
        </w:rPr>
        <w:t>-</w:t>
      </w:r>
      <w:r w:rsidRPr="009E1D3A">
        <w:rPr>
          <w:rFonts w:ascii="Times New Roman" w:eastAsia="Times New Roman" w:hAnsi="Times New Roman" w:cs="Times New Roman"/>
          <w:sz w:val="24"/>
          <w:szCs w:val="24"/>
        </w:rPr>
        <w:t xml:space="preserve"> cells (4SFG</w:t>
      </w:r>
      <w:r w:rsidRPr="009E1D3A">
        <w:rPr>
          <w:rFonts w:ascii="Times New Roman" w:eastAsia="Times New Roman" w:hAnsi="Times New Roman" w:cs="Times New Roman"/>
          <w:sz w:val="24"/>
          <w:szCs w:val="24"/>
          <w:vertAlign w:val="superscript"/>
        </w:rPr>
        <w:t>-</w:t>
      </w:r>
      <w:r w:rsidRPr="009E1D3A">
        <w:rPr>
          <w:rFonts w:ascii="Times New Roman" w:eastAsia="Times New Roman" w:hAnsi="Times New Roman" w:cs="Times New Roman"/>
          <w:sz w:val="24"/>
          <w:szCs w:val="24"/>
        </w:rPr>
        <w:t>). A diagram of the cell differentiation pathway can be seen below:</w:t>
      </w:r>
    </w:p>
    <w:p w14:paraId="502044B6" w14:textId="77777777" w:rsidR="009E1D3A" w:rsidRPr="009E1D3A" w:rsidRDefault="00FC3A57" w:rsidP="009E1D3A">
      <w:pPr>
        <w:spacing w:line="240" w:lineRule="auto"/>
        <w:rPr>
          <w:rFonts w:ascii="Times" w:eastAsia="Times New Roman" w:hAnsi="Times" w:cs="Times New Roman"/>
          <w:color w:val="auto"/>
          <w:sz w:val="20"/>
          <w:szCs w:val="20"/>
        </w:rPr>
      </w:pPr>
      <w:r>
        <w:rPr>
          <w:noProof/>
        </w:rPr>
        <mc:AlternateContent>
          <mc:Choice Requires="wps">
            <w:drawing>
              <wp:anchor distT="0" distB="0" distL="114300" distR="114300" simplePos="0" relativeHeight="251660288" behindDoc="0" locked="0" layoutInCell="1" allowOverlap="1" wp14:anchorId="05BDFE85" wp14:editId="64D9EB89">
                <wp:simplePos x="0" y="0"/>
                <wp:positionH relativeFrom="column">
                  <wp:posOffset>685800</wp:posOffset>
                </wp:positionH>
                <wp:positionV relativeFrom="paragraph">
                  <wp:posOffset>1955800</wp:posOffset>
                </wp:positionV>
                <wp:extent cx="4343400" cy="273050"/>
                <wp:effectExtent l="0" t="0" r="0" b="0"/>
                <wp:wrapTight wrapText="bothSides">
                  <wp:wrapPolygon edited="0">
                    <wp:start x="0" y="0"/>
                    <wp:lineTo x="0" y="20571"/>
                    <wp:lineTo x="21474" y="20571"/>
                    <wp:lineTo x="21474"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4343400" cy="27305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2438836A" w14:textId="77777777" w:rsidR="00651AE8" w:rsidRPr="00FC3A57" w:rsidRDefault="00651AE8" w:rsidP="00FC3A57">
                            <w:pPr>
                              <w:pStyle w:val="Caption"/>
                              <w:rPr>
                                <w:rFonts w:ascii="Times New Roman" w:eastAsia="Times New Roman" w:hAnsi="Times New Roman" w:cs="Times New Roman"/>
                                <w:b w:val="0"/>
                                <w:noProof/>
                                <w:color w:val="auto"/>
                                <w:sz w:val="20"/>
                                <w:szCs w:val="20"/>
                              </w:rPr>
                            </w:pPr>
                            <w:r w:rsidRPr="00FC3A57">
                              <w:rPr>
                                <w:rFonts w:ascii="Times New Roman" w:hAnsi="Times New Roman"/>
                                <w:b w:val="0"/>
                                <w:color w:val="auto"/>
                                <w:sz w:val="20"/>
                                <w:szCs w:val="20"/>
                              </w:rPr>
                              <w:t xml:space="preserve">Figure </w:t>
                            </w:r>
                            <w:r w:rsidRPr="00FC3A57">
                              <w:rPr>
                                <w:rFonts w:ascii="Times New Roman" w:hAnsi="Times New Roman"/>
                                <w:b w:val="0"/>
                                <w:color w:val="auto"/>
                                <w:sz w:val="20"/>
                                <w:szCs w:val="20"/>
                              </w:rPr>
                              <w:fldChar w:fldCharType="begin"/>
                            </w:r>
                            <w:r w:rsidRPr="00FC3A57">
                              <w:rPr>
                                <w:rFonts w:ascii="Times New Roman" w:hAnsi="Times New Roman"/>
                                <w:b w:val="0"/>
                                <w:color w:val="auto"/>
                                <w:sz w:val="20"/>
                                <w:szCs w:val="20"/>
                              </w:rPr>
                              <w:instrText xml:space="preserve"> SEQ Figure \* ARABIC </w:instrText>
                            </w:r>
                            <w:r w:rsidRPr="00FC3A57">
                              <w:rPr>
                                <w:rFonts w:ascii="Times New Roman" w:hAnsi="Times New Roman"/>
                                <w:b w:val="0"/>
                                <w:color w:val="auto"/>
                                <w:sz w:val="20"/>
                                <w:szCs w:val="20"/>
                              </w:rPr>
                              <w:fldChar w:fldCharType="separate"/>
                            </w:r>
                            <w:r w:rsidRPr="00FC3A57">
                              <w:rPr>
                                <w:rFonts w:ascii="Times New Roman" w:hAnsi="Times New Roman"/>
                                <w:b w:val="0"/>
                                <w:noProof/>
                                <w:color w:val="auto"/>
                                <w:sz w:val="20"/>
                                <w:szCs w:val="20"/>
                              </w:rPr>
                              <w:t>1</w:t>
                            </w:r>
                            <w:r w:rsidRPr="00FC3A57">
                              <w:rPr>
                                <w:rFonts w:ascii="Times New Roman" w:hAnsi="Times New Roman"/>
                                <w:b w:val="0"/>
                                <w:color w:val="auto"/>
                                <w:sz w:val="20"/>
                                <w:szCs w:val="20"/>
                              </w:rPr>
                              <w:fldChar w:fldCharType="end"/>
                            </w:r>
                            <w:r w:rsidRPr="00FC3A57">
                              <w:rPr>
                                <w:rFonts w:ascii="Times New Roman" w:hAnsi="Times New Roman"/>
                                <w:b w:val="0"/>
                                <w:color w:val="auto"/>
                                <w:sz w:val="20"/>
                                <w:szCs w:val="20"/>
                              </w:rPr>
                              <w:t xml:space="preserve">: Cell differentiation pathway (Moignard, et. al 2013)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54pt;margin-top:154pt;width:342pt;height:21.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" stroked="f">
                <v:textbox style="mso-fit-shape-to-text:t" inset="0,0,0,0">
                  <w:txbxContent>
                    <w:p w14:paraId="2438836A" w14:textId="77777777" w:rsidR="00651AE8" w:rsidRPr="00FC3A57" w:rsidRDefault="00651AE8" w:rsidP="00FC3A57">
                      <w:pPr>
                        <w:pStyle w:val="Caption"/>
                        <w:rPr>
                          <w:rFonts w:ascii="Times New Roman" w:eastAsia="Times New Roman" w:hAnsi="Times New Roman" w:cs="Times New Roman"/>
                          <w:b w:val="0"/>
                          <w:noProof/>
                          <w:color w:val="auto"/>
                          <w:sz w:val="20"/>
                          <w:szCs w:val="20"/>
                        </w:rPr>
                      </w:pPr>
                      <w:r w:rsidRPr="00FC3A57">
                        <w:rPr>
                          <w:rFonts w:ascii="Times New Roman" w:hAnsi="Times New Roman"/>
                          <w:b w:val="0"/>
                          <w:color w:val="auto"/>
                          <w:sz w:val="20"/>
                          <w:szCs w:val="20"/>
                        </w:rPr>
                        <w:t xml:space="preserve">Figure </w:t>
                      </w:r>
                      <w:r w:rsidRPr="00FC3A57">
                        <w:rPr>
                          <w:rFonts w:ascii="Times New Roman" w:hAnsi="Times New Roman"/>
                          <w:b w:val="0"/>
                          <w:color w:val="auto"/>
                          <w:sz w:val="20"/>
                          <w:szCs w:val="20"/>
                        </w:rPr>
                        <w:fldChar w:fldCharType="begin"/>
                      </w:r>
                      <w:r w:rsidRPr="00FC3A57">
                        <w:rPr>
                          <w:rFonts w:ascii="Times New Roman" w:hAnsi="Times New Roman"/>
                          <w:b w:val="0"/>
                          <w:color w:val="auto"/>
                          <w:sz w:val="20"/>
                          <w:szCs w:val="20"/>
                        </w:rPr>
                        <w:instrText xml:space="preserve"> SEQ Figure \* ARABIC </w:instrText>
                      </w:r>
                      <w:r w:rsidRPr="00FC3A57">
                        <w:rPr>
                          <w:rFonts w:ascii="Times New Roman" w:hAnsi="Times New Roman"/>
                          <w:b w:val="0"/>
                          <w:color w:val="auto"/>
                          <w:sz w:val="20"/>
                          <w:szCs w:val="20"/>
                        </w:rPr>
                        <w:fldChar w:fldCharType="separate"/>
                      </w:r>
                      <w:r w:rsidRPr="00FC3A57">
                        <w:rPr>
                          <w:rFonts w:ascii="Times New Roman" w:hAnsi="Times New Roman"/>
                          <w:b w:val="0"/>
                          <w:noProof/>
                          <w:color w:val="auto"/>
                          <w:sz w:val="20"/>
                          <w:szCs w:val="20"/>
                        </w:rPr>
                        <w:t>1</w:t>
                      </w:r>
                      <w:r w:rsidRPr="00FC3A57">
                        <w:rPr>
                          <w:rFonts w:ascii="Times New Roman" w:hAnsi="Times New Roman"/>
                          <w:b w:val="0"/>
                          <w:color w:val="auto"/>
                          <w:sz w:val="20"/>
                          <w:szCs w:val="20"/>
                        </w:rPr>
                        <w:fldChar w:fldCharType="end"/>
                      </w:r>
                      <w:r w:rsidRPr="00FC3A57">
                        <w:rPr>
                          <w:rFonts w:ascii="Times New Roman" w:hAnsi="Times New Roman"/>
                          <w:b w:val="0"/>
                          <w:color w:val="auto"/>
                          <w:sz w:val="20"/>
                          <w:szCs w:val="20"/>
                        </w:rPr>
                        <w:t xml:space="preserve">: Cell differentiation pathway (Moignard, et. al 2013) </w:t>
                      </w:r>
                    </w:p>
                  </w:txbxContent>
                </v:textbox>
                <w10:wrap type="tight"/>
              </v:shape>
            </w:pict>
          </mc:Fallback>
        </mc:AlternateContent>
      </w:r>
      <w:r w:rsidR="009E1D3A">
        <w:rPr>
          <w:rFonts w:eastAsia="Times New Roman" w:cs="Times New Roman"/>
          <w:noProof/>
        </w:rPr>
        <w:drawing>
          <wp:anchor distT="0" distB="0" distL="114300" distR="114300" simplePos="0" relativeHeight="251658240" behindDoc="0" locked="0" layoutInCell="1" allowOverlap="1" wp14:anchorId="172DE1F4" wp14:editId="564218CB">
            <wp:simplePos x="0" y="0"/>
            <wp:positionH relativeFrom="column">
              <wp:posOffset>685800</wp:posOffset>
            </wp:positionH>
            <wp:positionV relativeFrom="paragraph">
              <wp:posOffset>137160</wp:posOffset>
            </wp:positionV>
            <wp:extent cx="4343400" cy="1761490"/>
            <wp:effectExtent l="0" t="0" r="0" b="0"/>
            <wp:wrapTight wrapText="bothSides">
              <wp:wrapPolygon edited="0">
                <wp:start x="0" y="0"/>
                <wp:lineTo x="0" y="21180"/>
                <wp:lineTo x="21474" y="21180"/>
                <wp:lineTo x="21474" y="0"/>
                <wp:lineTo x="0" y="0"/>
              </wp:wrapPolygon>
            </wp:wrapTight>
            <wp:docPr id="1" name="Picture 1" descr="creen Shot 2016-06-01 at 4.03.11 P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en Shot 2016-06-01 at 4.03.11 PM.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43400" cy="17614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0F8CAE5" w14:textId="77777777" w:rsidR="009E1D3A" w:rsidRPr="009E1D3A" w:rsidRDefault="009E1D3A" w:rsidP="009E1D3A">
      <w:pPr>
        <w:spacing w:line="240" w:lineRule="auto"/>
        <w:contextualSpacing/>
        <w:rPr>
          <w:rFonts w:ascii="Times New Roman" w:eastAsia="Times New Roman" w:hAnsi="Times New Roman" w:cs="Times New Roman"/>
          <w:color w:val="auto"/>
          <w:sz w:val="24"/>
          <w:szCs w:val="24"/>
        </w:rPr>
      </w:pPr>
    </w:p>
    <w:p w14:paraId="638C5F53" w14:textId="77777777" w:rsidR="009E1D3A" w:rsidRPr="00C5478F" w:rsidRDefault="009E1D3A" w:rsidP="009E1D3A">
      <w:pPr>
        <w:spacing w:line="240" w:lineRule="auto"/>
        <w:rPr>
          <w:rFonts w:ascii="Times New Roman" w:hAnsi="Times New Roman" w:cs="Times New Roman"/>
          <w:sz w:val="24"/>
          <w:szCs w:val="24"/>
        </w:rPr>
      </w:pPr>
    </w:p>
    <w:p w14:paraId="1B31CC78" w14:textId="77777777" w:rsidR="00B2227B" w:rsidRPr="00C5478F" w:rsidRDefault="00B2227B" w:rsidP="00C5478F">
      <w:pPr>
        <w:spacing w:line="240" w:lineRule="auto"/>
        <w:ind w:left="720"/>
        <w:rPr>
          <w:rFonts w:ascii="Times New Roman" w:hAnsi="Times New Roman" w:cs="Times New Roman"/>
          <w:sz w:val="24"/>
          <w:szCs w:val="24"/>
        </w:rPr>
      </w:pPr>
    </w:p>
    <w:p w14:paraId="607DEA50" w14:textId="77777777" w:rsidR="009E1D3A" w:rsidRDefault="009E1D3A" w:rsidP="00FE42A5">
      <w:pPr>
        <w:spacing w:line="240" w:lineRule="auto"/>
        <w:contextualSpacing/>
        <w:rPr>
          <w:rFonts w:ascii="Times New Roman" w:hAnsi="Times New Roman" w:cs="Times New Roman"/>
          <w:b/>
          <w:sz w:val="24"/>
          <w:szCs w:val="24"/>
        </w:rPr>
      </w:pPr>
    </w:p>
    <w:p w14:paraId="5992ED48" w14:textId="77777777" w:rsidR="009E1D3A" w:rsidRDefault="009E1D3A" w:rsidP="00FE42A5">
      <w:pPr>
        <w:spacing w:line="240" w:lineRule="auto"/>
        <w:contextualSpacing/>
        <w:rPr>
          <w:rFonts w:ascii="Times New Roman" w:hAnsi="Times New Roman" w:cs="Times New Roman"/>
          <w:b/>
          <w:sz w:val="24"/>
          <w:szCs w:val="24"/>
        </w:rPr>
      </w:pPr>
    </w:p>
    <w:p w14:paraId="74A5C469" w14:textId="77777777" w:rsidR="009E1D3A" w:rsidRDefault="009E1D3A" w:rsidP="00FE42A5">
      <w:pPr>
        <w:spacing w:line="240" w:lineRule="auto"/>
        <w:contextualSpacing/>
        <w:rPr>
          <w:rFonts w:ascii="Times New Roman" w:hAnsi="Times New Roman" w:cs="Times New Roman"/>
          <w:b/>
          <w:sz w:val="24"/>
          <w:szCs w:val="24"/>
        </w:rPr>
      </w:pPr>
    </w:p>
    <w:p w14:paraId="166CE782" w14:textId="77777777" w:rsidR="009E1D3A" w:rsidRDefault="009E1D3A" w:rsidP="00FE42A5">
      <w:pPr>
        <w:spacing w:line="240" w:lineRule="auto"/>
        <w:contextualSpacing/>
        <w:rPr>
          <w:rFonts w:ascii="Times New Roman" w:hAnsi="Times New Roman" w:cs="Times New Roman"/>
          <w:b/>
          <w:sz w:val="24"/>
          <w:szCs w:val="24"/>
        </w:rPr>
      </w:pPr>
    </w:p>
    <w:p w14:paraId="6AFA2756" w14:textId="77777777" w:rsidR="009E1D3A" w:rsidRDefault="009E1D3A" w:rsidP="00FE42A5">
      <w:pPr>
        <w:spacing w:line="240" w:lineRule="auto"/>
        <w:contextualSpacing/>
        <w:rPr>
          <w:rFonts w:ascii="Times New Roman" w:hAnsi="Times New Roman" w:cs="Times New Roman"/>
          <w:b/>
          <w:sz w:val="24"/>
          <w:szCs w:val="24"/>
        </w:rPr>
      </w:pPr>
    </w:p>
    <w:p w14:paraId="19C40887" w14:textId="77777777" w:rsidR="009E1D3A" w:rsidRDefault="009E1D3A" w:rsidP="00FE42A5">
      <w:pPr>
        <w:spacing w:line="240" w:lineRule="auto"/>
        <w:contextualSpacing/>
        <w:rPr>
          <w:rFonts w:ascii="Times New Roman" w:hAnsi="Times New Roman" w:cs="Times New Roman"/>
          <w:b/>
          <w:sz w:val="24"/>
          <w:szCs w:val="24"/>
        </w:rPr>
      </w:pPr>
    </w:p>
    <w:p w14:paraId="1087E74E" w14:textId="77777777" w:rsidR="009E1D3A" w:rsidRDefault="009E1D3A" w:rsidP="00FE42A5">
      <w:pPr>
        <w:spacing w:line="240" w:lineRule="auto"/>
        <w:contextualSpacing/>
        <w:rPr>
          <w:rFonts w:ascii="Times New Roman" w:hAnsi="Times New Roman" w:cs="Times New Roman"/>
          <w:b/>
          <w:sz w:val="24"/>
          <w:szCs w:val="24"/>
        </w:rPr>
      </w:pPr>
    </w:p>
    <w:p w14:paraId="48C16105" w14:textId="77777777" w:rsidR="009E1D3A" w:rsidRDefault="009E1D3A" w:rsidP="00FE42A5">
      <w:pPr>
        <w:spacing w:line="240" w:lineRule="auto"/>
        <w:contextualSpacing/>
        <w:rPr>
          <w:rFonts w:ascii="Times New Roman" w:hAnsi="Times New Roman" w:cs="Times New Roman"/>
          <w:b/>
          <w:sz w:val="24"/>
          <w:szCs w:val="24"/>
        </w:rPr>
      </w:pPr>
    </w:p>
    <w:p w14:paraId="3DB3D3CF" w14:textId="77777777" w:rsidR="009E1D3A" w:rsidRDefault="009E1D3A" w:rsidP="00FE42A5">
      <w:pPr>
        <w:spacing w:line="240" w:lineRule="auto"/>
        <w:contextualSpacing/>
        <w:rPr>
          <w:rFonts w:ascii="Times New Roman" w:hAnsi="Times New Roman" w:cs="Times New Roman"/>
          <w:b/>
          <w:sz w:val="24"/>
          <w:szCs w:val="24"/>
        </w:rPr>
      </w:pPr>
    </w:p>
    <w:p w14:paraId="36D1819E" w14:textId="22F73486" w:rsidR="00B2227B" w:rsidRPr="00290A82" w:rsidRDefault="00FE42A5" w:rsidP="00FE42A5">
      <w:pPr>
        <w:spacing w:line="240" w:lineRule="auto"/>
        <w:contextualSpacing/>
        <w:rPr>
          <w:rFonts w:ascii="Times New Roman" w:hAnsi="Times New Roman" w:cs="Times New Roman"/>
          <w:b/>
          <w:sz w:val="24"/>
          <w:szCs w:val="24"/>
        </w:rPr>
      </w:pPr>
      <w:r w:rsidRPr="00290A82">
        <w:rPr>
          <w:rFonts w:ascii="Times New Roman" w:hAnsi="Times New Roman" w:cs="Times New Roman"/>
          <w:b/>
          <w:sz w:val="24"/>
          <w:szCs w:val="24"/>
        </w:rPr>
        <w:t xml:space="preserve">II. </w:t>
      </w:r>
      <w:r w:rsidR="00307DA9">
        <w:rPr>
          <w:rFonts w:ascii="Times New Roman" w:hAnsi="Times New Roman" w:cs="Times New Roman"/>
          <w:b/>
          <w:sz w:val="24"/>
          <w:szCs w:val="24"/>
        </w:rPr>
        <w:t xml:space="preserve">Data and </w:t>
      </w:r>
      <w:r w:rsidR="00DD58AD" w:rsidRPr="00290A82">
        <w:rPr>
          <w:rFonts w:ascii="Times New Roman" w:hAnsi="Times New Roman" w:cs="Times New Roman"/>
          <w:b/>
          <w:sz w:val="24"/>
          <w:szCs w:val="24"/>
        </w:rPr>
        <w:t>Statistical Methods</w:t>
      </w:r>
    </w:p>
    <w:p w14:paraId="1E6666F0" w14:textId="77777777" w:rsidR="00B2227B" w:rsidRPr="00C5478F" w:rsidRDefault="00B2227B" w:rsidP="00C5478F">
      <w:pPr>
        <w:spacing w:line="240" w:lineRule="auto"/>
        <w:rPr>
          <w:rFonts w:ascii="Times New Roman" w:hAnsi="Times New Roman" w:cs="Times New Roman"/>
          <w:sz w:val="24"/>
          <w:szCs w:val="24"/>
        </w:rPr>
      </w:pPr>
    </w:p>
    <w:p w14:paraId="38F866A6" w14:textId="731C713A" w:rsidR="00307DA9" w:rsidRPr="00310703" w:rsidRDefault="00307DA9" w:rsidP="003D7250">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Pr="00307DA9">
        <w:rPr>
          <w:rFonts w:ascii="Times New Roman" w:hAnsi="Times New Roman" w:cs="Times New Roman"/>
          <w:i/>
          <w:sz w:val="24"/>
          <w:szCs w:val="24"/>
        </w:rPr>
        <w:t>continuous</w:t>
      </w:r>
      <w:r>
        <w:rPr>
          <w:rFonts w:ascii="Times New Roman" w:hAnsi="Times New Roman" w:cs="Times New Roman"/>
          <w:sz w:val="24"/>
          <w:szCs w:val="24"/>
        </w:rPr>
        <w:t xml:space="preserve"> data consists of gene expression levels of 46 genes for 3,934 cells captured at four time points between E7.0 and E8.5. Moignard et al. discretized the </w:t>
      </w:r>
      <w:r>
        <w:rPr>
          <w:rFonts w:ascii="Times New Roman" w:hAnsi="Times New Roman" w:cs="Times New Roman"/>
          <w:i/>
          <w:sz w:val="24"/>
          <w:szCs w:val="24"/>
        </w:rPr>
        <w:t xml:space="preserve">continuous </w:t>
      </w:r>
      <w:r w:rsidRPr="00307DA9">
        <w:rPr>
          <w:rFonts w:ascii="Times New Roman" w:hAnsi="Times New Roman" w:cs="Times New Roman"/>
          <w:i/>
          <w:sz w:val="24"/>
          <w:szCs w:val="24"/>
        </w:rPr>
        <w:t>data</w:t>
      </w:r>
      <w:r>
        <w:rPr>
          <w:rFonts w:ascii="Times New Roman" w:hAnsi="Times New Roman" w:cs="Times New Roman"/>
          <w:sz w:val="24"/>
          <w:szCs w:val="24"/>
        </w:rPr>
        <w:t xml:space="preserve"> by setting </w:t>
      </w:r>
      <w:r w:rsidR="003D7250">
        <w:rPr>
          <w:rFonts w:ascii="Times New Roman" w:hAnsi="Times New Roman" w:cs="Times New Roman"/>
          <w:sz w:val="24"/>
          <w:szCs w:val="24"/>
        </w:rPr>
        <w:t xml:space="preserve">the gene expression levels to either 0 or 1 based on whether the expression level exceeded a predetermined threshold specific to each gene. Then, Moignard et al. created the final </w:t>
      </w:r>
      <w:r w:rsidR="003D7250">
        <w:rPr>
          <w:rFonts w:ascii="Times New Roman" w:hAnsi="Times New Roman" w:cs="Times New Roman"/>
          <w:i/>
          <w:sz w:val="24"/>
          <w:szCs w:val="24"/>
        </w:rPr>
        <w:t>discrete</w:t>
      </w:r>
      <w:r w:rsidR="003D7250">
        <w:rPr>
          <w:rFonts w:ascii="Times New Roman" w:hAnsi="Times New Roman" w:cs="Times New Roman"/>
          <w:sz w:val="24"/>
          <w:szCs w:val="24"/>
        </w:rPr>
        <w:t xml:space="preserve"> data by isolating those 1,448 cells that could be connected by single gene changes to form one state graph. Thus, the </w:t>
      </w:r>
      <w:r w:rsidR="003D7250">
        <w:rPr>
          <w:rFonts w:ascii="Times New Roman" w:hAnsi="Times New Roman" w:cs="Times New Roman"/>
          <w:i/>
          <w:sz w:val="24"/>
          <w:szCs w:val="24"/>
        </w:rPr>
        <w:t xml:space="preserve">discrete </w:t>
      </w:r>
      <w:r w:rsidR="003D7250">
        <w:rPr>
          <w:rFonts w:ascii="Times New Roman" w:hAnsi="Times New Roman" w:cs="Times New Roman"/>
          <w:sz w:val="24"/>
          <w:szCs w:val="24"/>
        </w:rPr>
        <w:t xml:space="preserve">data </w:t>
      </w:r>
      <w:r w:rsidRPr="002D38A0">
        <w:rPr>
          <w:rFonts w:ascii="Times New Roman" w:hAnsi="Times New Roman" w:cs="Times New Roman"/>
          <w:sz w:val="24"/>
          <w:szCs w:val="24"/>
        </w:rPr>
        <w:t xml:space="preserve">represent the largest connected component of the overall graph </w:t>
      </w:r>
      <w:r w:rsidR="002312EA">
        <w:rPr>
          <w:rFonts w:ascii="Times New Roman" w:hAnsi="Times New Roman" w:cs="Times New Roman"/>
          <w:sz w:val="24"/>
          <w:szCs w:val="24"/>
        </w:rPr>
        <w:t>of</w:t>
      </w:r>
      <w:r w:rsidRPr="002D38A0">
        <w:rPr>
          <w:rFonts w:ascii="Times New Roman" w:hAnsi="Times New Roman" w:cs="Times New Roman"/>
          <w:sz w:val="24"/>
          <w:szCs w:val="24"/>
        </w:rPr>
        <w:t xml:space="preserve"> </w:t>
      </w:r>
      <w:r w:rsidR="002312EA">
        <w:rPr>
          <w:rFonts w:ascii="Times New Roman" w:hAnsi="Times New Roman" w:cs="Times New Roman"/>
          <w:sz w:val="24"/>
          <w:szCs w:val="24"/>
        </w:rPr>
        <w:t>the 3,934</w:t>
      </w:r>
      <w:r w:rsidRPr="002D38A0">
        <w:rPr>
          <w:rFonts w:ascii="Times New Roman" w:hAnsi="Times New Roman" w:cs="Times New Roman"/>
          <w:sz w:val="24"/>
          <w:szCs w:val="24"/>
        </w:rPr>
        <w:t xml:space="preserve"> binary states </w:t>
      </w:r>
      <w:r w:rsidR="002312EA">
        <w:rPr>
          <w:rFonts w:ascii="Times New Roman" w:hAnsi="Times New Roman" w:cs="Times New Roman"/>
          <w:sz w:val="24"/>
          <w:szCs w:val="24"/>
        </w:rPr>
        <w:t>of all of the cells. In sum, t</w:t>
      </w:r>
      <w:r>
        <w:rPr>
          <w:rFonts w:ascii="Times New Roman" w:hAnsi="Times New Roman" w:cs="Times New Roman"/>
          <w:sz w:val="24"/>
          <w:szCs w:val="24"/>
        </w:rPr>
        <w:t xml:space="preserve">he </w:t>
      </w:r>
      <w:r w:rsidRPr="00310703">
        <w:rPr>
          <w:rFonts w:ascii="Times New Roman" w:hAnsi="Times New Roman" w:cs="Times New Roman"/>
          <w:sz w:val="24"/>
          <w:szCs w:val="24"/>
        </w:rPr>
        <w:t>binar</w:t>
      </w:r>
      <w:r>
        <w:rPr>
          <w:rFonts w:ascii="Times New Roman" w:hAnsi="Times New Roman" w:cs="Times New Roman"/>
          <w:sz w:val="24"/>
          <w:szCs w:val="24"/>
        </w:rPr>
        <w:t xml:space="preserve">y single-cell expression states </w:t>
      </w:r>
      <w:r w:rsidRPr="00310703">
        <w:rPr>
          <w:rFonts w:ascii="Times New Roman" w:hAnsi="Times New Roman" w:cs="Times New Roman"/>
          <w:sz w:val="24"/>
          <w:szCs w:val="24"/>
        </w:rPr>
        <w:t>correspond to the on and off patterns of transcription factor</w:t>
      </w:r>
      <w:r>
        <w:rPr>
          <w:rFonts w:ascii="Times New Roman" w:hAnsi="Times New Roman" w:cs="Times New Roman"/>
          <w:sz w:val="24"/>
          <w:szCs w:val="24"/>
        </w:rPr>
        <w:t xml:space="preserve"> </w:t>
      </w:r>
      <w:r w:rsidRPr="00310703">
        <w:rPr>
          <w:rFonts w:ascii="Times New Roman" w:hAnsi="Times New Roman" w:cs="Times New Roman"/>
          <w:sz w:val="24"/>
          <w:szCs w:val="24"/>
        </w:rPr>
        <w:t>expression.</w:t>
      </w:r>
    </w:p>
    <w:p w14:paraId="16C259B6" w14:textId="77777777" w:rsidR="00307DA9" w:rsidRDefault="00307DA9" w:rsidP="00307DA9">
      <w:pPr>
        <w:spacing w:line="240" w:lineRule="auto"/>
        <w:rPr>
          <w:rFonts w:ascii="Times New Roman" w:hAnsi="Times New Roman" w:cs="Times New Roman"/>
          <w:sz w:val="24"/>
          <w:szCs w:val="24"/>
        </w:rPr>
      </w:pPr>
    </w:p>
    <w:p w14:paraId="5987C52D" w14:textId="74FFDBB5" w:rsidR="0087149B" w:rsidRDefault="00C07C06" w:rsidP="00B9251F">
      <w:pPr>
        <w:spacing w:line="240" w:lineRule="auto"/>
        <w:ind w:firstLine="720"/>
        <w:rPr>
          <w:rFonts w:ascii="Times New Roman" w:hAnsi="Times New Roman" w:cs="Times New Roman"/>
          <w:sz w:val="24"/>
          <w:szCs w:val="24"/>
        </w:rPr>
      </w:pPr>
      <w:r>
        <w:rPr>
          <w:rFonts w:ascii="Times New Roman" w:hAnsi="Times New Roman" w:cs="Times New Roman"/>
          <w:sz w:val="24"/>
          <w:szCs w:val="24"/>
        </w:rPr>
        <w:t>Because we could not make legitimate p</w:t>
      </w:r>
      <w:r w:rsidR="002312EA">
        <w:rPr>
          <w:rFonts w:ascii="Times New Roman" w:hAnsi="Times New Roman" w:cs="Times New Roman"/>
          <w:sz w:val="24"/>
          <w:szCs w:val="24"/>
        </w:rPr>
        <w:t xml:space="preserve">arametric assumptions about either the </w:t>
      </w:r>
      <w:r w:rsidR="002312EA">
        <w:rPr>
          <w:rFonts w:ascii="Times New Roman" w:hAnsi="Times New Roman" w:cs="Times New Roman"/>
          <w:i/>
          <w:sz w:val="24"/>
          <w:szCs w:val="24"/>
        </w:rPr>
        <w:t xml:space="preserve">discrete </w:t>
      </w:r>
      <w:r w:rsidR="002312EA">
        <w:rPr>
          <w:rFonts w:ascii="Times New Roman" w:hAnsi="Times New Roman" w:cs="Times New Roman"/>
          <w:sz w:val="24"/>
          <w:szCs w:val="24"/>
        </w:rPr>
        <w:t xml:space="preserve">or </w:t>
      </w:r>
      <w:r w:rsidR="002312EA">
        <w:rPr>
          <w:rFonts w:ascii="Times New Roman" w:hAnsi="Times New Roman" w:cs="Times New Roman"/>
          <w:i/>
          <w:sz w:val="24"/>
          <w:szCs w:val="24"/>
        </w:rPr>
        <w:t xml:space="preserve">continuous </w:t>
      </w:r>
      <w:r>
        <w:rPr>
          <w:rFonts w:ascii="Times New Roman" w:hAnsi="Times New Roman" w:cs="Times New Roman"/>
          <w:sz w:val="24"/>
          <w:szCs w:val="24"/>
        </w:rPr>
        <w:t>data, we used nonparametric statistical methods. Typically, researchers use t</w:t>
      </w:r>
      <w:r w:rsidR="00DD58AD" w:rsidRPr="00C5478F">
        <w:rPr>
          <w:rFonts w:ascii="Times New Roman" w:hAnsi="Times New Roman" w:cs="Times New Roman"/>
          <w:sz w:val="24"/>
          <w:szCs w:val="24"/>
        </w:rPr>
        <w:t xml:space="preserve">wo </w:t>
      </w:r>
      <w:r>
        <w:rPr>
          <w:rFonts w:ascii="Times New Roman" w:hAnsi="Times New Roman" w:cs="Times New Roman"/>
          <w:sz w:val="24"/>
          <w:szCs w:val="24"/>
        </w:rPr>
        <w:t>particular</w:t>
      </w:r>
      <w:r w:rsidR="00DD58AD" w:rsidRPr="00C5478F">
        <w:rPr>
          <w:rFonts w:ascii="Times New Roman" w:hAnsi="Times New Roman" w:cs="Times New Roman"/>
          <w:sz w:val="24"/>
          <w:szCs w:val="24"/>
        </w:rPr>
        <w:t xml:space="preserve"> parametric methods for measuring transcriptome changes over time. The first method is the “moderated t-test”, which is a variant of the simple t-test oriented to experiments </w:t>
      </w:r>
      <w:r>
        <w:rPr>
          <w:rFonts w:ascii="Times New Roman" w:hAnsi="Times New Roman" w:cs="Times New Roman"/>
          <w:sz w:val="24"/>
          <w:szCs w:val="24"/>
        </w:rPr>
        <w:t xml:space="preserve">with few biological replicates. </w:t>
      </w:r>
      <w:r w:rsidR="00DD58AD" w:rsidRPr="00C5478F">
        <w:rPr>
          <w:rFonts w:ascii="Times New Roman" w:hAnsi="Times New Roman" w:cs="Times New Roman"/>
          <w:sz w:val="24"/>
          <w:szCs w:val="24"/>
        </w:rPr>
        <w:t xml:space="preserve">While the simple t-test calculates the variance from the data that is available for each gene, the moderated t-test calculates variance </w:t>
      </w:r>
      <w:r w:rsidR="002E4E57">
        <w:rPr>
          <w:rFonts w:ascii="Times New Roman" w:hAnsi="Times New Roman" w:cs="Times New Roman"/>
          <w:sz w:val="24"/>
          <w:szCs w:val="24"/>
        </w:rPr>
        <w:t xml:space="preserve">by </w:t>
      </w:r>
      <w:r w:rsidR="00DD58AD" w:rsidRPr="00C5478F">
        <w:rPr>
          <w:rFonts w:ascii="Times New Roman" w:hAnsi="Times New Roman" w:cs="Times New Roman"/>
          <w:sz w:val="24"/>
          <w:szCs w:val="24"/>
        </w:rPr>
        <w:t>using information from all of the selected genes</w:t>
      </w:r>
      <w:r w:rsidR="00F63954">
        <w:rPr>
          <w:rFonts w:ascii="Times New Roman" w:hAnsi="Times New Roman" w:cs="Times New Roman"/>
          <w:sz w:val="24"/>
          <w:szCs w:val="24"/>
        </w:rPr>
        <w:t>.</w:t>
      </w:r>
      <w:r w:rsidR="00290A82">
        <w:rPr>
          <w:rStyle w:val="FootnoteReference"/>
          <w:rFonts w:ascii="Times New Roman" w:hAnsi="Times New Roman" w:cs="Times New Roman"/>
          <w:sz w:val="24"/>
          <w:szCs w:val="24"/>
        </w:rPr>
        <w:footnoteReference w:id="9"/>
      </w:r>
      <w:r w:rsidR="002E4E57">
        <w:rPr>
          <w:rFonts w:ascii="Times New Roman" w:hAnsi="Times New Roman" w:cs="Times New Roman"/>
          <w:sz w:val="24"/>
          <w:szCs w:val="24"/>
        </w:rPr>
        <w:t xml:space="preserve"> Even though this test can be </w:t>
      </w:r>
      <w:r w:rsidR="00DD58AD" w:rsidRPr="00C5478F">
        <w:rPr>
          <w:rFonts w:ascii="Times New Roman" w:hAnsi="Times New Roman" w:cs="Times New Roman"/>
          <w:sz w:val="24"/>
          <w:szCs w:val="24"/>
        </w:rPr>
        <w:t xml:space="preserve">effective in settings where normality is not exact, the data must still trend towards a normal distribution for it to be accurate. The second method </w:t>
      </w:r>
      <w:r>
        <w:rPr>
          <w:rFonts w:ascii="Times New Roman" w:hAnsi="Times New Roman" w:cs="Times New Roman"/>
          <w:sz w:val="24"/>
          <w:szCs w:val="24"/>
        </w:rPr>
        <w:t xml:space="preserve">involves using </w:t>
      </w:r>
      <w:r w:rsidR="00DD58AD" w:rsidRPr="00C5478F">
        <w:rPr>
          <w:rFonts w:ascii="Times New Roman" w:hAnsi="Times New Roman" w:cs="Times New Roman"/>
          <w:sz w:val="24"/>
          <w:szCs w:val="24"/>
        </w:rPr>
        <w:t xml:space="preserve">Analysis of Variance (ANOVA) to test linear contrasts of the means of several groups. ANOVA </w:t>
      </w:r>
      <w:r>
        <w:rPr>
          <w:rFonts w:ascii="Times New Roman" w:hAnsi="Times New Roman" w:cs="Times New Roman"/>
          <w:sz w:val="24"/>
          <w:szCs w:val="24"/>
        </w:rPr>
        <w:t xml:space="preserve">also </w:t>
      </w:r>
      <w:r w:rsidR="00B9251F">
        <w:rPr>
          <w:rFonts w:ascii="Times New Roman" w:hAnsi="Times New Roman" w:cs="Times New Roman"/>
          <w:sz w:val="24"/>
          <w:szCs w:val="24"/>
        </w:rPr>
        <w:t xml:space="preserve">assumes that the data are distributed normally. Typically, large enough sample sizes can justify the assumption that </w:t>
      </w:r>
      <w:r w:rsidR="00DD58AD" w:rsidRPr="00C5478F">
        <w:rPr>
          <w:rFonts w:ascii="Times New Roman" w:hAnsi="Times New Roman" w:cs="Times New Roman"/>
          <w:sz w:val="24"/>
          <w:szCs w:val="24"/>
        </w:rPr>
        <w:t>qPCR data is distributed normally</w:t>
      </w:r>
      <w:r w:rsidR="00F63954">
        <w:rPr>
          <w:rFonts w:ascii="Times New Roman" w:hAnsi="Times New Roman" w:cs="Times New Roman"/>
          <w:sz w:val="24"/>
          <w:szCs w:val="24"/>
        </w:rPr>
        <w:t>.</w:t>
      </w:r>
      <w:r w:rsidR="0087149B">
        <w:rPr>
          <w:rStyle w:val="FootnoteReference"/>
          <w:rFonts w:ascii="Times New Roman" w:hAnsi="Times New Roman" w:cs="Times New Roman"/>
          <w:sz w:val="24"/>
          <w:szCs w:val="24"/>
        </w:rPr>
        <w:footnoteReference w:id="10"/>
      </w:r>
      <w:r w:rsidR="00DD58AD" w:rsidRPr="00C5478F">
        <w:rPr>
          <w:rFonts w:ascii="Times New Roman" w:hAnsi="Times New Roman" w:cs="Times New Roman"/>
          <w:sz w:val="24"/>
          <w:szCs w:val="24"/>
        </w:rPr>
        <w:t xml:space="preserve"> </w:t>
      </w:r>
    </w:p>
    <w:p w14:paraId="396F08E9" w14:textId="77777777" w:rsidR="002E4E57" w:rsidRDefault="002E4E57" w:rsidP="00577F4D">
      <w:pPr>
        <w:spacing w:line="240" w:lineRule="auto"/>
        <w:ind w:firstLine="720"/>
        <w:rPr>
          <w:rFonts w:ascii="Times New Roman" w:hAnsi="Times New Roman" w:cs="Times New Roman"/>
          <w:sz w:val="24"/>
          <w:szCs w:val="24"/>
        </w:rPr>
      </w:pPr>
    </w:p>
    <w:p w14:paraId="1D9FD8A7" w14:textId="560C7B4E" w:rsidR="00991D0B" w:rsidRDefault="00B9251F" w:rsidP="00991D0B">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However, the size of our samples is not large enough </w:t>
      </w:r>
      <w:r w:rsidR="002E4E57" w:rsidRPr="00C5478F">
        <w:rPr>
          <w:rFonts w:ascii="Times New Roman" w:hAnsi="Times New Roman" w:cs="Times New Roman"/>
          <w:sz w:val="24"/>
          <w:szCs w:val="24"/>
        </w:rPr>
        <w:t>relative to each gene in each different compo</w:t>
      </w:r>
      <w:r>
        <w:rPr>
          <w:rFonts w:ascii="Times New Roman" w:hAnsi="Times New Roman" w:cs="Times New Roman"/>
          <w:sz w:val="24"/>
          <w:szCs w:val="24"/>
        </w:rPr>
        <w:t>nent of the cell differentiation t</w:t>
      </w:r>
      <w:r w:rsidR="00845A81">
        <w:rPr>
          <w:rFonts w:ascii="Times New Roman" w:hAnsi="Times New Roman" w:cs="Times New Roman"/>
          <w:sz w:val="24"/>
          <w:szCs w:val="24"/>
        </w:rPr>
        <w:t>o justify the normal assumption</w:t>
      </w:r>
      <w:r w:rsidR="002E4E57" w:rsidRPr="00C5478F">
        <w:rPr>
          <w:rFonts w:ascii="Times New Roman" w:hAnsi="Times New Roman" w:cs="Times New Roman"/>
          <w:sz w:val="24"/>
          <w:szCs w:val="24"/>
        </w:rPr>
        <w:t xml:space="preserve">. </w:t>
      </w:r>
      <w:r w:rsidR="00845A81">
        <w:rPr>
          <w:rFonts w:ascii="Times New Roman" w:hAnsi="Times New Roman" w:cs="Times New Roman"/>
          <w:sz w:val="24"/>
          <w:szCs w:val="24"/>
        </w:rPr>
        <w:t>The</w:t>
      </w:r>
      <w:r w:rsidR="002E4E57" w:rsidRPr="00C5478F">
        <w:rPr>
          <w:rFonts w:ascii="Times New Roman" w:hAnsi="Times New Roman" w:cs="Times New Roman"/>
          <w:sz w:val="24"/>
          <w:szCs w:val="24"/>
        </w:rPr>
        <w:t xml:space="preserve"> data </w:t>
      </w:r>
      <w:r w:rsidR="00845A81">
        <w:rPr>
          <w:rFonts w:ascii="Times New Roman" w:hAnsi="Times New Roman" w:cs="Times New Roman"/>
          <w:sz w:val="24"/>
          <w:szCs w:val="24"/>
        </w:rPr>
        <w:t xml:space="preserve">contained ~4,000 cells and was </w:t>
      </w:r>
      <w:r w:rsidR="002E4E57" w:rsidRPr="00C5478F">
        <w:rPr>
          <w:rFonts w:ascii="Times New Roman" w:hAnsi="Times New Roman" w:cs="Times New Roman"/>
          <w:sz w:val="24"/>
          <w:szCs w:val="24"/>
        </w:rPr>
        <w:t>tested for the independence and homogeneity of 46 gene</w:t>
      </w:r>
      <w:r w:rsidR="00845A81">
        <w:rPr>
          <w:rFonts w:ascii="Times New Roman" w:hAnsi="Times New Roman" w:cs="Times New Roman"/>
          <w:sz w:val="24"/>
          <w:szCs w:val="24"/>
        </w:rPr>
        <w:t xml:space="preserve">s across 5 different cell types. As a result, each </w:t>
      </w:r>
      <w:r w:rsidR="002E4E57" w:rsidRPr="00C5478F">
        <w:rPr>
          <w:rFonts w:ascii="Times New Roman" w:hAnsi="Times New Roman" w:cs="Times New Roman"/>
          <w:sz w:val="24"/>
          <w:szCs w:val="24"/>
        </w:rPr>
        <w:t xml:space="preserve">gene only </w:t>
      </w:r>
      <w:r w:rsidR="00845A81">
        <w:rPr>
          <w:rFonts w:ascii="Times New Roman" w:hAnsi="Times New Roman" w:cs="Times New Roman"/>
          <w:sz w:val="24"/>
          <w:szCs w:val="24"/>
        </w:rPr>
        <w:t>had</w:t>
      </w:r>
      <w:r w:rsidR="002E4E57" w:rsidRPr="00C5478F">
        <w:rPr>
          <w:rFonts w:ascii="Times New Roman" w:hAnsi="Times New Roman" w:cs="Times New Roman"/>
          <w:sz w:val="24"/>
          <w:szCs w:val="24"/>
        </w:rPr>
        <w:t xml:space="preserve"> </w:t>
      </w:r>
      <m:oMath>
        <m:box>
          <m:boxPr>
            <m:ctrlPr>
              <w:rPr>
                <w:rFonts w:ascii="Cambria Math" w:hAnsi="Cambria Math" w:cs="Times New Roman"/>
                <w:i/>
                <w:sz w:val="24"/>
                <w:szCs w:val="24"/>
              </w:rPr>
            </m:ctrlPr>
          </m:boxPr>
          <m:e>
            <m:argPr>
              <m:argSz m:val="-1"/>
            </m:argPr>
            <m:f>
              <m:fPr>
                <m:ctrlPr>
                  <w:rPr>
                    <w:rFonts w:ascii="Cambria Math" w:hAnsi="Cambria Math" w:cs="Times New Roman"/>
                    <w:i/>
                    <w:sz w:val="24"/>
                    <w:szCs w:val="24"/>
                  </w:rPr>
                </m:ctrlPr>
              </m:fPr>
              <m:num>
                <m:r>
                  <w:rPr>
                    <w:rFonts w:ascii="Cambria Math" w:hAnsi="Cambria Math" w:cs="Times New Roman"/>
                    <w:sz w:val="24"/>
                    <w:szCs w:val="24"/>
                  </w:rPr>
                  <m:t>3,934</m:t>
                </m:r>
              </m:num>
              <m:den>
                <m:r>
                  <w:rPr>
                    <w:rFonts w:ascii="Cambria Math" w:hAnsi="Cambria Math" w:cs="Times New Roman"/>
                    <w:sz w:val="24"/>
                    <w:szCs w:val="24"/>
                  </w:rPr>
                  <m:t>46×5</m:t>
                </m:r>
              </m:den>
            </m:f>
          </m:e>
        </m:box>
      </m:oMath>
      <w:r w:rsidR="002E4E57">
        <w:rPr>
          <w:rFonts w:ascii="Times New Roman" w:hAnsi="Times New Roman" w:cs="Times New Roman"/>
          <w:sz w:val="24"/>
          <w:szCs w:val="24"/>
        </w:rPr>
        <w:t xml:space="preserve"> </w:t>
      </w:r>
      <w:r w:rsidR="002E4E57" w:rsidRPr="00C5478F">
        <w:rPr>
          <w:rFonts w:ascii="Times New Roman" w:hAnsi="Times New Roman" w:cs="Times New Roman"/>
          <w:sz w:val="24"/>
          <w:szCs w:val="24"/>
        </w:rPr>
        <w:t xml:space="preserve">= 17.104 </w:t>
      </w:r>
      <w:r w:rsidR="002E4E57" w:rsidRPr="00C5478F">
        <w:rPr>
          <w:rFonts w:ascii="Times New Roman" w:eastAsia="Nova Mono" w:hAnsi="Times New Roman" w:cs="Times New Roman"/>
          <w:color w:val="222222"/>
          <w:sz w:val="24"/>
          <w:szCs w:val="24"/>
          <w:highlight w:val="white"/>
        </w:rPr>
        <w:t>≈ 20</w:t>
      </w:r>
      <w:r w:rsidR="002E4E57" w:rsidRPr="00C5478F">
        <w:rPr>
          <w:rFonts w:ascii="Times New Roman" w:hAnsi="Times New Roman" w:cs="Times New Roman"/>
          <w:sz w:val="24"/>
          <w:szCs w:val="24"/>
        </w:rPr>
        <w:t xml:space="preserve"> cells in each given cell type. </w:t>
      </w:r>
      <w:r w:rsidR="00845A81">
        <w:rPr>
          <w:rFonts w:ascii="Times New Roman" w:hAnsi="Times New Roman" w:cs="Times New Roman"/>
          <w:sz w:val="24"/>
          <w:szCs w:val="24"/>
        </w:rPr>
        <w:t xml:space="preserve">Therefore, controlling for the genes and types of cells, the sample size is </w:t>
      </w:r>
      <w:r w:rsidR="002E4E57" w:rsidRPr="00C5478F">
        <w:rPr>
          <w:rFonts w:ascii="Times New Roman" w:hAnsi="Times New Roman" w:cs="Times New Roman"/>
          <w:sz w:val="24"/>
          <w:szCs w:val="24"/>
        </w:rPr>
        <w:t xml:space="preserve">too small to assume a normal distribution for </w:t>
      </w:r>
      <w:r w:rsidR="00845A81">
        <w:rPr>
          <w:rFonts w:ascii="Times New Roman" w:hAnsi="Times New Roman" w:cs="Times New Roman"/>
          <w:sz w:val="24"/>
          <w:szCs w:val="24"/>
        </w:rPr>
        <w:t>the</w:t>
      </w:r>
      <w:r w:rsidR="002E4E57" w:rsidRPr="00C5478F">
        <w:rPr>
          <w:rFonts w:ascii="Times New Roman" w:hAnsi="Times New Roman" w:cs="Times New Roman"/>
          <w:sz w:val="24"/>
          <w:szCs w:val="24"/>
        </w:rPr>
        <w:t xml:space="preserve"> qPCR gene expression data</w:t>
      </w:r>
      <w:r w:rsidR="002E4E57">
        <w:rPr>
          <w:rFonts w:ascii="Times New Roman" w:hAnsi="Times New Roman" w:cs="Times New Roman"/>
          <w:sz w:val="24"/>
          <w:szCs w:val="24"/>
        </w:rPr>
        <w:t>.</w:t>
      </w:r>
      <w:r w:rsidR="002E4E57">
        <w:rPr>
          <w:rStyle w:val="FootnoteReference"/>
          <w:rFonts w:ascii="Times New Roman" w:hAnsi="Times New Roman" w:cs="Times New Roman"/>
          <w:sz w:val="24"/>
          <w:szCs w:val="24"/>
        </w:rPr>
        <w:footnoteReference w:id="11"/>
      </w:r>
      <w:r w:rsidR="002E4E57" w:rsidRPr="00C5478F">
        <w:rPr>
          <w:rFonts w:ascii="Times New Roman" w:hAnsi="Times New Roman" w:cs="Times New Roman"/>
          <w:sz w:val="24"/>
          <w:szCs w:val="24"/>
        </w:rPr>
        <w:t xml:space="preserve"> </w:t>
      </w:r>
      <w:r w:rsidR="00CA3825">
        <w:rPr>
          <w:rFonts w:ascii="Times New Roman" w:hAnsi="Times New Roman" w:cs="Times New Roman"/>
          <w:sz w:val="24"/>
          <w:szCs w:val="24"/>
        </w:rPr>
        <w:t xml:space="preserve">Parametric options only yield a higher power if the parametric assumptions are satisfied, and since we </w:t>
      </w:r>
      <w:r w:rsidR="005D724F">
        <w:rPr>
          <w:rFonts w:ascii="Times New Roman" w:hAnsi="Times New Roman" w:cs="Times New Roman"/>
          <w:sz w:val="24"/>
          <w:szCs w:val="24"/>
        </w:rPr>
        <w:t>cannot</w:t>
      </w:r>
      <w:r w:rsidR="00CA3825">
        <w:rPr>
          <w:rFonts w:ascii="Times New Roman" w:hAnsi="Times New Roman" w:cs="Times New Roman"/>
          <w:sz w:val="24"/>
          <w:szCs w:val="24"/>
        </w:rPr>
        <w:t xml:space="preserve"> as</w:t>
      </w:r>
      <w:r w:rsidR="005D724F">
        <w:rPr>
          <w:rFonts w:ascii="Times New Roman" w:hAnsi="Times New Roman" w:cs="Times New Roman"/>
          <w:sz w:val="24"/>
          <w:szCs w:val="24"/>
        </w:rPr>
        <w:t>sume normality, we defer to non</w:t>
      </w:r>
      <w:r w:rsidR="00CA3825">
        <w:rPr>
          <w:rFonts w:ascii="Times New Roman" w:hAnsi="Times New Roman" w:cs="Times New Roman"/>
          <w:sz w:val="24"/>
          <w:szCs w:val="24"/>
        </w:rPr>
        <w:t xml:space="preserve">parametric options. </w:t>
      </w:r>
    </w:p>
    <w:p w14:paraId="7821DAEE" w14:textId="77777777" w:rsidR="00F704C7" w:rsidRDefault="00F704C7" w:rsidP="00991D0B">
      <w:pPr>
        <w:spacing w:line="240" w:lineRule="auto"/>
        <w:ind w:firstLine="720"/>
        <w:rPr>
          <w:rFonts w:ascii="Times New Roman" w:hAnsi="Times New Roman" w:cs="Times New Roman"/>
          <w:sz w:val="24"/>
          <w:szCs w:val="24"/>
        </w:rPr>
      </w:pPr>
    </w:p>
    <w:p w14:paraId="7BD2647A" w14:textId="60F7FA95" w:rsidR="005F4107" w:rsidRDefault="005D724F" w:rsidP="00991D0B">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We use four nonparametric methods to analyze the data. First, we use the Chi-squared test of homogeneity to test differences in gene expression proportions at different time periods. Second, we use the Chi-squared test of independence to test </w:t>
      </w:r>
      <w:r w:rsidR="009C0E04">
        <w:rPr>
          <w:rFonts w:ascii="Times New Roman" w:hAnsi="Times New Roman" w:cs="Times New Roman"/>
          <w:sz w:val="24"/>
          <w:szCs w:val="24"/>
        </w:rPr>
        <w:t>the expressive relationship between any two gene</w:t>
      </w:r>
      <w:r w:rsidR="0062639B">
        <w:rPr>
          <w:rFonts w:ascii="Times New Roman" w:hAnsi="Times New Roman" w:cs="Times New Roman"/>
          <w:sz w:val="24"/>
          <w:szCs w:val="24"/>
        </w:rPr>
        <w:t>s</w:t>
      </w:r>
      <w:r w:rsidR="009C0E04">
        <w:rPr>
          <w:rFonts w:ascii="Times New Roman" w:hAnsi="Times New Roman" w:cs="Times New Roman"/>
          <w:sz w:val="24"/>
          <w:szCs w:val="24"/>
        </w:rPr>
        <w:t xml:space="preserve">. Third, we compute </w:t>
      </w:r>
      <w:r w:rsidR="006A66DA">
        <w:rPr>
          <w:rFonts w:ascii="Times New Roman" w:hAnsi="Times New Roman" w:cs="Times New Roman"/>
          <w:sz w:val="24"/>
          <w:szCs w:val="24"/>
        </w:rPr>
        <w:t xml:space="preserve">bootstrapped </w:t>
      </w:r>
      <w:r w:rsidR="009C0E04">
        <w:rPr>
          <w:rFonts w:ascii="Times New Roman" w:hAnsi="Times New Roman" w:cs="Times New Roman"/>
          <w:sz w:val="24"/>
          <w:szCs w:val="24"/>
        </w:rPr>
        <w:t xml:space="preserve">correlations </w:t>
      </w:r>
      <w:r w:rsidR="006A66DA">
        <w:rPr>
          <w:rFonts w:ascii="Times New Roman" w:hAnsi="Times New Roman" w:cs="Times New Roman"/>
          <w:sz w:val="24"/>
          <w:szCs w:val="24"/>
        </w:rPr>
        <w:t xml:space="preserve">between particular pairs of genes for the purposes of robustness. Fourth, we use the Wilcoxon signed-rank test to check differences </w:t>
      </w:r>
      <w:r w:rsidR="007B2872">
        <w:rPr>
          <w:rFonts w:ascii="Times New Roman" w:hAnsi="Times New Roman" w:cs="Times New Roman"/>
          <w:sz w:val="24"/>
          <w:szCs w:val="24"/>
        </w:rPr>
        <w:t xml:space="preserve">in expression levels of particular genes across time. </w:t>
      </w:r>
    </w:p>
    <w:p w14:paraId="5165904F" w14:textId="77777777" w:rsidR="005F4107" w:rsidRDefault="005F4107" w:rsidP="00991D0B">
      <w:pPr>
        <w:spacing w:line="240" w:lineRule="auto"/>
        <w:ind w:firstLine="720"/>
        <w:rPr>
          <w:rFonts w:ascii="Times New Roman" w:hAnsi="Times New Roman" w:cs="Times New Roman"/>
          <w:sz w:val="24"/>
          <w:szCs w:val="24"/>
        </w:rPr>
      </w:pPr>
    </w:p>
    <w:p w14:paraId="5D7F2017" w14:textId="7A0925E1" w:rsidR="0087149B" w:rsidRDefault="00307DA9" w:rsidP="00B656FC">
      <w:pPr>
        <w:spacing w:line="240" w:lineRule="auto"/>
        <w:ind w:firstLine="720"/>
        <w:rPr>
          <w:rFonts w:ascii="Times New Roman" w:hAnsi="Times New Roman" w:cs="Times New Roman"/>
          <w:sz w:val="24"/>
          <w:szCs w:val="24"/>
        </w:rPr>
      </w:pPr>
      <w:r>
        <w:rPr>
          <w:rFonts w:ascii="Times New Roman" w:hAnsi="Times New Roman" w:cs="Times New Roman"/>
          <w:sz w:val="24"/>
          <w:szCs w:val="24"/>
        </w:rPr>
        <w:t>First, we use the Chi-squared t</w:t>
      </w:r>
      <w:r w:rsidR="00DD58AD" w:rsidRPr="00C5478F">
        <w:rPr>
          <w:rFonts w:ascii="Times New Roman" w:hAnsi="Times New Roman" w:cs="Times New Roman"/>
          <w:sz w:val="24"/>
          <w:szCs w:val="24"/>
        </w:rPr>
        <w:t xml:space="preserve">est of homogeneity </w:t>
      </w:r>
      <w:r>
        <w:rPr>
          <w:rFonts w:ascii="Times New Roman" w:hAnsi="Times New Roman" w:cs="Times New Roman"/>
          <w:sz w:val="24"/>
          <w:szCs w:val="24"/>
        </w:rPr>
        <w:t>to</w:t>
      </w:r>
      <w:r w:rsidR="00DD58AD" w:rsidRPr="00C5478F">
        <w:rPr>
          <w:rFonts w:ascii="Times New Roman" w:hAnsi="Times New Roman" w:cs="Times New Roman"/>
          <w:sz w:val="24"/>
          <w:szCs w:val="24"/>
        </w:rPr>
        <w:t xml:space="preserve"> analyze the similarity in gene expression levels at different time periods for </w:t>
      </w:r>
      <w:r>
        <w:rPr>
          <w:rFonts w:ascii="Times New Roman" w:hAnsi="Times New Roman" w:cs="Times New Roman"/>
          <w:sz w:val="24"/>
          <w:szCs w:val="24"/>
        </w:rPr>
        <w:t>a given set of</w:t>
      </w:r>
      <w:r w:rsidR="00DD58AD" w:rsidRPr="00C5478F">
        <w:rPr>
          <w:rFonts w:ascii="Times New Roman" w:hAnsi="Times New Roman" w:cs="Times New Roman"/>
          <w:sz w:val="24"/>
          <w:szCs w:val="24"/>
        </w:rPr>
        <w:t xml:space="preserve"> gene</w:t>
      </w:r>
      <w:r>
        <w:rPr>
          <w:rFonts w:ascii="Times New Roman" w:hAnsi="Times New Roman" w:cs="Times New Roman"/>
          <w:sz w:val="24"/>
          <w:szCs w:val="24"/>
        </w:rPr>
        <w:t>s</w:t>
      </w:r>
      <w:r w:rsidR="00DD58AD" w:rsidRPr="00C5478F">
        <w:rPr>
          <w:rFonts w:ascii="Times New Roman" w:hAnsi="Times New Roman" w:cs="Times New Roman"/>
          <w:sz w:val="24"/>
          <w:szCs w:val="24"/>
        </w:rPr>
        <w:t xml:space="preserve">. </w:t>
      </w:r>
      <w:r w:rsidR="00B656FC">
        <w:rPr>
          <w:rFonts w:ascii="Times New Roman" w:hAnsi="Times New Roman" w:cs="Times New Roman"/>
          <w:sz w:val="24"/>
          <w:szCs w:val="24"/>
        </w:rPr>
        <w:t xml:space="preserve">We first </w:t>
      </w:r>
      <w:r w:rsidR="00DD58AD" w:rsidRPr="00C5478F">
        <w:rPr>
          <w:rFonts w:ascii="Times New Roman" w:hAnsi="Times New Roman" w:cs="Times New Roman"/>
          <w:sz w:val="24"/>
          <w:szCs w:val="24"/>
        </w:rPr>
        <w:t>create a contingency table that contain</w:t>
      </w:r>
      <w:r w:rsidR="00B656FC">
        <w:rPr>
          <w:rFonts w:ascii="Times New Roman" w:hAnsi="Times New Roman" w:cs="Times New Roman"/>
          <w:sz w:val="24"/>
          <w:szCs w:val="24"/>
        </w:rPr>
        <w:t>s</w:t>
      </w:r>
      <w:r w:rsidR="00DD58AD" w:rsidRPr="00C5478F">
        <w:rPr>
          <w:rFonts w:ascii="Times New Roman" w:hAnsi="Times New Roman" w:cs="Times New Roman"/>
          <w:sz w:val="24"/>
          <w:szCs w:val="24"/>
        </w:rPr>
        <w:t xml:space="preserve"> genes as the rows and the cell types</w:t>
      </w:r>
      <w:r w:rsidR="00B656FC">
        <w:rPr>
          <w:rFonts w:ascii="Times New Roman" w:hAnsi="Times New Roman" w:cs="Times New Roman"/>
          <w:sz w:val="24"/>
          <w:szCs w:val="24"/>
        </w:rPr>
        <w:t xml:space="preserve"> (time periods)</w:t>
      </w:r>
      <w:r w:rsidR="00DD58AD" w:rsidRPr="00C5478F">
        <w:rPr>
          <w:rFonts w:ascii="Times New Roman" w:hAnsi="Times New Roman" w:cs="Times New Roman"/>
          <w:sz w:val="24"/>
          <w:szCs w:val="24"/>
        </w:rPr>
        <w:t xml:space="preserve"> as the </w:t>
      </w:r>
      <w:r w:rsidR="008A3123">
        <w:rPr>
          <w:rFonts w:ascii="Times New Roman" w:hAnsi="Times New Roman" w:cs="Times New Roman"/>
          <w:sz w:val="24"/>
          <w:szCs w:val="24"/>
        </w:rPr>
        <w:t>columns. Since the Chi-s</w:t>
      </w:r>
      <w:r w:rsidR="00B656FC">
        <w:rPr>
          <w:rFonts w:ascii="Times New Roman" w:hAnsi="Times New Roman" w:cs="Times New Roman"/>
          <w:sz w:val="24"/>
          <w:szCs w:val="24"/>
        </w:rPr>
        <w:t>quared t</w:t>
      </w:r>
      <w:r w:rsidR="00DD58AD" w:rsidRPr="00C5478F">
        <w:rPr>
          <w:rFonts w:ascii="Times New Roman" w:hAnsi="Times New Roman" w:cs="Times New Roman"/>
          <w:sz w:val="24"/>
          <w:szCs w:val="24"/>
        </w:rPr>
        <w:t>est of homogeneity is a nonparametric test, we can determine which genes are most actively contributing to the statistic</w:t>
      </w:r>
      <w:r w:rsidR="00B656FC">
        <w:rPr>
          <w:rFonts w:ascii="Times New Roman" w:hAnsi="Times New Roman" w:cs="Times New Roman"/>
          <w:sz w:val="24"/>
          <w:szCs w:val="24"/>
        </w:rPr>
        <w:t xml:space="preserve"> – and therefore heterogeneity in gene activation across time –</w:t>
      </w:r>
      <w:r w:rsidR="00DD58AD" w:rsidRPr="00C5478F">
        <w:rPr>
          <w:rFonts w:ascii="Times New Roman" w:hAnsi="Times New Roman" w:cs="Times New Roman"/>
          <w:sz w:val="24"/>
          <w:szCs w:val="24"/>
        </w:rPr>
        <w:t xml:space="preserve"> without prior knowledge of the distribution. The null hypothesis for this test </w:t>
      </w:r>
      <w:r w:rsidR="00B656FC">
        <w:rPr>
          <w:rFonts w:ascii="Times New Roman" w:hAnsi="Times New Roman" w:cs="Times New Roman"/>
          <w:sz w:val="24"/>
          <w:szCs w:val="24"/>
        </w:rPr>
        <w:t>is</w:t>
      </w:r>
      <w:r w:rsidR="00DD58AD" w:rsidRPr="00C5478F">
        <w:rPr>
          <w:rFonts w:ascii="Times New Roman" w:hAnsi="Times New Roman" w:cs="Times New Roman"/>
          <w:sz w:val="24"/>
          <w:szCs w:val="24"/>
        </w:rPr>
        <w:t xml:space="preserve"> that the </w:t>
      </w:r>
      <w:r w:rsidR="00B656FC">
        <w:rPr>
          <w:rFonts w:ascii="Times New Roman" w:hAnsi="Times New Roman" w:cs="Times New Roman"/>
          <w:sz w:val="24"/>
          <w:szCs w:val="24"/>
        </w:rPr>
        <w:t>proportions</w:t>
      </w:r>
      <w:r w:rsidR="009E1D3A" w:rsidRPr="00C5478F">
        <w:rPr>
          <w:rFonts w:ascii="Times New Roman" w:hAnsi="Times New Roman" w:cs="Times New Roman"/>
          <w:sz w:val="24"/>
          <w:szCs w:val="24"/>
        </w:rPr>
        <w:t xml:space="preserve"> of gene </w:t>
      </w:r>
      <w:r w:rsidR="00B656FC">
        <w:rPr>
          <w:rFonts w:ascii="Times New Roman" w:hAnsi="Times New Roman" w:cs="Times New Roman"/>
          <w:sz w:val="24"/>
          <w:szCs w:val="24"/>
        </w:rPr>
        <w:t>act</w:t>
      </w:r>
      <w:r w:rsidR="00436E49">
        <w:rPr>
          <w:rFonts w:ascii="Times New Roman" w:hAnsi="Times New Roman" w:cs="Times New Roman"/>
          <w:sz w:val="24"/>
          <w:szCs w:val="24"/>
        </w:rPr>
        <w:t>ivation are the same across time</w:t>
      </w:r>
      <w:r w:rsidR="00DD58AD" w:rsidRPr="00C5478F">
        <w:rPr>
          <w:rFonts w:ascii="Times New Roman" w:hAnsi="Times New Roman" w:cs="Times New Roman"/>
          <w:sz w:val="24"/>
          <w:szCs w:val="24"/>
        </w:rPr>
        <w:t xml:space="preserve">. </w:t>
      </w:r>
      <w:r w:rsidR="009E1D3A" w:rsidRPr="00C5478F">
        <w:rPr>
          <w:rFonts w:ascii="Times New Roman" w:hAnsi="Times New Roman" w:cs="Times New Roman"/>
          <w:sz w:val="24"/>
          <w:szCs w:val="24"/>
        </w:rPr>
        <w:t xml:space="preserve">Correspondence analysis can also be used on the </w:t>
      </w:r>
      <w:r w:rsidR="009E1D3A" w:rsidRPr="00C5478F">
        <w:rPr>
          <w:rFonts w:ascii="Times New Roman" w:hAnsi="Times New Roman" w:cs="Times New Roman"/>
          <w:i/>
          <w:sz w:val="24"/>
          <w:szCs w:val="24"/>
        </w:rPr>
        <w:t>discrete data</w:t>
      </w:r>
      <w:r w:rsidR="009E1D3A" w:rsidRPr="00C5478F">
        <w:rPr>
          <w:rFonts w:ascii="Times New Roman" w:hAnsi="Times New Roman" w:cs="Times New Roman"/>
          <w:sz w:val="24"/>
          <w:szCs w:val="24"/>
        </w:rPr>
        <w:t xml:space="preserve"> to </w:t>
      </w:r>
      <w:r w:rsidR="009E1D3A">
        <w:rPr>
          <w:rFonts w:ascii="Times New Roman" w:hAnsi="Times New Roman" w:cs="Times New Roman"/>
          <w:sz w:val="24"/>
          <w:szCs w:val="24"/>
        </w:rPr>
        <w:t>determine which genes contribute the greatest to inhomogeneity</w:t>
      </w:r>
      <w:r w:rsidR="009E1D3A" w:rsidRPr="00C5478F">
        <w:rPr>
          <w:rFonts w:ascii="Times New Roman" w:hAnsi="Times New Roman" w:cs="Times New Roman"/>
          <w:sz w:val="24"/>
          <w:szCs w:val="24"/>
        </w:rPr>
        <w:t>.</w:t>
      </w:r>
    </w:p>
    <w:p w14:paraId="70FEF8C8" w14:textId="77777777" w:rsidR="00577F4D" w:rsidRDefault="00577F4D" w:rsidP="00577F4D">
      <w:pPr>
        <w:spacing w:line="240" w:lineRule="auto"/>
        <w:ind w:firstLine="720"/>
        <w:rPr>
          <w:rFonts w:ascii="Times New Roman" w:hAnsi="Times New Roman" w:cs="Times New Roman"/>
          <w:sz w:val="24"/>
          <w:szCs w:val="24"/>
        </w:rPr>
      </w:pPr>
    </w:p>
    <w:p w14:paraId="009AF61D" w14:textId="7834DE64" w:rsidR="0087149B" w:rsidRDefault="008A5542" w:rsidP="00577F4D">
      <w:pPr>
        <w:spacing w:line="240" w:lineRule="auto"/>
        <w:ind w:firstLine="720"/>
        <w:rPr>
          <w:rFonts w:ascii="Times New Roman" w:hAnsi="Times New Roman" w:cs="Times New Roman"/>
          <w:sz w:val="24"/>
          <w:szCs w:val="24"/>
        </w:rPr>
      </w:pPr>
      <w:r>
        <w:rPr>
          <w:rFonts w:ascii="Times New Roman" w:hAnsi="Times New Roman" w:cs="Times New Roman"/>
          <w:sz w:val="24"/>
          <w:szCs w:val="24"/>
        </w:rPr>
        <w:t>Second, we use the Chi-squared t</w:t>
      </w:r>
      <w:r w:rsidR="00DD58AD" w:rsidRPr="00C5478F">
        <w:rPr>
          <w:rFonts w:ascii="Times New Roman" w:hAnsi="Times New Roman" w:cs="Times New Roman"/>
          <w:sz w:val="24"/>
          <w:szCs w:val="24"/>
        </w:rPr>
        <w:t xml:space="preserve">est of independence on the </w:t>
      </w:r>
      <w:r w:rsidR="00DD58AD" w:rsidRPr="00C5478F">
        <w:rPr>
          <w:rFonts w:ascii="Times New Roman" w:hAnsi="Times New Roman" w:cs="Times New Roman"/>
          <w:i/>
          <w:sz w:val="24"/>
          <w:szCs w:val="24"/>
        </w:rPr>
        <w:t>discrete data</w:t>
      </w:r>
      <w:r w:rsidR="00DD58AD" w:rsidRPr="00C5478F">
        <w:rPr>
          <w:rFonts w:ascii="Times New Roman" w:hAnsi="Times New Roman" w:cs="Times New Roman"/>
          <w:sz w:val="24"/>
          <w:szCs w:val="24"/>
        </w:rPr>
        <w:t xml:space="preserve"> to determine if t</w:t>
      </w:r>
      <w:r w:rsidR="00533499">
        <w:rPr>
          <w:rFonts w:ascii="Times New Roman" w:hAnsi="Times New Roman" w:cs="Times New Roman"/>
          <w:sz w:val="24"/>
          <w:szCs w:val="24"/>
        </w:rPr>
        <w:t xml:space="preserve">wo genes in the same cell type are independent of one another. We supplement this independence test by estimating the distribution of correlations between the two genes in a given cell type using the bootstrap method. </w:t>
      </w:r>
      <w:r w:rsidR="009E1D3A">
        <w:rPr>
          <w:rFonts w:ascii="Times New Roman" w:hAnsi="Times New Roman" w:cs="Times New Roman"/>
          <w:sz w:val="24"/>
          <w:szCs w:val="24"/>
        </w:rPr>
        <w:t>Association plots</w:t>
      </w:r>
      <w:r w:rsidR="00DD58AD" w:rsidRPr="00C5478F">
        <w:rPr>
          <w:rFonts w:ascii="Times New Roman" w:hAnsi="Times New Roman" w:cs="Times New Roman"/>
          <w:sz w:val="24"/>
          <w:szCs w:val="24"/>
        </w:rPr>
        <w:t xml:space="preserve"> can also be used on the </w:t>
      </w:r>
      <w:r w:rsidR="00DD58AD" w:rsidRPr="00C5478F">
        <w:rPr>
          <w:rFonts w:ascii="Times New Roman" w:hAnsi="Times New Roman" w:cs="Times New Roman"/>
          <w:i/>
          <w:sz w:val="24"/>
          <w:szCs w:val="24"/>
        </w:rPr>
        <w:t>discrete data</w:t>
      </w:r>
      <w:r w:rsidR="00DD58AD" w:rsidRPr="00C5478F">
        <w:rPr>
          <w:rFonts w:ascii="Times New Roman" w:hAnsi="Times New Roman" w:cs="Times New Roman"/>
          <w:sz w:val="24"/>
          <w:szCs w:val="24"/>
        </w:rPr>
        <w:t xml:space="preserve"> to visualize the deviation from independence of particular genes in a given cell type.</w:t>
      </w:r>
    </w:p>
    <w:p w14:paraId="53E067E9" w14:textId="77777777" w:rsidR="00577F4D" w:rsidRDefault="00577F4D" w:rsidP="00577F4D">
      <w:pPr>
        <w:spacing w:line="240" w:lineRule="auto"/>
        <w:ind w:firstLine="720"/>
        <w:rPr>
          <w:rFonts w:ascii="Times New Roman" w:hAnsi="Times New Roman" w:cs="Times New Roman"/>
          <w:sz w:val="24"/>
          <w:szCs w:val="24"/>
        </w:rPr>
      </w:pPr>
    </w:p>
    <w:p w14:paraId="1D8FCB2A" w14:textId="60ECD5EF" w:rsidR="00B2227B" w:rsidRPr="00C5478F" w:rsidRDefault="0044256C" w:rsidP="002E4E57">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Third, we use the </w:t>
      </w:r>
      <w:r w:rsidR="00DD58AD" w:rsidRPr="00C5478F">
        <w:rPr>
          <w:rFonts w:ascii="Times New Roman" w:hAnsi="Times New Roman" w:cs="Times New Roman"/>
          <w:sz w:val="24"/>
          <w:szCs w:val="24"/>
        </w:rPr>
        <w:t>Wilcoxon signed-rank test</w:t>
      </w:r>
      <w:r w:rsidR="009761C0">
        <w:rPr>
          <w:rFonts w:ascii="Times New Roman" w:hAnsi="Times New Roman" w:cs="Times New Roman"/>
          <w:sz w:val="24"/>
          <w:szCs w:val="24"/>
        </w:rPr>
        <w:t xml:space="preserve"> on the </w:t>
      </w:r>
      <w:r w:rsidR="009761C0">
        <w:rPr>
          <w:rFonts w:ascii="Times New Roman" w:hAnsi="Times New Roman" w:cs="Times New Roman"/>
          <w:i/>
          <w:sz w:val="24"/>
          <w:szCs w:val="24"/>
        </w:rPr>
        <w:t xml:space="preserve">continuous </w:t>
      </w:r>
      <w:r w:rsidR="009761C0">
        <w:rPr>
          <w:rFonts w:ascii="Times New Roman" w:hAnsi="Times New Roman" w:cs="Times New Roman"/>
          <w:sz w:val="24"/>
          <w:szCs w:val="24"/>
        </w:rPr>
        <w:t>data</w:t>
      </w:r>
      <w:r w:rsidR="00DD58AD" w:rsidRPr="00C5478F">
        <w:rPr>
          <w:rFonts w:ascii="Times New Roman" w:hAnsi="Times New Roman" w:cs="Times New Roman"/>
          <w:sz w:val="24"/>
          <w:szCs w:val="24"/>
        </w:rPr>
        <w:t xml:space="preserve"> </w:t>
      </w:r>
      <w:r>
        <w:rPr>
          <w:rFonts w:ascii="Times New Roman" w:hAnsi="Times New Roman" w:cs="Times New Roman"/>
          <w:sz w:val="24"/>
          <w:szCs w:val="24"/>
        </w:rPr>
        <w:t>to</w:t>
      </w:r>
      <w:r w:rsidR="00DD58AD" w:rsidRPr="00C5478F">
        <w:rPr>
          <w:rFonts w:ascii="Times New Roman" w:hAnsi="Times New Roman" w:cs="Times New Roman"/>
          <w:sz w:val="24"/>
          <w:szCs w:val="24"/>
        </w:rPr>
        <w:t xml:space="preserve"> determine </w:t>
      </w:r>
      <w:r>
        <w:rPr>
          <w:rFonts w:ascii="Times New Roman" w:hAnsi="Times New Roman" w:cs="Times New Roman"/>
          <w:sz w:val="24"/>
          <w:szCs w:val="24"/>
        </w:rPr>
        <w:t>whether</w:t>
      </w:r>
      <w:r w:rsidR="00DD58AD" w:rsidRPr="00C5478F">
        <w:rPr>
          <w:rFonts w:ascii="Times New Roman" w:hAnsi="Times New Roman" w:cs="Times New Roman"/>
          <w:sz w:val="24"/>
          <w:szCs w:val="24"/>
        </w:rPr>
        <w:t xml:space="preserve"> expression levels of a particular gene across time are drawn from </w:t>
      </w:r>
      <w:r>
        <w:rPr>
          <w:rFonts w:ascii="Times New Roman" w:hAnsi="Times New Roman" w:cs="Times New Roman"/>
          <w:sz w:val="24"/>
          <w:szCs w:val="24"/>
        </w:rPr>
        <w:t>different</w:t>
      </w:r>
      <w:r w:rsidR="00DD58AD" w:rsidRPr="00C5478F">
        <w:rPr>
          <w:rFonts w:ascii="Times New Roman" w:hAnsi="Times New Roman" w:cs="Times New Roman"/>
          <w:sz w:val="24"/>
          <w:szCs w:val="24"/>
        </w:rPr>
        <w:t xml:space="preserve"> population</w:t>
      </w:r>
      <w:r>
        <w:rPr>
          <w:rFonts w:ascii="Times New Roman" w:hAnsi="Times New Roman" w:cs="Times New Roman"/>
          <w:sz w:val="24"/>
          <w:szCs w:val="24"/>
        </w:rPr>
        <w:t xml:space="preserve">s. </w:t>
      </w:r>
      <w:r w:rsidR="00DD58AD" w:rsidRPr="00C5478F">
        <w:rPr>
          <w:rFonts w:ascii="Times New Roman" w:hAnsi="Times New Roman" w:cs="Times New Roman"/>
          <w:sz w:val="24"/>
          <w:szCs w:val="24"/>
        </w:rPr>
        <w:t>In effect, this test will replace the t-test to quantify the difference in expression levels for a given gene between cell types.</w:t>
      </w:r>
      <w:r w:rsidR="009761C0">
        <w:rPr>
          <w:rFonts w:ascii="Times New Roman" w:hAnsi="Times New Roman" w:cs="Times New Roman"/>
          <w:sz w:val="24"/>
          <w:szCs w:val="24"/>
        </w:rPr>
        <w:t xml:space="preserve"> We adjust significance levels by controlling for the familywise error rate, as opposed to the false discovery rate, because we compute fewer than 100 tests, which is orders of magnitude lower than the thousands or millions of tests that necessitate controlling the false discovery rate to maintain a degree of power. We use</w:t>
      </w:r>
      <w:r w:rsidR="00DD58AD" w:rsidRPr="00C5478F">
        <w:rPr>
          <w:rFonts w:ascii="Times New Roman" w:hAnsi="Times New Roman" w:cs="Times New Roman"/>
          <w:sz w:val="24"/>
          <w:szCs w:val="24"/>
        </w:rPr>
        <w:t xml:space="preserve"> the Bonferroni correction</w:t>
      </w:r>
      <w:r w:rsidR="009761C0">
        <w:rPr>
          <w:rFonts w:ascii="Times New Roman" w:hAnsi="Times New Roman" w:cs="Times New Roman"/>
          <w:sz w:val="24"/>
          <w:szCs w:val="24"/>
        </w:rPr>
        <w:t xml:space="preserve"> and the Holm correction to control the familywise error rate. </w:t>
      </w:r>
    </w:p>
    <w:p w14:paraId="3071CB5F" w14:textId="77777777" w:rsidR="002D38A0" w:rsidRDefault="002D38A0" w:rsidP="00124F00">
      <w:pPr>
        <w:spacing w:line="240" w:lineRule="auto"/>
        <w:contextualSpacing/>
        <w:rPr>
          <w:rFonts w:ascii="Times New Roman" w:hAnsi="Times New Roman" w:cs="Times New Roman"/>
          <w:b/>
          <w:sz w:val="24"/>
          <w:szCs w:val="24"/>
        </w:rPr>
      </w:pPr>
    </w:p>
    <w:p w14:paraId="1893CF6F" w14:textId="77777777" w:rsidR="002D38A0" w:rsidRDefault="002D38A0" w:rsidP="00124F00">
      <w:pPr>
        <w:spacing w:line="240" w:lineRule="auto"/>
        <w:contextualSpacing/>
        <w:rPr>
          <w:rFonts w:ascii="Times New Roman" w:hAnsi="Times New Roman" w:cs="Times New Roman"/>
          <w:b/>
          <w:sz w:val="24"/>
          <w:szCs w:val="24"/>
        </w:rPr>
      </w:pPr>
      <w:r>
        <w:rPr>
          <w:rFonts w:ascii="Times New Roman" w:hAnsi="Times New Roman" w:cs="Times New Roman"/>
          <w:b/>
          <w:sz w:val="24"/>
          <w:szCs w:val="24"/>
        </w:rPr>
        <w:t>III. Results and Discussion</w:t>
      </w:r>
    </w:p>
    <w:p w14:paraId="5C5FF67D" w14:textId="77777777" w:rsidR="002D38A0" w:rsidRPr="002D38A0" w:rsidRDefault="002D38A0" w:rsidP="002D38A0">
      <w:pPr>
        <w:spacing w:line="240" w:lineRule="auto"/>
        <w:rPr>
          <w:rFonts w:ascii="Times" w:eastAsia="Times New Roman" w:hAnsi="Times" w:cs="Times New Roman"/>
          <w:color w:val="auto"/>
          <w:sz w:val="20"/>
          <w:szCs w:val="20"/>
        </w:rPr>
      </w:pPr>
    </w:p>
    <w:p w14:paraId="687FFCC3" w14:textId="47AFB160" w:rsidR="002D38A0" w:rsidRDefault="002D38A0" w:rsidP="00076968">
      <w:pPr>
        <w:spacing w:line="240" w:lineRule="auto"/>
        <w:rPr>
          <w:rFonts w:ascii="Times New Roman" w:hAnsi="Times New Roman" w:cs="Times New Roman"/>
          <w:sz w:val="24"/>
          <w:szCs w:val="24"/>
          <w:u w:val="single"/>
        </w:rPr>
      </w:pPr>
      <w:r w:rsidRPr="00076968">
        <w:rPr>
          <w:rFonts w:ascii="Times New Roman" w:hAnsi="Times New Roman" w:cs="Times New Roman"/>
          <w:sz w:val="24"/>
          <w:szCs w:val="24"/>
          <w:u w:val="single"/>
        </w:rPr>
        <w:t>Chi-Squared Analysis</w:t>
      </w:r>
      <w:r w:rsidR="004624C7">
        <w:rPr>
          <w:rFonts w:ascii="Times New Roman" w:hAnsi="Times New Roman" w:cs="Times New Roman"/>
          <w:sz w:val="24"/>
          <w:szCs w:val="24"/>
          <w:u w:val="single"/>
        </w:rPr>
        <w:t xml:space="preserve"> of Homogeneity </w:t>
      </w:r>
    </w:p>
    <w:p w14:paraId="29088A55" w14:textId="77777777" w:rsidR="004624C7" w:rsidRPr="00076968" w:rsidRDefault="004624C7" w:rsidP="00076968">
      <w:pPr>
        <w:spacing w:line="240" w:lineRule="auto"/>
        <w:rPr>
          <w:rFonts w:ascii="Times New Roman" w:hAnsi="Times New Roman" w:cs="Times New Roman"/>
          <w:sz w:val="24"/>
          <w:szCs w:val="24"/>
          <w:u w:val="single"/>
        </w:rPr>
      </w:pPr>
    </w:p>
    <w:p w14:paraId="4A8F523D" w14:textId="218249F9" w:rsidR="00577F4D" w:rsidRDefault="00DD34A1" w:rsidP="00C31ED6">
      <w:pPr>
        <w:spacing w:line="24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First, we converted the </w:t>
      </w:r>
      <w:r w:rsidR="002D38A0" w:rsidRPr="002D38A0">
        <w:rPr>
          <w:rFonts w:ascii="Times New Roman" w:hAnsi="Times New Roman" w:cs="Times New Roman"/>
          <w:sz w:val="24"/>
          <w:szCs w:val="24"/>
        </w:rPr>
        <w:t xml:space="preserve">data into a readable format and </w:t>
      </w:r>
      <w:r>
        <w:rPr>
          <w:rFonts w:ascii="Times New Roman" w:hAnsi="Times New Roman" w:cs="Times New Roman"/>
          <w:sz w:val="24"/>
          <w:szCs w:val="24"/>
        </w:rPr>
        <w:t>created</w:t>
      </w:r>
      <w:r w:rsidR="002D38A0" w:rsidRPr="002D38A0">
        <w:rPr>
          <w:rFonts w:ascii="Times New Roman" w:hAnsi="Times New Roman" w:cs="Times New Roman"/>
          <w:sz w:val="24"/>
          <w:szCs w:val="24"/>
        </w:rPr>
        <w:t xml:space="preserve"> a contingency table with the rows being the different genes and the columns being the different cell types (an indicator of the time, since the different cell types represent the differentiation from one cell type to another). </w:t>
      </w:r>
      <w:r>
        <w:rPr>
          <w:rFonts w:ascii="Times New Roman" w:hAnsi="Times New Roman" w:cs="Times New Roman"/>
          <w:sz w:val="24"/>
          <w:szCs w:val="24"/>
        </w:rPr>
        <w:t xml:space="preserve">We </w:t>
      </w:r>
      <w:r w:rsidR="002D38A0" w:rsidRPr="002D38A0">
        <w:rPr>
          <w:rFonts w:ascii="Times New Roman" w:hAnsi="Times New Roman" w:cs="Times New Roman"/>
          <w:sz w:val="24"/>
          <w:szCs w:val="24"/>
        </w:rPr>
        <w:t>parsed and grouped</w:t>
      </w:r>
      <w:r>
        <w:rPr>
          <w:rFonts w:ascii="Times New Roman" w:hAnsi="Times New Roman" w:cs="Times New Roman"/>
          <w:sz w:val="24"/>
          <w:szCs w:val="24"/>
        </w:rPr>
        <w:t xml:space="preserve"> the data into 5 different categories – PS, NP, HF, 4SFGA, and 4SGA –</w:t>
      </w:r>
      <w:r w:rsidR="002D38A0" w:rsidRPr="002D38A0">
        <w:rPr>
          <w:rFonts w:ascii="Times New Roman" w:hAnsi="Times New Roman" w:cs="Times New Roman"/>
          <w:sz w:val="24"/>
          <w:szCs w:val="24"/>
        </w:rPr>
        <w:t xml:space="preserve"> each representing a different cell type. Each of the categories had a recorded score equal to the sum of the number of cells that </w:t>
      </w:r>
      <w:r>
        <w:rPr>
          <w:rFonts w:ascii="Times New Roman" w:hAnsi="Times New Roman" w:cs="Times New Roman"/>
          <w:sz w:val="24"/>
          <w:szCs w:val="24"/>
        </w:rPr>
        <w:t xml:space="preserve">had expressed a particular gene above its given threshold. </w:t>
      </w:r>
      <w:r w:rsidR="002D38A0" w:rsidRPr="002D38A0">
        <w:rPr>
          <w:rFonts w:ascii="Times New Roman" w:hAnsi="Times New Roman" w:cs="Times New Roman"/>
          <w:sz w:val="24"/>
          <w:szCs w:val="24"/>
        </w:rPr>
        <w:t>As a result, the contingency table looked as follows:</w:t>
      </w:r>
    </w:p>
    <w:p w14:paraId="12AE5887" w14:textId="77777777" w:rsidR="00577F4D" w:rsidRPr="00076968" w:rsidRDefault="00577F4D" w:rsidP="00C31ED6">
      <w:pPr>
        <w:spacing w:line="240" w:lineRule="auto"/>
        <w:rPr>
          <w:rFonts w:ascii="Times New Roman" w:hAnsi="Times New Roman" w:cs="Times New Roman"/>
          <w:sz w:val="24"/>
          <w:szCs w:val="24"/>
        </w:rPr>
      </w:pPr>
    </w:p>
    <w:tbl>
      <w:tblPr>
        <w:tblW w:w="5700" w:type="dxa"/>
        <w:jc w:val="center"/>
        <w:tblInd w:w="93" w:type="dxa"/>
        <w:tblLook w:val="04A0" w:firstRow="1" w:lastRow="0" w:firstColumn="1" w:lastColumn="0" w:noHBand="0" w:noVBand="1"/>
      </w:tblPr>
      <w:tblGrid>
        <w:gridCol w:w="1020"/>
        <w:gridCol w:w="990"/>
        <w:gridCol w:w="990"/>
        <w:gridCol w:w="900"/>
        <w:gridCol w:w="900"/>
        <w:gridCol w:w="900"/>
      </w:tblGrid>
      <w:tr w:rsidR="00076968" w:rsidRPr="00076968" w14:paraId="4AEFC74F" w14:textId="77777777" w:rsidTr="00076968">
        <w:trPr>
          <w:trHeight w:val="300"/>
          <w:jc w:val="center"/>
        </w:trPr>
        <w:tc>
          <w:tcPr>
            <w:tcW w:w="102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4586DCDA" w14:textId="77777777" w:rsidR="00076968" w:rsidRPr="00076968" w:rsidRDefault="00076968" w:rsidP="00076968">
            <w:pPr>
              <w:spacing w:line="240" w:lineRule="auto"/>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 </w:t>
            </w:r>
          </w:p>
        </w:tc>
        <w:tc>
          <w:tcPr>
            <w:tcW w:w="990" w:type="dxa"/>
            <w:tcBorders>
              <w:top w:val="single" w:sz="8" w:space="0" w:color="auto"/>
              <w:left w:val="nil"/>
              <w:bottom w:val="single" w:sz="4" w:space="0" w:color="auto"/>
              <w:right w:val="single" w:sz="4" w:space="0" w:color="auto"/>
            </w:tcBorders>
            <w:shd w:val="clear" w:color="auto" w:fill="auto"/>
            <w:noWrap/>
            <w:vAlign w:val="bottom"/>
            <w:hideMark/>
          </w:tcPr>
          <w:p w14:paraId="61D37EAB" w14:textId="77777777" w:rsidR="00076968" w:rsidRPr="00076968" w:rsidRDefault="00076968" w:rsidP="00076968">
            <w:pPr>
              <w:spacing w:line="240" w:lineRule="auto"/>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4SFGA</w:t>
            </w:r>
          </w:p>
        </w:tc>
        <w:tc>
          <w:tcPr>
            <w:tcW w:w="990" w:type="dxa"/>
            <w:tcBorders>
              <w:top w:val="single" w:sz="8" w:space="0" w:color="auto"/>
              <w:left w:val="nil"/>
              <w:bottom w:val="single" w:sz="4" w:space="0" w:color="auto"/>
              <w:right w:val="single" w:sz="4" w:space="0" w:color="auto"/>
            </w:tcBorders>
            <w:shd w:val="clear" w:color="auto" w:fill="auto"/>
            <w:noWrap/>
            <w:vAlign w:val="bottom"/>
            <w:hideMark/>
          </w:tcPr>
          <w:p w14:paraId="09AF6068" w14:textId="77777777" w:rsidR="00076968" w:rsidRPr="00076968" w:rsidRDefault="00076968" w:rsidP="00076968">
            <w:pPr>
              <w:spacing w:line="240" w:lineRule="auto"/>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4SGA</w:t>
            </w:r>
          </w:p>
        </w:tc>
        <w:tc>
          <w:tcPr>
            <w:tcW w:w="900" w:type="dxa"/>
            <w:tcBorders>
              <w:top w:val="single" w:sz="8" w:space="0" w:color="auto"/>
              <w:left w:val="nil"/>
              <w:bottom w:val="single" w:sz="4" w:space="0" w:color="auto"/>
              <w:right w:val="single" w:sz="4" w:space="0" w:color="auto"/>
            </w:tcBorders>
            <w:shd w:val="clear" w:color="auto" w:fill="auto"/>
            <w:noWrap/>
            <w:vAlign w:val="bottom"/>
            <w:hideMark/>
          </w:tcPr>
          <w:p w14:paraId="28123A0B" w14:textId="77777777" w:rsidR="00076968" w:rsidRPr="00076968" w:rsidRDefault="00076968" w:rsidP="00076968">
            <w:pPr>
              <w:spacing w:line="240" w:lineRule="auto"/>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HF</w:t>
            </w:r>
          </w:p>
        </w:tc>
        <w:tc>
          <w:tcPr>
            <w:tcW w:w="900" w:type="dxa"/>
            <w:tcBorders>
              <w:top w:val="single" w:sz="8" w:space="0" w:color="auto"/>
              <w:left w:val="nil"/>
              <w:bottom w:val="single" w:sz="4" w:space="0" w:color="auto"/>
              <w:right w:val="single" w:sz="4" w:space="0" w:color="auto"/>
            </w:tcBorders>
            <w:shd w:val="clear" w:color="auto" w:fill="auto"/>
            <w:noWrap/>
            <w:vAlign w:val="bottom"/>
            <w:hideMark/>
          </w:tcPr>
          <w:p w14:paraId="5E497DAE" w14:textId="77777777" w:rsidR="00076968" w:rsidRPr="00076968" w:rsidRDefault="00076968" w:rsidP="00076968">
            <w:pPr>
              <w:spacing w:line="240" w:lineRule="auto"/>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NP</w:t>
            </w:r>
          </w:p>
        </w:tc>
        <w:tc>
          <w:tcPr>
            <w:tcW w:w="900" w:type="dxa"/>
            <w:tcBorders>
              <w:top w:val="single" w:sz="8" w:space="0" w:color="auto"/>
              <w:left w:val="nil"/>
              <w:bottom w:val="single" w:sz="4" w:space="0" w:color="auto"/>
              <w:right w:val="single" w:sz="8" w:space="0" w:color="auto"/>
            </w:tcBorders>
            <w:shd w:val="clear" w:color="auto" w:fill="auto"/>
            <w:noWrap/>
            <w:vAlign w:val="bottom"/>
            <w:hideMark/>
          </w:tcPr>
          <w:p w14:paraId="44675334" w14:textId="77777777" w:rsidR="00076968" w:rsidRPr="00076968" w:rsidRDefault="00076968" w:rsidP="00076968">
            <w:pPr>
              <w:spacing w:line="240" w:lineRule="auto"/>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PS</w:t>
            </w:r>
          </w:p>
        </w:tc>
      </w:tr>
      <w:tr w:rsidR="00076968" w:rsidRPr="00076968" w14:paraId="13EBBD4D" w14:textId="77777777" w:rsidTr="00076968">
        <w:trPr>
          <w:trHeight w:val="300"/>
          <w:jc w:val="center"/>
        </w:trPr>
        <w:tc>
          <w:tcPr>
            <w:tcW w:w="1020" w:type="dxa"/>
            <w:tcBorders>
              <w:top w:val="nil"/>
              <w:left w:val="single" w:sz="8" w:space="0" w:color="auto"/>
              <w:bottom w:val="single" w:sz="4" w:space="0" w:color="auto"/>
              <w:right w:val="single" w:sz="4" w:space="0" w:color="auto"/>
            </w:tcBorders>
            <w:shd w:val="clear" w:color="auto" w:fill="auto"/>
            <w:noWrap/>
            <w:vAlign w:val="bottom"/>
            <w:hideMark/>
          </w:tcPr>
          <w:p w14:paraId="6BBDFE3C" w14:textId="77777777" w:rsidR="00076968" w:rsidRPr="00076968" w:rsidRDefault="00076968" w:rsidP="00076968">
            <w:pPr>
              <w:spacing w:line="240" w:lineRule="auto"/>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Cbfa2t3h</w:t>
            </w:r>
          </w:p>
        </w:tc>
        <w:tc>
          <w:tcPr>
            <w:tcW w:w="990" w:type="dxa"/>
            <w:tcBorders>
              <w:top w:val="nil"/>
              <w:left w:val="nil"/>
              <w:bottom w:val="single" w:sz="4" w:space="0" w:color="auto"/>
              <w:right w:val="single" w:sz="4" w:space="0" w:color="auto"/>
            </w:tcBorders>
            <w:shd w:val="clear" w:color="auto" w:fill="auto"/>
            <w:noWrap/>
            <w:vAlign w:val="bottom"/>
            <w:hideMark/>
          </w:tcPr>
          <w:p w14:paraId="72CF2A25"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182</w:t>
            </w:r>
          </w:p>
        </w:tc>
        <w:tc>
          <w:tcPr>
            <w:tcW w:w="990" w:type="dxa"/>
            <w:tcBorders>
              <w:top w:val="nil"/>
              <w:left w:val="nil"/>
              <w:bottom w:val="single" w:sz="4" w:space="0" w:color="auto"/>
              <w:right w:val="single" w:sz="4" w:space="0" w:color="auto"/>
            </w:tcBorders>
            <w:shd w:val="clear" w:color="auto" w:fill="auto"/>
            <w:noWrap/>
            <w:vAlign w:val="bottom"/>
            <w:hideMark/>
          </w:tcPr>
          <w:p w14:paraId="1090D271"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359</w:t>
            </w:r>
          </w:p>
        </w:tc>
        <w:tc>
          <w:tcPr>
            <w:tcW w:w="900" w:type="dxa"/>
            <w:tcBorders>
              <w:top w:val="nil"/>
              <w:left w:val="nil"/>
              <w:bottom w:val="single" w:sz="4" w:space="0" w:color="auto"/>
              <w:right w:val="single" w:sz="4" w:space="0" w:color="auto"/>
            </w:tcBorders>
            <w:shd w:val="clear" w:color="auto" w:fill="auto"/>
            <w:noWrap/>
            <w:vAlign w:val="bottom"/>
            <w:hideMark/>
          </w:tcPr>
          <w:p w14:paraId="1EE5FC6A"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402</w:t>
            </w:r>
          </w:p>
        </w:tc>
        <w:tc>
          <w:tcPr>
            <w:tcW w:w="900" w:type="dxa"/>
            <w:tcBorders>
              <w:top w:val="nil"/>
              <w:left w:val="nil"/>
              <w:bottom w:val="single" w:sz="4" w:space="0" w:color="auto"/>
              <w:right w:val="single" w:sz="4" w:space="0" w:color="auto"/>
            </w:tcBorders>
            <w:shd w:val="clear" w:color="auto" w:fill="auto"/>
            <w:noWrap/>
            <w:vAlign w:val="bottom"/>
            <w:hideMark/>
          </w:tcPr>
          <w:p w14:paraId="78112D4B"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190</w:t>
            </w:r>
          </w:p>
        </w:tc>
        <w:tc>
          <w:tcPr>
            <w:tcW w:w="900" w:type="dxa"/>
            <w:tcBorders>
              <w:top w:val="nil"/>
              <w:left w:val="nil"/>
              <w:bottom w:val="single" w:sz="4" w:space="0" w:color="auto"/>
              <w:right w:val="single" w:sz="8" w:space="0" w:color="auto"/>
            </w:tcBorders>
            <w:shd w:val="clear" w:color="auto" w:fill="auto"/>
            <w:noWrap/>
            <w:vAlign w:val="bottom"/>
            <w:hideMark/>
          </w:tcPr>
          <w:p w14:paraId="46039EB1"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112</w:t>
            </w:r>
          </w:p>
        </w:tc>
      </w:tr>
      <w:tr w:rsidR="00076968" w:rsidRPr="00076968" w14:paraId="7B32D56E" w14:textId="77777777" w:rsidTr="00076968">
        <w:trPr>
          <w:trHeight w:val="300"/>
          <w:jc w:val="center"/>
        </w:trPr>
        <w:tc>
          <w:tcPr>
            <w:tcW w:w="1020" w:type="dxa"/>
            <w:tcBorders>
              <w:top w:val="nil"/>
              <w:left w:val="single" w:sz="8" w:space="0" w:color="auto"/>
              <w:bottom w:val="single" w:sz="4" w:space="0" w:color="auto"/>
              <w:right w:val="single" w:sz="4" w:space="0" w:color="auto"/>
            </w:tcBorders>
            <w:shd w:val="clear" w:color="auto" w:fill="auto"/>
            <w:noWrap/>
            <w:vAlign w:val="bottom"/>
            <w:hideMark/>
          </w:tcPr>
          <w:p w14:paraId="55C9F402" w14:textId="77777777" w:rsidR="00076968" w:rsidRPr="00076968" w:rsidRDefault="00076968" w:rsidP="00076968">
            <w:pPr>
              <w:spacing w:line="240" w:lineRule="auto"/>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Erg</w:t>
            </w:r>
          </w:p>
        </w:tc>
        <w:tc>
          <w:tcPr>
            <w:tcW w:w="990" w:type="dxa"/>
            <w:tcBorders>
              <w:top w:val="nil"/>
              <w:left w:val="nil"/>
              <w:bottom w:val="single" w:sz="4" w:space="0" w:color="auto"/>
              <w:right w:val="single" w:sz="4" w:space="0" w:color="auto"/>
            </w:tcBorders>
            <w:shd w:val="clear" w:color="auto" w:fill="auto"/>
            <w:noWrap/>
            <w:vAlign w:val="bottom"/>
            <w:hideMark/>
          </w:tcPr>
          <w:p w14:paraId="3FA2E40B"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181</w:t>
            </w:r>
          </w:p>
        </w:tc>
        <w:tc>
          <w:tcPr>
            <w:tcW w:w="990" w:type="dxa"/>
            <w:tcBorders>
              <w:top w:val="nil"/>
              <w:left w:val="nil"/>
              <w:bottom w:val="single" w:sz="4" w:space="0" w:color="auto"/>
              <w:right w:val="single" w:sz="4" w:space="0" w:color="auto"/>
            </w:tcBorders>
            <w:shd w:val="clear" w:color="auto" w:fill="auto"/>
            <w:noWrap/>
            <w:vAlign w:val="bottom"/>
            <w:hideMark/>
          </w:tcPr>
          <w:p w14:paraId="67134260"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29</w:t>
            </w:r>
          </w:p>
        </w:tc>
        <w:tc>
          <w:tcPr>
            <w:tcW w:w="900" w:type="dxa"/>
            <w:tcBorders>
              <w:top w:val="nil"/>
              <w:left w:val="nil"/>
              <w:bottom w:val="single" w:sz="4" w:space="0" w:color="auto"/>
              <w:right w:val="single" w:sz="4" w:space="0" w:color="auto"/>
            </w:tcBorders>
            <w:shd w:val="clear" w:color="auto" w:fill="auto"/>
            <w:noWrap/>
            <w:vAlign w:val="bottom"/>
            <w:hideMark/>
          </w:tcPr>
          <w:p w14:paraId="68E6488B"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371</w:t>
            </w:r>
          </w:p>
        </w:tc>
        <w:tc>
          <w:tcPr>
            <w:tcW w:w="900" w:type="dxa"/>
            <w:tcBorders>
              <w:top w:val="nil"/>
              <w:left w:val="nil"/>
              <w:bottom w:val="single" w:sz="4" w:space="0" w:color="auto"/>
              <w:right w:val="single" w:sz="4" w:space="0" w:color="auto"/>
            </w:tcBorders>
            <w:shd w:val="clear" w:color="auto" w:fill="auto"/>
            <w:noWrap/>
            <w:vAlign w:val="bottom"/>
            <w:hideMark/>
          </w:tcPr>
          <w:p w14:paraId="6579FD5F"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151</w:t>
            </w:r>
          </w:p>
        </w:tc>
        <w:tc>
          <w:tcPr>
            <w:tcW w:w="900" w:type="dxa"/>
            <w:tcBorders>
              <w:top w:val="nil"/>
              <w:left w:val="nil"/>
              <w:bottom w:val="single" w:sz="4" w:space="0" w:color="auto"/>
              <w:right w:val="single" w:sz="8" w:space="0" w:color="auto"/>
            </w:tcBorders>
            <w:shd w:val="clear" w:color="auto" w:fill="auto"/>
            <w:noWrap/>
            <w:vAlign w:val="bottom"/>
            <w:hideMark/>
          </w:tcPr>
          <w:p w14:paraId="13FA0F8A"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81</w:t>
            </w:r>
          </w:p>
        </w:tc>
      </w:tr>
      <w:tr w:rsidR="00076968" w:rsidRPr="00076968" w14:paraId="1001818C" w14:textId="77777777" w:rsidTr="00076968">
        <w:trPr>
          <w:trHeight w:val="300"/>
          <w:jc w:val="center"/>
        </w:trPr>
        <w:tc>
          <w:tcPr>
            <w:tcW w:w="1020" w:type="dxa"/>
            <w:tcBorders>
              <w:top w:val="nil"/>
              <w:left w:val="single" w:sz="8" w:space="0" w:color="auto"/>
              <w:bottom w:val="single" w:sz="4" w:space="0" w:color="auto"/>
              <w:right w:val="single" w:sz="4" w:space="0" w:color="auto"/>
            </w:tcBorders>
            <w:shd w:val="clear" w:color="auto" w:fill="auto"/>
            <w:noWrap/>
            <w:vAlign w:val="bottom"/>
            <w:hideMark/>
          </w:tcPr>
          <w:p w14:paraId="6832D4EB" w14:textId="77777777" w:rsidR="00076968" w:rsidRPr="00076968" w:rsidRDefault="00076968" w:rsidP="00076968">
            <w:pPr>
              <w:spacing w:line="240" w:lineRule="auto"/>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Ets1</w:t>
            </w:r>
          </w:p>
        </w:tc>
        <w:tc>
          <w:tcPr>
            <w:tcW w:w="990" w:type="dxa"/>
            <w:tcBorders>
              <w:top w:val="nil"/>
              <w:left w:val="nil"/>
              <w:bottom w:val="single" w:sz="4" w:space="0" w:color="auto"/>
              <w:right w:val="single" w:sz="4" w:space="0" w:color="auto"/>
            </w:tcBorders>
            <w:shd w:val="clear" w:color="auto" w:fill="auto"/>
            <w:noWrap/>
            <w:vAlign w:val="bottom"/>
            <w:hideMark/>
          </w:tcPr>
          <w:p w14:paraId="011F343C"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241</w:t>
            </w:r>
          </w:p>
        </w:tc>
        <w:tc>
          <w:tcPr>
            <w:tcW w:w="990" w:type="dxa"/>
            <w:tcBorders>
              <w:top w:val="nil"/>
              <w:left w:val="nil"/>
              <w:bottom w:val="single" w:sz="4" w:space="0" w:color="auto"/>
              <w:right w:val="single" w:sz="4" w:space="0" w:color="auto"/>
            </w:tcBorders>
            <w:shd w:val="clear" w:color="auto" w:fill="auto"/>
            <w:noWrap/>
            <w:vAlign w:val="bottom"/>
            <w:hideMark/>
          </w:tcPr>
          <w:p w14:paraId="252394C0"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154</w:t>
            </w:r>
          </w:p>
        </w:tc>
        <w:tc>
          <w:tcPr>
            <w:tcW w:w="900" w:type="dxa"/>
            <w:tcBorders>
              <w:top w:val="nil"/>
              <w:left w:val="nil"/>
              <w:bottom w:val="single" w:sz="4" w:space="0" w:color="auto"/>
              <w:right w:val="single" w:sz="4" w:space="0" w:color="auto"/>
            </w:tcBorders>
            <w:shd w:val="clear" w:color="auto" w:fill="auto"/>
            <w:noWrap/>
            <w:vAlign w:val="bottom"/>
            <w:hideMark/>
          </w:tcPr>
          <w:p w14:paraId="610E5102"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433</w:t>
            </w:r>
          </w:p>
        </w:tc>
        <w:tc>
          <w:tcPr>
            <w:tcW w:w="900" w:type="dxa"/>
            <w:tcBorders>
              <w:top w:val="nil"/>
              <w:left w:val="nil"/>
              <w:bottom w:val="single" w:sz="4" w:space="0" w:color="auto"/>
              <w:right w:val="single" w:sz="4" w:space="0" w:color="auto"/>
            </w:tcBorders>
            <w:shd w:val="clear" w:color="auto" w:fill="auto"/>
            <w:noWrap/>
            <w:vAlign w:val="bottom"/>
            <w:hideMark/>
          </w:tcPr>
          <w:p w14:paraId="7D469519"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210</w:t>
            </w:r>
          </w:p>
        </w:tc>
        <w:tc>
          <w:tcPr>
            <w:tcW w:w="900" w:type="dxa"/>
            <w:tcBorders>
              <w:top w:val="nil"/>
              <w:left w:val="nil"/>
              <w:bottom w:val="single" w:sz="4" w:space="0" w:color="auto"/>
              <w:right w:val="single" w:sz="8" w:space="0" w:color="auto"/>
            </w:tcBorders>
            <w:shd w:val="clear" w:color="auto" w:fill="auto"/>
            <w:noWrap/>
            <w:vAlign w:val="bottom"/>
            <w:hideMark/>
          </w:tcPr>
          <w:p w14:paraId="17D2E0A9"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156</w:t>
            </w:r>
          </w:p>
        </w:tc>
      </w:tr>
      <w:tr w:rsidR="00076968" w:rsidRPr="00076968" w14:paraId="2118E767" w14:textId="77777777" w:rsidTr="00076968">
        <w:trPr>
          <w:trHeight w:val="300"/>
          <w:jc w:val="center"/>
        </w:trPr>
        <w:tc>
          <w:tcPr>
            <w:tcW w:w="1020" w:type="dxa"/>
            <w:tcBorders>
              <w:top w:val="nil"/>
              <w:left w:val="single" w:sz="8" w:space="0" w:color="auto"/>
              <w:bottom w:val="single" w:sz="4" w:space="0" w:color="auto"/>
              <w:right w:val="single" w:sz="4" w:space="0" w:color="auto"/>
            </w:tcBorders>
            <w:shd w:val="clear" w:color="auto" w:fill="auto"/>
            <w:noWrap/>
            <w:vAlign w:val="bottom"/>
            <w:hideMark/>
          </w:tcPr>
          <w:p w14:paraId="24D39CA5" w14:textId="77777777" w:rsidR="00076968" w:rsidRPr="00076968" w:rsidRDefault="00076968" w:rsidP="00076968">
            <w:pPr>
              <w:spacing w:line="240" w:lineRule="auto"/>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Ets2</w:t>
            </w:r>
          </w:p>
        </w:tc>
        <w:tc>
          <w:tcPr>
            <w:tcW w:w="990" w:type="dxa"/>
            <w:tcBorders>
              <w:top w:val="nil"/>
              <w:left w:val="nil"/>
              <w:bottom w:val="single" w:sz="4" w:space="0" w:color="auto"/>
              <w:right w:val="single" w:sz="4" w:space="0" w:color="auto"/>
            </w:tcBorders>
            <w:shd w:val="clear" w:color="auto" w:fill="auto"/>
            <w:noWrap/>
            <w:vAlign w:val="bottom"/>
            <w:hideMark/>
          </w:tcPr>
          <w:p w14:paraId="652D360A"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259</w:t>
            </w:r>
          </w:p>
        </w:tc>
        <w:tc>
          <w:tcPr>
            <w:tcW w:w="990" w:type="dxa"/>
            <w:tcBorders>
              <w:top w:val="nil"/>
              <w:left w:val="nil"/>
              <w:bottom w:val="single" w:sz="4" w:space="0" w:color="auto"/>
              <w:right w:val="single" w:sz="4" w:space="0" w:color="auto"/>
            </w:tcBorders>
            <w:shd w:val="clear" w:color="auto" w:fill="auto"/>
            <w:noWrap/>
            <w:vAlign w:val="bottom"/>
            <w:hideMark/>
          </w:tcPr>
          <w:p w14:paraId="127EFE25"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377</w:t>
            </w:r>
          </w:p>
        </w:tc>
        <w:tc>
          <w:tcPr>
            <w:tcW w:w="900" w:type="dxa"/>
            <w:tcBorders>
              <w:top w:val="nil"/>
              <w:left w:val="nil"/>
              <w:bottom w:val="single" w:sz="4" w:space="0" w:color="auto"/>
              <w:right w:val="single" w:sz="4" w:space="0" w:color="auto"/>
            </w:tcBorders>
            <w:shd w:val="clear" w:color="auto" w:fill="auto"/>
            <w:noWrap/>
            <w:vAlign w:val="bottom"/>
            <w:hideMark/>
          </w:tcPr>
          <w:p w14:paraId="2CE8831F"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436</w:t>
            </w:r>
          </w:p>
        </w:tc>
        <w:tc>
          <w:tcPr>
            <w:tcW w:w="900" w:type="dxa"/>
            <w:tcBorders>
              <w:top w:val="nil"/>
              <w:left w:val="nil"/>
              <w:bottom w:val="single" w:sz="4" w:space="0" w:color="auto"/>
              <w:right w:val="single" w:sz="4" w:space="0" w:color="auto"/>
            </w:tcBorders>
            <w:shd w:val="clear" w:color="auto" w:fill="auto"/>
            <w:noWrap/>
            <w:vAlign w:val="bottom"/>
            <w:hideMark/>
          </w:tcPr>
          <w:p w14:paraId="6EFB0025"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212</w:t>
            </w:r>
          </w:p>
        </w:tc>
        <w:tc>
          <w:tcPr>
            <w:tcW w:w="900" w:type="dxa"/>
            <w:tcBorders>
              <w:top w:val="nil"/>
              <w:left w:val="nil"/>
              <w:bottom w:val="single" w:sz="4" w:space="0" w:color="auto"/>
              <w:right w:val="single" w:sz="8" w:space="0" w:color="auto"/>
            </w:tcBorders>
            <w:shd w:val="clear" w:color="auto" w:fill="auto"/>
            <w:noWrap/>
            <w:vAlign w:val="bottom"/>
            <w:hideMark/>
          </w:tcPr>
          <w:p w14:paraId="2E417B03"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158</w:t>
            </w:r>
          </w:p>
        </w:tc>
      </w:tr>
      <w:tr w:rsidR="00076968" w:rsidRPr="00076968" w14:paraId="04F43501" w14:textId="77777777" w:rsidTr="00076968">
        <w:trPr>
          <w:trHeight w:val="300"/>
          <w:jc w:val="center"/>
        </w:trPr>
        <w:tc>
          <w:tcPr>
            <w:tcW w:w="1020" w:type="dxa"/>
            <w:tcBorders>
              <w:top w:val="nil"/>
              <w:left w:val="single" w:sz="8" w:space="0" w:color="auto"/>
              <w:bottom w:val="single" w:sz="4" w:space="0" w:color="auto"/>
              <w:right w:val="single" w:sz="4" w:space="0" w:color="auto"/>
            </w:tcBorders>
            <w:shd w:val="clear" w:color="auto" w:fill="auto"/>
            <w:noWrap/>
            <w:vAlign w:val="bottom"/>
            <w:hideMark/>
          </w:tcPr>
          <w:p w14:paraId="53720E91" w14:textId="77777777" w:rsidR="00076968" w:rsidRPr="00076968" w:rsidRDefault="00076968" w:rsidP="00076968">
            <w:pPr>
              <w:spacing w:line="240" w:lineRule="auto"/>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Etv2</w:t>
            </w:r>
          </w:p>
        </w:tc>
        <w:tc>
          <w:tcPr>
            <w:tcW w:w="990" w:type="dxa"/>
            <w:tcBorders>
              <w:top w:val="nil"/>
              <w:left w:val="nil"/>
              <w:bottom w:val="single" w:sz="4" w:space="0" w:color="auto"/>
              <w:right w:val="single" w:sz="4" w:space="0" w:color="auto"/>
            </w:tcBorders>
            <w:shd w:val="clear" w:color="auto" w:fill="auto"/>
            <w:noWrap/>
            <w:vAlign w:val="bottom"/>
            <w:hideMark/>
          </w:tcPr>
          <w:p w14:paraId="59A5BAB3"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223</w:t>
            </w:r>
          </w:p>
        </w:tc>
        <w:tc>
          <w:tcPr>
            <w:tcW w:w="990" w:type="dxa"/>
            <w:tcBorders>
              <w:top w:val="nil"/>
              <w:left w:val="nil"/>
              <w:bottom w:val="single" w:sz="4" w:space="0" w:color="auto"/>
              <w:right w:val="single" w:sz="4" w:space="0" w:color="auto"/>
            </w:tcBorders>
            <w:shd w:val="clear" w:color="auto" w:fill="auto"/>
            <w:noWrap/>
            <w:vAlign w:val="bottom"/>
            <w:hideMark/>
          </w:tcPr>
          <w:p w14:paraId="45F83FB1"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69</w:t>
            </w:r>
          </w:p>
        </w:tc>
        <w:tc>
          <w:tcPr>
            <w:tcW w:w="900" w:type="dxa"/>
            <w:tcBorders>
              <w:top w:val="nil"/>
              <w:left w:val="nil"/>
              <w:bottom w:val="single" w:sz="4" w:space="0" w:color="auto"/>
              <w:right w:val="single" w:sz="4" w:space="0" w:color="auto"/>
            </w:tcBorders>
            <w:shd w:val="clear" w:color="auto" w:fill="auto"/>
            <w:noWrap/>
            <w:vAlign w:val="bottom"/>
            <w:hideMark/>
          </w:tcPr>
          <w:p w14:paraId="5FB03AE5"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431</w:t>
            </w:r>
          </w:p>
        </w:tc>
        <w:tc>
          <w:tcPr>
            <w:tcW w:w="900" w:type="dxa"/>
            <w:tcBorders>
              <w:top w:val="nil"/>
              <w:left w:val="nil"/>
              <w:bottom w:val="single" w:sz="4" w:space="0" w:color="auto"/>
              <w:right w:val="single" w:sz="4" w:space="0" w:color="auto"/>
            </w:tcBorders>
            <w:shd w:val="clear" w:color="auto" w:fill="auto"/>
            <w:noWrap/>
            <w:vAlign w:val="bottom"/>
            <w:hideMark/>
          </w:tcPr>
          <w:p w14:paraId="06D05BFB"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205</w:t>
            </w:r>
          </w:p>
        </w:tc>
        <w:tc>
          <w:tcPr>
            <w:tcW w:w="900" w:type="dxa"/>
            <w:tcBorders>
              <w:top w:val="nil"/>
              <w:left w:val="nil"/>
              <w:bottom w:val="single" w:sz="4" w:space="0" w:color="auto"/>
              <w:right w:val="single" w:sz="8" w:space="0" w:color="auto"/>
            </w:tcBorders>
            <w:shd w:val="clear" w:color="auto" w:fill="auto"/>
            <w:noWrap/>
            <w:vAlign w:val="bottom"/>
            <w:hideMark/>
          </w:tcPr>
          <w:p w14:paraId="0265582C"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152</w:t>
            </w:r>
          </w:p>
        </w:tc>
      </w:tr>
      <w:tr w:rsidR="00076968" w:rsidRPr="00076968" w14:paraId="6E8685B4" w14:textId="77777777" w:rsidTr="00076968">
        <w:trPr>
          <w:trHeight w:val="300"/>
          <w:jc w:val="center"/>
        </w:trPr>
        <w:tc>
          <w:tcPr>
            <w:tcW w:w="1020" w:type="dxa"/>
            <w:tcBorders>
              <w:top w:val="nil"/>
              <w:left w:val="single" w:sz="8" w:space="0" w:color="auto"/>
              <w:bottom w:val="single" w:sz="4" w:space="0" w:color="auto"/>
              <w:right w:val="single" w:sz="4" w:space="0" w:color="auto"/>
            </w:tcBorders>
            <w:shd w:val="clear" w:color="auto" w:fill="auto"/>
            <w:noWrap/>
            <w:vAlign w:val="bottom"/>
            <w:hideMark/>
          </w:tcPr>
          <w:p w14:paraId="27A21081" w14:textId="77777777" w:rsidR="00076968" w:rsidRPr="00076968" w:rsidRDefault="00076968" w:rsidP="00076968">
            <w:pPr>
              <w:spacing w:line="240" w:lineRule="auto"/>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Etv6</w:t>
            </w:r>
          </w:p>
        </w:tc>
        <w:tc>
          <w:tcPr>
            <w:tcW w:w="990" w:type="dxa"/>
            <w:tcBorders>
              <w:top w:val="nil"/>
              <w:left w:val="nil"/>
              <w:bottom w:val="single" w:sz="4" w:space="0" w:color="auto"/>
              <w:right w:val="single" w:sz="4" w:space="0" w:color="auto"/>
            </w:tcBorders>
            <w:shd w:val="clear" w:color="auto" w:fill="auto"/>
            <w:noWrap/>
            <w:vAlign w:val="bottom"/>
            <w:hideMark/>
          </w:tcPr>
          <w:p w14:paraId="0F5FE49F"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259</w:t>
            </w:r>
          </w:p>
        </w:tc>
        <w:tc>
          <w:tcPr>
            <w:tcW w:w="990" w:type="dxa"/>
            <w:tcBorders>
              <w:top w:val="nil"/>
              <w:left w:val="nil"/>
              <w:bottom w:val="single" w:sz="4" w:space="0" w:color="auto"/>
              <w:right w:val="single" w:sz="4" w:space="0" w:color="auto"/>
            </w:tcBorders>
            <w:shd w:val="clear" w:color="auto" w:fill="auto"/>
            <w:noWrap/>
            <w:vAlign w:val="bottom"/>
            <w:hideMark/>
          </w:tcPr>
          <w:p w14:paraId="6CD26217"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322</w:t>
            </w:r>
          </w:p>
        </w:tc>
        <w:tc>
          <w:tcPr>
            <w:tcW w:w="900" w:type="dxa"/>
            <w:tcBorders>
              <w:top w:val="nil"/>
              <w:left w:val="nil"/>
              <w:bottom w:val="single" w:sz="4" w:space="0" w:color="auto"/>
              <w:right w:val="single" w:sz="4" w:space="0" w:color="auto"/>
            </w:tcBorders>
            <w:shd w:val="clear" w:color="auto" w:fill="auto"/>
            <w:noWrap/>
            <w:vAlign w:val="bottom"/>
            <w:hideMark/>
          </w:tcPr>
          <w:p w14:paraId="5E0A08FF"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436</w:t>
            </w:r>
          </w:p>
        </w:tc>
        <w:tc>
          <w:tcPr>
            <w:tcW w:w="900" w:type="dxa"/>
            <w:tcBorders>
              <w:top w:val="nil"/>
              <w:left w:val="nil"/>
              <w:bottom w:val="single" w:sz="4" w:space="0" w:color="auto"/>
              <w:right w:val="single" w:sz="4" w:space="0" w:color="auto"/>
            </w:tcBorders>
            <w:shd w:val="clear" w:color="auto" w:fill="auto"/>
            <w:noWrap/>
            <w:vAlign w:val="bottom"/>
            <w:hideMark/>
          </w:tcPr>
          <w:p w14:paraId="420811CD"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212</w:t>
            </w:r>
          </w:p>
        </w:tc>
        <w:tc>
          <w:tcPr>
            <w:tcW w:w="900" w:type="dxa"/>
            <w:tcBorders>
              <w:top w:val="nil"/>
              <w:left w:val="nil"/>
              <w:bottom w:val="single" w:sz="4" w:space="0" w:color="auto"/>
              <w:right w:val="single" w:sz="8" w:space="0" w:color="auto"/>
            </w:tcBorders>
            <w:shd w:val="clear" w:color="auto" w:fill="auto"/>
            <w:noWrap/>
            <w:vAlign w:val="bottom"/>
            <w:hideMark/>
          </w:tcPr>
          <w:p w14:paraId="4A9FC648"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156</w:t>
            </w:r>
          </w:p>
        </w:tc>
      </w:tr>
      <w:tr w:rsidR="00076968" w:rsidRPr="00076968" w14:paraId="434996BF" w14:textId="77777777" w:rsidTr="00076968">
        <w:trPr>
          <w:trHeight w:val="300"/>
          <w:jc w:val="center"/>
        </w:trPr>
        <w:tc>
          <w:tcPr>
            <w:tcW w:w="1020" w:type="dxa"/>
            <w:tcBorders>
              <w:top w:val="nil"/>
              <w:left w:val="single" w:sz="8" w:space="0" w:color="auto"/>
              <w:bottom w:val="single" w:sz="4" w:space="0" w:color="auto"/>
              <w:right w:val="single" w:sz="4" w:space="0" w:color="auto"/>
            </w:tcBorders>
            <w:shd w:val="clear" w:color="auto" w:fill="auto"/>
            <w:noWrap/>
            <w:vAlign w:val="bottom"/>
            <w:hideMark/>
          </w:tcPr>
          <w:p w14:paraId="39C44A85" w14:textId="77777777" w:rsidR="00076968" w:rsidRPr="00076968" w:rsidRDefault="00076968" w:rsidP="00076968">
            <w:pPr>
              <w:spacing w:line="240" w:lineRule="auto"/>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Fli1</w:t>
            </w:r>
          </w:p>
        </w:tc>
        <w:tc>
          <w:tcPr>
            <w:tcW w:w="990" w:type="dxa"/>
            <w:tcBorders>
              <w:top w:val="nil"/>
              <w:left w:val="nil"/>
              <w:bottom w:val="single" w:sz="4" w:space="0" w:color="auto"/>
              <w:right w:val="single" w:sz="4" w:space="0" w:color="auto"/>
            </w:tcBorders>
            <w:shd w:val="clear" w:color="auto" w:fill="auto"/>
            <w:noWrap/>
            <w:vAlign w:val="bottom"/>
            <w:hideMark/>
          </w:tcPr>
          <w:p w14:paraId="3A6B9B2C"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255</w:t>
            </w:r>
          </w:p>
        </w:tc>
        <w:tc>
          <w:tcPr>
            <w:tcW w:w="990" w:type="dxa"/>
            <w:tcBorders>
              <w:top w:val="nil"/>
              <w:left w:val="nil"/>
              <w:bottom w:val="single" w:sz="4" w:space="0" w:color="auto"/>
              <w:right w:val="single" w:sz="4" w:space="0" w:color="auto"/>
            </w:tcBorders>
            <w:shd w:val="clear" w:color="auto" w:fill="auto"/>
            <w:noWrap/>
            <w:vAlign w:val="bottom"/>
            <w:hideMark/>
          </w:tcPr>
          <w:p w14:paraId="4D2CAC11"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278</w:t>
            </w:r>
          </w:p>
        </w:tc>
        <w:tc>
          <w:tcPr>
            <w:tcW w:w="900" w:type="dxa"/>
            <w:tcBorders>
              <w:top w:val="nil"/>
              <w:left w:val="nil"/>
              <w:bottom w:val="single" w:sz="4" w:space="0" w:color="auto"/>
              <w:right w:val="single" w:sz="4" w:space="0" w:color="auto"/>
            </w:tcBorders>
            <w:shd w:val="clear" w:color="auto" w:fill="auto"/>
            <w:noWrap/>
            <w:vAlign w:val="bottom"/>
            <w:hideMark/>
          </w:tcPr>
          <w:p w14:paraId="45D1F426"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430</w:t>
            </w:r>
          </w:p>
        </w:tc>
        <w:tc>
          <w:tcPr>
            <w:tcW w:w="900" w:type="dxa"/>
            <w:tcBorders>
              <w:top w:val="nil"/>
              <w:left w:val="nil"/>
              <w:bottom w:val="single" w:sz="4" w:space="0" w:color="auto"/>
              <w:right w:val="single" w:sz="4" w:space="0" w:color="auto"/>
            </w:tcBorders>
            <w:shd w:val="clear" w:color="auto" w:fill="auto"/>
            <w:noWrap/>
            <w:vAlign w:val="bottom"/>
            <w:hideMark/>
          </w:tcPr>
          <w:p w14:paraId="229025D5"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203</w:t>
            </w:r>
          </w:p>
        </w:tc>
        <w:tc>
          <w:tcPr>
            <w:tcW w:w="900" w:type="dxa"/>
            <w:tcBorders>
              <w:top w:val="nil"/>
              <w:left w:val="nil"/>
              <w:bottom w:val="single" w:sz="4" w:space="0" w:color="auto"/>
              <w:right w:val="single" w:sz="8" w:space="0" w:color="auto"/>
            </w:tcBorders>
            <w:shd w:val="clear" w:color="auto" w:fill="auto"/>
            <w:noWrap/>
            <w:vAlign w:val="bottom"/>
            <w:hideMark/>
          </w:tcPr>
          <w:p w14:paraId="0F080F8F"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136</w:t>
            </w:r>
          </w:p>
        </w:tc>
      </w:tr>
      <w:tr w:rsidR="00076968" w:rsidRPr="00076968" w14:paraId="32BCA19E" w14:textId="77777777" w:rsidTr="00076968">
        <w:trPr>
          <w:trHeight w:val="300"/>
          <w:jc w:val="center"/>
        </w:trPr>
        <w:tc>
          <w:tcPr>
            <w:tcW w:w="1020" w:type="dxa"/>
            <w:tcBorders>
              <w:top w:val="nil"/>
              <w:left w:val="single" w:sz="8" w:space="0" w:color="auto"/>
              <w:bottom w:val="single" w:sz="4" w:space="0" w:color="auto"/>
              <w:right w:val="single" w:sz="4" w:space="0" w:color="auto"/>
            </w:tcBorders>
            <w:shd w:val="clear" w:color="auto" w:fill="auto"/>
            <w:noWrap/>
            <w:vAlign w:val="bottom"/>
            <w:hideMark/>
          </w:tcPr>
          <w:p w14:paraId="79290742" w14:textId="77777777" w:rsidR="00076968" w:rsidRPr="00076968" w:rsidRDefault="00076968" w:rsidP="00076968">
            <w:pPr>
              <w:spacing w:line="240" w:lineRule="auto"/>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FoxH1</w:t>
            </w:r>
          </w:p>
        </w:tc>
        <w:tc>
          <w:tcPr>
            <w:tcW w:w="990" w:type="dxa"/>
            <w:tcBorders>
              <w:top w:val="nil"/>
              <w:left w:val="nil"/>
              <w:bottom w:val="single" w:sz="4" w:space="0" w:color="auto"/>
              <w:right w:val="single" w:sz="4" w:space="0" w:color="auto"/>
            </w:tcBorders>
            <w:shd w:val="clear" w:color="auto" w:fill="auto"/>
            <w:noWrap/>
            <w:vAlign w:val="bottom"/>
            <w:hideMark/>
          </w:tcPr>
          <w:p w14:paraId="36086211"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250</w:t>
            </w:r>
          </w:p>
        </w:tc>
        <w:tc>
          <w:tcPr>
            <w:tcW w:w="990" w:type="dxa"/>
            <w:tcBorders>
              <w:top w:val="nil"/>
              <w:left w:val="nil"/>
              <w:bottom w:val="single" w:sz="4" w:space="0" w:color="auto"/>
              <w:right w:val="single" w:sz="4" w:space="0" w:color="auto"/>
            </w:tcBorders>
            <w:shd w:val="clear" w:color="auto" w:fill="auto"/>
            <w:noWrap/>
            <w:vAlign w:val="bottom"/>
            <w:hideMark/>
          </w:tcPr>
          <w:p w14:paraId="7AA70003"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382</w:t>
            </w:r>
          </w:p>
        </w:tc>
        <w:tc>
          <w:tcPr>
            <w:tcW w:w="900" w:type="dxa"/>
            <w:tcBorders>
              <w:top w:val="nil"/>
              <w:left w:val="nil"/>
              <w:bottom w:val="single" w:sz="4" w:space="0" w:color="auto"/>
              <w:right w:val="single" w:sz="4" w:space="0" w:color="auto"/>
            </w:tcBorders>
            <w:shd w:val="clear" w:color="auto" w:fill="auto"/>
            <w:noWrap/>
            <w:vAlign w:val="bottom"/>
            <w:hideMark/>
          </w:tcPr>
          <w:p w14:paraId="73B86B1F"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436</w:t>
            </w:r>
          </w:p>
        </w:tc>
        <w:tc>
          <w:tcPr>
            <w:tcW w:w="900" w:type="dxa"/>
            <w:tcBorders>
              <w:top w:val="nil"/>
              <w:left w:val="nil"/>
              <w:bottom w:val="single" w:sz="4" w:space="0" w:color="auto"/>
              <w:right w:val="single" w:sz="4" w:space="0" w:color="auto"/>
            </w:tcBorders>
            <w:shd w:val="clear" w:color="auto" w:fill="auto"/>
            <w:noWrap/>
            <w:vAlign w:val="bottom"/>
            <w:hideMark/>
          </w:tcPr>
          <w:p w14:paraId="04F2842B"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212</w:t>
            </w:r>
          </w:p>
        </w:tc>
        <w:tc>
          <w:tcPr>
            <w:tcW w:w="900" w:type="dxa"/>
            <w:tcBorders>
              <w:top w:val="nil"/>
              <w:left w:val="nil"/>
              <w:bottom w:val="single" w:sz="4" w:space="0" w:color="auto"/>
              <w:right w:val="single" w:sz="8" w:space="0" w:color="auto"/>
            </w:tcBorders>
            <w:shd w:val="clear" w:color="auto" w:fill="auto"/>
            <w:noWrap/>
            <w:vAlign w:val="bottom"/>
            <w:hideMark/>
          </w:tcPr>
          <w:p w14:paraId="66C51B7E"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158</w:t>
            </w:r>
          </w:p>
        </w:tc>
      </w:tr>
      <w:tr w:rsidR="00076968" w:rsidRPr="00076968" w14:paraId="297A5EAE" w14:textId="77777777" w:rsidTr="00076968">
        <w:trPr>
          <w:trHeight w:val="300"/>
          <w:jc w:val="center"/>
        </w:trPr>
        <w:tc>
          <w:tcPr>
            <w:tcW w:w="1020" w:type="dxa"/>
            <w:tcBorders>
              <w:top w:val="nil"/>
              <w:left w:val="single" w:sz="8" w:space="0" w:color="auto"/>
              <w:bottom w:val="single" w:sz="4" w:space="0" w:color="auto"/>
              <w:right w:val="single" w:sz="4" w:space="0" w:color="auto"/>
            </w:tcBorders>
            <w:shd w:val="clear" w:color="auto" w:fill="auto"/>
            <w:noWrap/>
            <w:vAlign w:val="bottom"/>
            <w:hideMark/>
          </w:tcPr>
          <w:p w14:paraId="0990F302" w14:textId="77777777" w:rsidR="00076968" w:rsidRPr="00076968" w:rsidRDefault="00076968" w:rsidP="00076968">
            <w:pPr>
              <w:spacing w:line="240" w:lineRule="auto"/>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FoxO4</w:t>
            </w:r>
          </w:p>
        </w:tc>
        <w:tc>
          <w:tcPr>
            <w:tcW w:w="990" w:type="dxa"/>
            <w:tcBorders>
              <w:top w:val="nil"/>
              <w:left w:val="nil"/>
              <w:bottom w:val="single" w:sz="4" w:space="0" w:color="auto"/>
              <w:right w:val="single" w:sz="4" w:space="0" w:color="auto"/>
            </w:tcBorders>
            <w:shd w:val="clear" w:color="auto" w:fill="auto"/>
            <w:noWrap/>
            <w:vAlign w:val="bottom"/>
            <w:hideMark/>
          </w:tcPr>
          <w:p w14:paraId="18C74794"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254</w:t>
            </w:r>
          </w:p>
        </w:tc>
        <w:tc>
          <w:tcPr>
            <w:tcW w:w="990" w:type="dxa"/>
            <w:tcBorders>
              <w:top w:val="nil"/>
              <w:left w:val="nil"/>
              <w:bottom w:val="single" w:sz="4" w:space="0" w:color="auto"/>
              <w:right w:val="single" w:sz="4" w:space="0" w:color="auto"/>
            </w:tcBorders>
            <w:shd w:val="clear" w:color="auto" w:fill="auto"/>
            <w:noWrap/>
            <w:vAlign w:val="bottom"/>
            <w:hideMark/>
          </w:tcPr>
          <w:p w14:paraId="3011C6EB"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383</w:t>
            </w:r>
          </w:p>
        </w:tc>
        <w:tc>
          <w:tcPr>
            <w:tcW w:w="900" w:type="dxa"/>
            <w:tcBorders>
              <w:top w:val="nil"/>
              <w:left w:val="nil"/>
              <w:bottom w:val="single" w:sz="4" w:space="0" w:color="auto"/>
              <w:right w:val="single" w:sz="4" w:space="0" w:color="auto"/>
            </w:tcBorders>
            <w:shd w:val="clear" w:color="auto" w:fill="auto"/>
            <w:noWrap/>
            <w:vAlign w:val="bottom"/>
            <w:hideMark/>
          </w:tcPr>
          <w:p w14:paraId="3508EA28"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435</w:t>
            </w:r>
          </w:p>
        </w:tc>
        <w:tc>
          <w:tcPr>
            <w:tcW w:w="900" w:type="dxa"/>
            <w:tcBorders>
              <w:top w:val="nil"/>
              <w:left w:val="nil"/>
              <w:bottom w:val="single" w:sz="4" w:space="0" w:color="auto"/>
              <w:right w:val="single" w:sz="4" w:space="0" w:color="auto"/>
            </w:tcBorders>
            <w:shd w:val="clear" w:color="auto" w:fill="auto"/>
            <w:noWrap/>
            <w:vAlign w:val="bottom"/>
            <w:hideMark/>
          </w:tcPr>
          <w:p w14:paraId="320BD0A1"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212</w:t>
            </w:r>
          </w:p>
        </w:tc>
        <w:tc>
          <w:tcPr>
            <w:tcW w:w="900" w:type="dxa"/>
            <w:tcBorders>
              <w:top w:val="nil"/>
              <w:left w:val="nil"/>
              <w:bottom w:val="single" w:sz="4" w:space="0" w:color="auto"/>
              <w:right w:val="single" w:sz="8" w:space="0" w:color="auto"/>
            </w:tcBorders>
            <w:shd w:val="clear" w:color="auto" w:fill="auto"/>
            <w:noWrap/>
            <w:vAlign w:val="bottom"/>
            <w:hideMark/>
          </w:tcPr>
          <w:p w14:paraId="0A4F9100"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158</w:t>
            </w:r>
          </w:p>
        </w:tc>
      </w:tr>
      <w:tr w:rsidR="00076968" w:rsidRPr="00076968" w14:paraId="42478742" w14:textId="77777777" w:rsidTr="00076968">
        <w:trPr>
          <w:trHeight w:val="300"/>
          <w:jc w:val="center"/>
        </w:trPr>
        <w:tc>
          <w:tcPr>
            <w:tcW w:w="1020" w:type="dxa"/>
            <w:tcBorders>
              <w:top w:val="nil"/>
              <w:left w:val="single" w:sz="8" w:space="0" w:color="auto"/>
              <w:bottom w:val="single" w:sz="4" w:space="0" w:color="auto"/>
              <w:right w:val="single" w:sz="4" w:space="0" w:color="auto"/>
            </w:tcBorders>
            <w:shd w:val="clear" w:color="auto" w:fill="auto"/>
            <w:noWrap/>
            <w:vAlign w:val="bottom"/>
            <w:hideMark/>
          </w:tcPr>
          <w:p w14:paraId="568EFD18" w14:textId="77777777" w:rsidR="00076968" w:rsidRPr="00076968" w:rsidRDefault="00076968" w:rsidP="00076968">
            <w:pPr>
              <w:spacing w:line="240" w:lineRule="auto"/>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Gata1</w:t>
            </w:r>
          </w:p>
        </w:tc>
        <w:tc>
          <w:tcPr>
            <w:tcW w:w="990" w:type="dxa"/>
            <w:tcBorders>
              <w:top w:val="nil"/>
              <w:left w:val="nil"/>
              <w:bottom w:val="single" w:sz="4" w:space="0" w:color="auto"/>
              <w:right w:val="single" w:sz="4" w:space="0" w:color="auto"/>
            </w:tcBorders>
            <w:shd w:val="clear" w:color="auto" w:fill="auto"/>
            <w:noWrap/>
            <w:vAlign w:val="bottom"/>
            <w:hideMark/>
          </w:tcPr>
          <w:p w14:paraId="46907149"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1</w:t>
            </w:r>
          </w:p>
        </w:tc>
        <w:tc>
          <w:tcPr>
            <w:tcW w:w="990" w:type="dxa"/>
            <w:tcBorders>
              <w:top w:val="nil"/>
              <w:left w:val="nil"/>
              <w:bottom w:val="single" w:sz="4" w:space="0" w:color="auto"/>
              <w:right w:val="single" w:sz="4" w:space="0" w:color="auto"/>
            </w:tcBorders>
            <w:shd w:val="clear" w:color="auto" w:fill="auto"/>
            <w:noWrap/>
            <w:vAlign w:val="bottom"/>
            <w:hideMark/>
          </w:tcPr>
          <w:p w14:paraId="2E56E91E"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368</w:t>
            </w:r>
          </w:p>
        </w:tc>
        <w:tc>
          <w:tcPr>
            <w:tcW w:w="900" w:type="dxa"/>
            <w:tcBorders>
              <w:top w:val="nil"/>
              <w:left w:val="nil"/>
              <w:bottom w:val="single" w:sz="4" w:space="0" w:color="auto"/>
              <w:right w:val="single" w:sz="4" w:space="0" w:color="auto"/>
            </w:tcBorders>
            <w:shd w:val="clear" w:color="auto" w:fill="auto"/>
            <w:noWrap/>
            <w:vAlign w:val="bottom"/>
            <w:hideMark/>
          </w:tcPr>
          <w:p w14:paraId="5739F771"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48</w:t>
            </w:r>
          </w:p>
        </w:tc>
        <w:tc>
          <w:tcPr>
            <w:tcW w:w="900" w:type="dxa"/>
            <w:tcBorders>
              <w:top w:val="nil"/>
              <w:left w:val="nil"/>
              <w:bottom w:val="single" w:sz="4" w:space="0" w:color="auto"/>
              <w:right w:val="single" w:sz="4" w:space="0" w:color="auto"/>
            </w:tcBorders>
            <w:shd w:val="clear" w:color="auto" w:fill="auto"/>
            <w:noWrap/>
            <w:vAlign w:val="bottom"/>
            <w:hideMark/>
          </w:tcPr>
          <w:p w14:paraId="65D69832"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76</w:t>
            </w:r>
          </w:p>
        </w:tc>
        <w:tc>
          <w:tcPr>
            <w:tcW w:w="900" w:type="dxa"/>
            <w:tcBorders>
              <w:top w:val="nil"/>
              <w:left w:val="nil"/>
              <w:bottom w:val="single" w:sz="4" w:space="0" w:color="auto"/>
              <w:right w:val="single" w:sz="8" w:space="0" w:color="auto"/>
            </w:tcBorders>
            <w:shd w:val="clear" w:color="auto" w:fill="auto"/>
            <w:noWrap/>
            <w:vAlign w:val="bottom"/>
            <w:hideMark/>
          </w:tcPr>
          <w:p w14:paraId="74999073"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35</w:t>
            </w:r>
          </w:p>
        </w:tc>
      </w:tr>
      <w:tr w:rsidR="00076968" w:rsidRPr="00076968" w14:paraId="15A58FD8" w14:textId="77777777" w:rsidTr="00076968">
        <w:trPr>
          <w:trHeight w:val="300"/>
          <w:jc w:val="center"/>
        </w:trPr>
        <w:tc>
          <w:tcPr>
            <w:tcW w:w="1020" w:type="dxa"/>
            <w:tcBorders>
              <w:top w:val="nil"/>
              <w:left w:val="single" w:sz="8" w:space="0" w:color="auto"/>
              <w:bottom w:val="single" w:sz="4" w:space="0" w:color="auto"/>
              <w:right w:val="single" w:sz="4" w:space="0" w:color="auto"/>
            </w:tcBorders>
            <w:shd w:val="clear" w:color="auto" w:fill="auto"/>
            <w:noWrap/>
            <w:vAlign w:val="bottom"/>
            <w:hideMark/>
          </w:tcPr>
          <w:p w14:paraId="4D1CD601" w14:textId="77777777" w:rsidR="00076968" w:rsidRPr="00076968" w:rsidRDefault="00076968" w:rsidP="00076968">
            <w:pPr>
              <w:spacing w:line="240" w:lineRule="auto"/>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Gfi1</w:t>
            </w:r>
          </w:p>
        </w:tc>
        <w:tc>
          <w:tcPr>
            <w:tcW w:w="990" w:type="dxa"/>
            <w:tcBorders>
              <w:top w:val="nil"/>
              <w:left w:val="nil"/>
              <w:bottom w:val="single" w:sz="4" w:space="0" w:color="auto"/>
              <w:right w:val="single" w:sz="4" w:space="0" w:color="auto"/>
            </w:tcBorders>
            <w:shd w:val="clear" w:color="auto" w:fill="auto"/>
            <w:noWrap/>
            <w:vAlign w:val="bottom"/>
            <w:hideMark/>
          </w:tcPr>
          <w:p w14:paraId="664AB4D6"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5</w:t>
            </w:r>
          </w:p>
        </w:tc>
        <w:tc>
          <w:tcPr>
            <w:tcW w:w="990" w:type="dxa"/>
            <w:tcBorders>
              <w:top w:val="nil"/>
              <w:left w:val="nil"/>
              <w:bottom w:val="single" w:sz="4" w:space="0" w:color="auto"/>
              <w:right w:val="single" w:sz="4" w:space="0" w:color="auto"/>
            </w:tcBorders>
            <w:shd w:val="clear" w:color="auto" w:fill="auto"/>
            <w:noWrap/>
            <w:vAlign w:val="bottom"/>
            <w:hideMark/>
          </w:tcPr>
          <w:p w14:paraId="5B0852BA"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18</w:t>
            </w:r>
          </w:p>
        </w:tc>
        <w:tc>
          <w:tcPr>
            <w:tcW w:w="900" w:type="dxa"/>
            <w:tcBorders>
              <w:top w:val="nil"/>
              <w:left w:val="nil"/>
              <w:bottom w:val="single" w:sz="4" w:space="0" w:color="auto"/>
              <w:right w:val="single" w:sz="4" w:space="0" w:color="auto"/>
            </w:tcBorders>
            <w:shd w:val="clear" w:color="auto" w:fill="auto"/>
            <w:noWrap/>
            <w:vAlign w:val="bottom"/>
            <w:hideMark/>
          </w:tcPr>
          <w:p w14:paraId="695A935E"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59</w:t>
            </w:r>
          </w:p>
        </w:tc>
        <w:tc>
          <w:tcPr>
            <w:tcW w:w="900" w:type="dxa"/>
            <w:tcBorders>
              <w:top w:val="nil"/>
              <w:left w:val="nil"/>
              <w:bottom w:val="single" w:sz="4" w:space="0" w:color="auto"/>
              <w:right w:val="single" w:sz="4" w:space="0" w:color="auto"/>
            </w:tcBorders>
            <w:shd w:val="clear" w:color="auto" w:fill="auto"/>
            <w:noWrap/>
            <w:vAlign w:val="bottom"/>
            <w:hideMark/>
          </w:tcPr>
          <w:p w14:paraId="52D46945"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70</w:t>
            </w:r>
          </w:p>
        </w:tc>
        <w:tc>
          <w:tcPr>
            <w:tcW w:w="900" w:type="dxa"/>
            <w:tcBorders>
              <w:top w:val="nil"/>
              <w:left w:val="nil"/>
              <w:bottom w:val="single" w:sz="4" w:space="0" w:color="auto"/>
              <w:right w:val="single" w:sz="8" w:space="0" w:color="auto"/>
            </w:tcBorders>
            <w:shd w:val="clear" w:color="auto" w:fill="auto"/>
            <w:noWrap/>
            <w:vAlign w:val="bottom"/>
            <w:hideMark/>
          </w:tcPr>
          <w:p w14:paraId="39D75A07"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26</w:t>
            </w:r>
          </w:p>
        </w:tc>
      </w:tr>
      <w:tr w:rsidR="00076968" w:rsidRPr="00076968" w14:paraId="3090EA36" w14:textId="77777777" w:rsidTr="00076968">
        <w:trPr>
          <w:trHeight w:val="300"/>
          <w:jc w:val="center"/>
        </w:trPr>
        <w:tc>
          <w:tcPr>
            <w:tcW w:w="1020" w:type="dxa"/>
            <w:tcBorders>
              <w:top w:val="nil"/>
              <w:left w:val="single" w:sz="8" w:space="0" w:color="auto"/>
              <w:bottom w:val="single" w:sz="4" w:space="0" w:color="auto"/>
              <w:right w:val="single" w:sz="4" w:space="0" w:color="auto"/>
            </w:tcBorders>
            <w:shd w:val="clear" w:color="auto" w:fill="auto"/>
            <w:noWrap/>
            <w:vAlign w:val="bottom"/>
            <w:hideMark/>
          </w:tcPr>
          <w:p w14:paraId="0B8C0805" w14:textId="77777777" w:rsidR="00076968" w:rsidRPr="00076968" w:rsidRDefault="00076968" w:rsidP="00076968">
            <w:pPr>
              <w:spacing w:line="240" w:lineRule="auto"/>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Gfi1b</w:t>
            </w:r>
          </w:p>
        </w:tc>
        <w:tc>
          <w:tcPr>
            <w:tcW w:w="990" w:type="dxa"/>
            <w:tcBorders>
              <w:top w:val="nil"/>
              <w:left w:val="nil"/>
              <w:bottom w:val="single" w:sz="4" w:space="0" w:color="auto"/>
              <w:right w:val="single" w:sz="4" w:space="0" w:color="auto"/>
            </w:tcBorders>
            <w:shd w:val="clear" w:color="auto" w:fill="auto"/>
            <w:noWrap/>
            <w:vAlign w:val="bottom"/>
            <w:hideMark/>
          </w:tcPr>
          <w:p w14:paraId="161C6449"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15</w:t>
            </w:r>
          </w:p>
        </w:tc>
        <w:tc>
          <w:tcPr>
            <w:tcW w:w="990" w:type="dxa"/>
            <w:tcBorders>
              <w:top w:val="nil"/>
              <w:left w:val="nil"/>
              <w:bottom w:val="single" w:sz="4" w:space="0" w:color="auto"/>
              <w:right w:val="single" w:sz="4" w:space="0" w:color="auto"/>
            </w:tcBorders>
            <w:shd w:val="clear" w:color="auto" w:fill="auto"/>
            <w:noWrap/>
            <w:vAlign w:val="bottom"/>
            <w:hideMark/>
          </w:tcPr>
          <w:p w14:paraId="5A400E66"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379</w:t>
            </w:r>
          </w:p>
        </w:tc>
        <w:tc>
          <w:tcPr>
            <w:tcW w:w="900" w:type="dxa"/>
            <w:tcBorders>
              <w:top w:val="nil"/>
              <w:left w:val="nil"/>
              <w:bottom w:val="single" w:sz="4" w:space="0" w:color="auto"/>
              <w:right w:val="single" w:sz="4" w:space="0" w:color="auto"/>
            </w:tcBorders>
            <w:shd w:val="clear" w:color="auto" w:fill="auto"/>
            <w:noWrap/>
            <w:vAlign w:val="bottom"/>
            <w:hideMark/>
          </w:tcPr>
          <w:p w14:paraId="66753CA3"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128</w:t>
            </w:r>
          </w:p>
        </w:tc>
        <w:tc>
          <w:tcPr>
            <w:tcW w:w="900" w:type="dxa"/>
            <w:tcBorders>
              <w:top w:val="nil"/>
              <w:left w:val="nil"/>
              <w:bottom w:val="single" w:sz="4" w:space="0" w:color="auto"/>
              <w:right w:val="single" w:sz="4" w:space="0" w:color="auto"/>
            </w:tcBorders>
            <w:shd w:val="clear" w:color="auto" w:fill="auto"/>
            <w:noWrap/>
            <w:vAlign w:val="bottom"/>
            <w:hideMark/>
          </w:tcPr>
          <w:p w14:paraId="3AA43466"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104</w:t>
            </w:r>
          </w:p>
        </w:tc>
        <w:tc>
          <w:tcPr>
            <w:tcW w:w="900" w:type="dxa"/>
            <w:tcBorders>
              <w:top w:val="nil"/>
              <w:left w:val="nil"/>
              <w:bottom w:val="single" w:sz="4" w:space="0" w:color="auto"/>
              <w:right w:val="single" w:sz="8" w:space="0" w:color="auto"/>
            </w:tcBorders>
            <w:shd w:val="clear" w:color="auto" w:fill="auto"/>
            <w:noWrap/>
            <w:vAlign w:val="bottom"/>
            <w:hideMark/>
          </w:tcPr>
          <w:p w14:paraId="487AF835"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52</w:t>
            </w:r>
          </w:p>
        </w:tc>
      </w:tr>
      <w:tr w:rsidR="00076968" w:rsidRPr="00076968" w14:paraId="4C702E48" w14:textId="77777777" w:rsidTr="00076968">
        <w:trPr>
          <w:trHeight w:val="300"/>
          <w:jc w:val="center"/>
        </w:trPr>
        <w:tc>
          <w:tcPr>
            <w:tcW w:w="1020" w:type="dxa"/>
            <w:tcBorders>
              <w:top w:val="nil"/>
              <w:left w:val="single" w:sz="8" w:space="0" w:color="auto"/>
              <w:bottom w:val="single" w:sz="4" w:space="0" w:color="auto"/>
              <w:right w:val="single" w:sz="4" w:space="0" w:color="auto"/>
            </w:tcBorders>
            <w:shd w:val="clear" w:color="auto" w:fill="auto"/>
            <w:noWrap/>
            <w:vAlign w:val="bottom"/>
            <w:hideMark/>
          </w:tcPr>
          <w:p w14:paraId="4275F51B" w14:textId="77777777" w:rsidR="00076968" w:rsidRPr="00076968" w:rsidRDefault="00076968" w:rsidP="00076968">
            <w:pPr>
              <w:spacing w:line="240" w:lineRule="auto"/>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Hhex</w:t>
            </w:r>
          </w:p>
        </w:tc>
        <w:tc>
          <w:tcPr>
            <w:tcW w:w="990" w:type="dxa"/>
            <w:tcBorders>
              <w:top w:val="nil"/>
              <w:left w:val="nil"/>
              <w:bottom w:val="single" w:sz="4" w:space="0" w:color="auto"/>
              <w:right w:val="single" w:sz="4" w:space="0" w:color="auto"/>
            </w:tcBorders>
            <w:shd w:val="clear" w:color="auto" w:fill="auto"/>
            <w:noWrap/>
            <w:vAlign w:val="bottom"/>
            <w:hideMark/>
          </w:tcPr>
          <w:p w14:paraId="4248DE55"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244</w:t>
            </w:r>
          </w:p>
        </w:tc>
        <w:tc>
          <w:tcPr>
            <w:tcW w:w="990" w:type="dxa"/>
            <w:tcBorders>
              <w:top w:val="nil"/>
              <w:left w:val="nil"/>
              <w:bottom w:val="single" w:sz="4" w:space="0" w:color="auto"/>
              <w:right w:val="single" w:sz="4" w:space="0" w:color="auto"/>
            </w:tcBorders>
            <w:shd w:val="clear" w:color="auto" w:fill="auto"/>
            <w:noWrap/>
            <w:vAlign w:val="bottom"/>
            <w:hideMark/>
          </w:tcPr>
          <w:p w14:paraId="00862E56"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177</w:t>
            </w:r>
          </w:p>
        </w:tc>
        <w:tc>
          <w:tcPr>
            <w:tcW w:w="900" w:type="dxa"/>
            <w:tcBorders>
              <w:top w:val="nil"/>
              <w:left w:val="nil"/>
              <w:bottom w:val="single" w:sz="4" w:space="0" w:color="auto"/>
              <w:right w:val="single" w:sz="4" w:space="0" w:color="auto"/>
            </w:tcBorders>
            <w:shd w:val="clear" w:color="auto" w:fill="auto"/>
            <w:noWrap/>
            <w:vAlign w:val="bottom"/>
            <w:hideMark/>
          </w:tcPr>
          <w:p w14:paraId="36AC4959"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416</w:t>
            </w:r>
          </w:p>
        </w:tc>
        <w:tc>
          <w:tcPr>
            <w:tcW w:w="900" w:type="dxa"/>
            <w:tcBorders>
              <w:top w:val="nil"/>
              <w:left w:val="nil"/>
              <w:bottom w:val="single" w:sz="4" w:space="0" w:color="auto"/>
              <w:right w:val="single" w:sz="4" w:space="0" w:color="auto"/>
            </w:tcBorders>
            <w:shd w:val="clear" w:color="auto" w:fill="auto"/>
            <w:noWrap/>
            <w:vAlign w:val="bottom"/>
            <w:hideMark/>
          </w:tcPr>
          <w:p w14:paraId="0A86A657"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192</w:t>
            </w:r>
          </w:p>
        </w:tc>
        <w:tc>
          <w:tcPr>
            <w:tcW w:w="900" w:type="dxa"/>
            <w:tcBorders>
              <w:top w:val="nil"/>
              <w:left w:val="nil"/>
              <w:bottom w:val="single" w:sz="4" w:space="0" w:color="auto"/>
              <w:right w:val="single" w:sz="8" w:space="0" w:color="auto"/>
            </w:tcBorders>
            <w:shd w:val="clear" w:color="auto" w:fill="auto"/>
            <w:noWrap/>
            <w:vAlign w:val="bottom"/>
            <w:hideMark/>
          </w:tcPr>
          <w:p w14:paraId="6AA80FB9"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122</w:t>
            </w:r>
          </w:p>
        </w:tc>
      </w:tr>
      <w:tr w:rsidR="00076968" w:rsidRPr="00076968" w14:paraId="16E01C40" w14:textId="77777777" w:rsidTr="00076968">
        <w:trPr>
          <w:trHeight w:val="300"/>
          <w:jc w:val="center"/>
        </w:trPr>
        <w:tc>
          <w:tcPr>
            <w:tcW w:w="1020" w:type="dxa"/>
            <w:tcBorders>
              <w:top w:val="nil"/>
              <w:left w:val="single" w:sz="8" w:space="0" w:color="auto"/>
              <w:bottom w:val="single" w:sz="4" w:space="0" w:color="auto"/>
              <w:right w:val="single" w:sz="4" w:space="0" w:color="auto"/>
            </w:tcBorders>
            <w:shd w:val="clear" w:color="auto" w:fill="auto"/>
            <w:noWrap/>
            <w:vAlign w:val="bottom"/>
            <w:hideMark/>
          </w:tcPr>
          <w:p w14:paraId="06AC6696" w14:textId="77777777" w:rsidR="00076968" w:rsidRPr="00076968" w:rsidRDefault="00076968" w:rsidP="00076968">
            <w:pPr>
              <w:spacing w:line="240" w:lineRule="auto"/>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HoxB2</w:t>
            </w:r>
          </w:p>
        </w:tc>
        <w:tc>
          <w:tcPr>
            <w:tcW w:w="990" w:type="dxa"/>
            <w:tcBorders>
              <w:top w:val="nil"/>
              <w:left w:val="nil"/>
              <w:bottom w:val="single" w:sz="4" w:space="0" w:color="auto"/>
              <w:right w:val="single" w:sz="4" w:space="0" w:color="auto"/>
            </w:tcBorders>
            <w:shd w:val="clear" w:color="auto" w:fill="auto"/>
            <w:noWrap/>
            <w:vAlign w:val="bottom"/>
            <w:hideMark/>
          </w:tcPr>
          <w:p w14:paraId="1EE84796"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1</w:t>
            </w:r>
          </w:p>
        </w:tc>
        <w:tc>
          <w:tcPr>
            <w:tcW w:w="990" w:type="dxa"/>
            <w:tcBorders>
              <w:top w:val="nil"/>
              <w:left w:val="nil"/>
              <w:bottom w:val="single" w:sz="4" w:space="0" w:color="auto"/>
              <w:right w:val="single" w:sz="4" w:space="0" w:color="auto"/>
            </w:tcBorders>
            <w:shd w:val="clear" w:color="auto" w:fill="auto"/>
            <w:noWrap/>
            <w:vAlign w:val="bottom"/>
            <w:hideMark/>
          </w:tcPr>
          <w:p w14:paraId="500EF6B8"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0</w:t>
            </w:r>
          </w:p>
        </w:tc>
        <w:tc>
          <w:tcPr>
            <w:tcW w:w="900" w:type="dxa"/>
            <w:tcBorders>
              <w:top w:val="nil"/>
              <w:left w:val="nil"/>
              <w:bottom w:val="single" w:sz="4" w:space="0" w:color="auto"/>
              <w:right w:val="single" w:sz="4" w:space="0" w:color="auto"/>
            </w:tcBorders>
            <w:shd w:val="clear" w:color="auto" w:fill="auto"/>
            <w:noWrap/>
            <w:vAlign w:val="bottom"/>
            <w:hideMark/>
          </w:tcPr>
          <w:p w14:paraId="691BD7A5"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0</w:t>
            </w:r>
          </w:p>
        </w:tc>
        <w:tc>
          <w:tcPr>
            <w:tcW w:w="900" w:type="dxa"/>
            <w:tcBorders>
              <w:top w:val="nil"/>
              <w:left w:val="nil"/>
              <w:bottom w:val="single" w:sz="4" w:space="0" w:color="auto"/>
              <w:right w:val="single" w:sz="4" w:space="0" w:color="auto"/>
            </w:tcBorders>
            <w:shd w:val="clear" w:color="auto" w:fill="auto"/>
            <w:noWrap/>
            <w:vAlign w:val="bottom"/>
            <w:hideMark/>
          </w:tcPr>
          <w:p w14:paraId="6C2CB6DF"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0</w:t>
            </w:r>
          </w:p>
        </w:tc>
        <w:tc>
          <w:tcPr>
            <w:tcW w:w="900" w:type="dxa"/>
            <w:tcBorders>
              <w:top w:val="nil"/>
              <w:left w:val="nil"/>
              <w:bottom w:val="single" w:sz="4" w:space="0" w:color="auto"/>
              <w:right w:val="single" w:sz="8" w:space="0" w:color="auto"/>
            </w:tcBorders>
            <w:shd w:val="clear" w:color="auto" w:fill="auto"/>
            <w:noWrap/>
            <w:vAlign w:val="bottom"/>
            <w:hideMark/>
          </w:tcPr>
          <w:p w14:paraId="0A70725D"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0</w:t>
            </w:r>
          </w:p>
        </w:tc>
      </w:tr>
      <w:tr w:rsidR="00076968" w:rsidRPr="00076968" w14:paraId="4D6E736A" w14:textId="77777777" w:rsidTr="00076968">
        <w:trPr>
          <w:trHeight w:val="300"/>
          <w:jc w:val="center"/>
        </w:trPr>
        <w:tc>
          <w:tcPr>
            <w:tcW w:w="1020" w:type="dxa"/>
            <w:tcBorders>
              <w:top w:val="nil"/>
              <w:left w:val="single" w:sz="8" w:space="0" w:color="auto"/>
              <w:bottom w:val="single" w:sz="4" w:space="0" w:color="auto"/>
              <w:right w:val="single" w:sz="4" w:space="0" w:color="auto"/>
            </w:tcBorders>
            <w:shd w:val="clear" w:color="auto" w:fill="auto"/>
            <w:noWrap/>
            <w:vAlign w:val="bottom"/>
            <w:hideMark/>
          </w:tcPr>
          <w:p w14:paraId="2EA87B26" w14:textId="77777777" w:rsidR="00076968" w:rsidRPr="00076968" w:rsidRDefault="00076968" w:rsidP="00076968">
            <w:pPr>
              <w:spacing w:line="240" w:lineRule="auto"/>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HoxB4</w:t>
            </w:r>
          </w:p>
        </w:tc>
        <w:tc>
          <w:tcPr>
            <w:tcW w:w="990" w:type="dxa"/>
            <w:tcBorders>
              <w:top w:val="nil"/>
              <w:left w:val="nil"/>
              <w:bottom w:val="single" w:sz="4" w:space="0" w:color="auto"/>
              <w:right w:val="single" w:sz="4" w:space="0" w:color="auto"/>
            </w:tcBorders>
            <w:shd w:val="clear" w:color="auto" w:fill="auto"/>
            <w:noWrap/>
            <w:vAlign w:val="bottom"/>
            <w:hideMark/>
          </w:tcPr>
          <w:p w14:paraId="1089279D"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160</w:t>
            </w:r>
          </w:p>
        </w:tc>
        <w:tc>
          <w:tcPr>
            <w:tcW w:w="990" w:type="dxa"/>
            <w:tcBorders>
              <w:top w:val="nil"/>
              <w:left w:val="nil"/>
              <w:bottom w:val="single" w:sz="4" w:space="0" w:color="auto"/>
              <w:right w:val="single" w:sz="4" w:space="0" w:color="auto"/>
            </w:tcBorders>
            <w:shd w:val="clear" w:color="auto" w:fill="auto"/>
            <w:noWrap/>
            <w:vAlign w:val="bottom"/>
            <w:hideMark/>
          </w:tcPr>
          <w:p w14:paraId="78C17E75"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10</w:t>
            </w:r>
          </w:p>
        </w:tc>
        <w:tc>
          <w:tcPr>
            <w:tcW w:w="900" w:type="dxa"/>
            <w:tcBorders>
              <w:top w:val="nil"/>
              <w:left w:val="nil"/>
              <w:bottom w:val="single" w:sz="4" w:space="0" w:color="auto"/>
              <w:right w:val="single" w:sz="4" w:space="0" w:color="auto"/>
            </w:tcBorders>
            <w:shd w:val="clear" w:color="auto" w:fill="auto"/>
            <w:noWrap/>
            <w:vAlign w:val="bottom"/>
            <w:hideMark/>
          </w:tcPr>
          <w:p w14:paraId="321D5933"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297</w:t>
            </w:r>
          </w:p>
        </w:tc>
        <w:tc>
          <w:tcPr>
            <w:tcW w:w="900" w:type="dxa"/>
            <w:tcBorders>
              <w:top w:val="nil"/>
              <w:left w:val="nil"/>
              <w:bottom w:val="single" w:sz="4" w:space="0" w:color="auto"/>
              <w:right w:val="single" w:sz="4" w:space="0" w:color="auto"/>
            </w:tcBorders>
            <w:shd w:val="clear" w:color="auto" w:fill="auto"/>
            <w:noWrap/>
            <w:vAlign w:val="bottom"/>
            <w:hideMark/>
          </w:tcPr>
          <w:p w14:paraId="2AF3B566"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127</w:t>
            </w:r>
          </w:p>
        </w:tc>
        <w:tc>
          <w:tcPr>
            <w:tcW w:w="900" w:type="dxa"/>
            <w:tcBorders>
              <w:top w:val="nil"/>
              <w:left w:val="nil"/>
              <w:bottom w:val="single" w:sz="4" w:space="0" w:color="auto"/>
              <w:right w:val="single" w:sz="8" w:space="0" w:color="auto"/>
            </w:tcBorders>
            <w:shd w:val="clear" w:color="auto" w:fill="auto"/>
            <w:noWrap/>
            <w:vAlign w:val="bottom"/>
            <w:hideMark/>
          </w:tcPr>
          <w:p w14:paraId="6282C28D"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62</w:t>
            </w:r>
          </w:p>
        </w:tc>
      </w:tr>
      <w:tr w:rsidR="00076968" w:rsidRPr="00076968" w14:paraId="6EC6DB68" w14:textId="77777777" w:rsidTr="00076968">
        <w:trPr>
          <w:trHeight w:val="300"/>
          <w:jc w:val="center"/>
        </w:trPr>
        <w:tc>
          <w:tcPr>
            <w:tcW w:w="1020" w:type="dxa"/>
            <w:tcBorders>
              <w:top w:val="nil"/>
              <w:left w:val="single" w:sz="8" w:space="0" w:color="auto"/>
              <w:bottom w:val="single" w:sz="4" w:space="0" w:color="auto"/>
              <w:right w:val="single" w:sz="4" w:space="0" w:color="auto"/>
            </w:tcBorders>
            <w:shd w:val="clear" w:color="auto" w:fill="auto"/>
            <w:noWrap/>
            <w:vAlign w:val="bottom"/>
            <w:hideMark/>
          </w:tcPr>
          <w:p w14:paraId="214E7B55" w14:textId="77777777" w:rsidR="00076968" w:rsidRPr="00076968" w:rsidRDefault="00076968" w:rsidP="00076968">
            <w:pPr>
              <w:spacing w:line="240" w:lineRule="auto"/>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HoxD8</w:t>
            </w:r>
          </w:p>
        </w:tc>
        <w:tc>
          <w:tcPr>
            <w:tcW w:w="990" w:type="dxa"/>
            <w:tcBorders>
              <w:top w:val="nil"/>
              <w:left w:val="nil"/>
              <w:bottom w:val="single" w:sz="4" w:space="0" w:color="auto"/>
              <w:right w:val="single" w:sz="4" w:space="0" w:color="auto"/>
            </w:tcBorders>
            <w:shd w:val="clear" w:color="auto" w:fill="auto"/>
            <w:noWrap/>
            <w:vAlign w:val="bottom"/>
            <w:hideMark/>
          </w:tcPr>
          <w:p w14:paraId="5ADE2CD7"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0</w:t>
            </w:r>
          </w:p>
        </w:tc>
        <w:tc>
          <w:tcPr>
            <w:tcW w:w="990" w:type="dxa"/>
            <w:tcBorders>
              <w:top w:val="nil"/>
              <w:left w:val="nil"/>
              <w:bottom w:val="single" w:sz="4" w:space="0" w:color="auto"/>
              <w:right w:val="single" w:sz="4" w:space="0" w:color="auto"/>
            </w:tcBorders>
            <w:shd w:val="clear" w:color="auto" w:fill="auto"/>
            <w:noWrap/>
            <w:vAlign w:val="bottom"/>
            <w:hideMark/>
          </w:tcPr>
          <w:p w14:paraId="186B2074"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0</w:t>
            </w:r>
          </w:p>
        </w:tc>
        <w:tc>
          <w:tcPr>
            <w:tcW w:w="900" w:type="dxa"/>
            <w:tcBorders>
              <w:top w:val="nil"/>
              <w:left w:val="nil"/>
              <w:bottom w:val="single" w:sz="4" w:space="0" w:color="auto"/>
              <w:right w:val="single" w:sz="4" w:space="0" w:color="auto"/>
            </w:tcBorders>
            <w:shd w:val="clear" w:color="auto" w:fill="auto"/>
            <w:noWrap/>
            <w:vAlign w:val="bottom"/>
            <w:hideMark/>
          </w:tcPr>
          <w:p w14:paraId="60C8CEA4"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0</w:t>
            </w:r>
          </w:p>
        </w:tc>
        <w:tc>
          <w:tcPr>
            <w:tcW w:w="900" w:type="dxa"/>
            <w:tcBorders>
              <w:top w:val="nil"/>
              <w:left w:val="nil"/>
              <w:bottom w:val="single" w:sz="4" w:space="0" w:color="auto"/>
              <w:right w:val="single" w:sz="4" w:space="0" w:color="auto"/>
            </w:tcBorders>
            <w:shd w:val="clear" w:color="auto" w:fill="auto"/>
            <w:noWrap/>
            <w:vAlign w:val="bottom"/>
            <w:hideMark/>
          </w:tcPr>
          <w:p w14:paraId="12AC54E1"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0</w:t>
            </w:r>
          </w:p>
        </w:tc>
        <w:tc>
          <w:tcPr>
            <w:tcW w:w="900" w:type="dxa"/>
            <w:tcBorders>
              <w:top w:val="nil"/>
              <w:left w:val="nil"/>
              <w:bottom w:val="single" w:sz="4" w:space="0" w:color="auto"/>
              <w:right w:val="single" w:sz="8" w:space="0" w:color="auto"/>
            </w:tcBorders>
            <w:shd w:val="clear" w:color="auto" w:fill="auto"/>
            <w:noWrap/>
            <w:vAlign w:val="bottom"/>
            <w:hideMark/>
          </w:tcPr>
          <w:p w14:paraId="7840F368"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0</w:t>
            </w:r>
          </w:p>
        </w:tc>
      </w:tr>
      <w:tr w:rsidR="00076968" w:rsidRPr="00076968" w14:paraId="3EB8A5E9" w14:textId="77777777" w:rsidTr="00076968">
        <w:trPr>
          <w:trHeight w:val="300"/>
          <w:jc w:val="center"/>
        </w:trPr>
        <w:tc>
          <w:tcPr>
            <w:tcW w:w="1020" w:type="dxa"/>
            <w:tcBorders>
              <w:top w:val="nil"/>
              <w:left w:val="single" w:sz="8" w:space="0" w:color="auto"/>
              <w:bottom w:val="single" w:sz="4" w:space="0" w:color="auto"/>
              <w:right w:val="single" w:sz="4" w:space="0" w:color="auto"/>
            </w:tcBorders>
            <w:shd w:val="clear" w:color="auto" w:fill="auto"/>
            <w:noWrap/>
            <w:vAlign w:val="bottom"/>
            <w:hideMark/>
          </w:tcPr>
          <w:p w14:paraId="5DDC2415" w14:textId="77777777" w:rsidR="00076968" w:rsidRPr="00076968" w:rsidRDefault="00076968" w:rsidP="00076968">
            <w:pPr>
              <w:spacing w:line="240" w:lineRule="auto"/>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Ikaros</w:t>
            </w:r>
          </w:p>
        </w:tc>
        <w:tc>
          <w:tcPr>
            <w:tcW w:w="990" w:type="dxa"/>
            <w:tcBorders>
              <w:top w:val="nil"/>
              <w:left w:val="nil"/>
              <w:bottom w:val="single" w:sz="4" w:space="0" w:color="auto"/>
              <w:right w:val="single" w:sz="4" w:space="0" w:color="auto"/>
            </w:tcBorders>
            <w:shd w:val="clear" w:color="auto" w:fill="auto"/>
            <w:noWrap/>
            <w:vAlign w:val="bottom"/>
            <w:hideMark/>
          </w:tcPr>
          <w:p w14:paraId="61612AD8"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15</w:t>
            </w:r>
          </w:p>
        </w:tc>
        <w:tc>
          <w:tcPr>
            <w:tcW w:w="990" w:type="dxa"/>
            <w:tcBorders>
              <w:top w:val="nil"/>
              <w:left w:val="nil"/>
              <w:bottom w:val="single" w:sz="4" w:space="0" w:color="auto"/>
              <w:right w:val="single" w:sz="4" w:space="0" w:color="auto"/>
            </w:tcBorders>
            <w:shd w:val="clear" w:color="auto" w:fill="auto"/>
            <w:noWrap/>
            <w:vAlign w:val="bottom"/>
            <w:hideMark/>
          </w:tcPr>
          <w:p w14:paraId="67B58BEA"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379</w:t>
            </w:r>
          </w:p>
        </w:tc>
        <w:tc>
          <w:tcPr>
            <w:tcW w:w="900" w:type="dxa"/>
            <w:tcBorders>
              <w:top w:val="nil"/>
              <w:left w:val="nil"/>
              <w:bottom w:val="single" w:sz="4" w:space="0" w:color="auto"/>
              <w:right w:val="single" w:sz="4" w:space="0" w:color="auto"/>
            </w:tcBorders>
            <w:shd w:val="clear" w:color="auto" w:fill="auto"/>
            <w:noWrap/>
            <w:vAlign w:val="bottom"/>
            <w:hideMark/>
          </w:tcPr>
          <w:p w14:paraId="3AC57BFB"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208</w:t>
            </w:r>
          </w:p>
        </w:tc>
        <w:tc>
          <w:tcPr>
            <w:tcW w:w="900" w:type="dxa"/>
            <w:tcBorders>
              <w:top w:val="nil"/>
              <w:left w:val="nil"/>
              <w:bottom w:val="single" w:sz="4" w:space="0" w:color="auto"/>
              <w:right w:val="single" w:sz="4" w:space="0" w:color="auto"/>
            </w:tcBorders>
            <w:shd w:val="clear" w:color="auto" w:fill="auto"/>
            <w:noWrap/>
            <w:vAlign w:val="bottom"/>
            <w:hideMark/>
          </w:tcPr>
          <w:p w14:paraId="45321C35"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151</w:t>
            </w:r>
          </w:p>
        </w:tc>
        <w:tc>
          <w:tcPr>
            <w:tcW w:w="900" w:type="dxa"/>
            <w:tcBorders>
              <w:top w:val="nil"/>
              <w:left w:val="nil"/>
              <w:bottom w:val="single" w:sz="4" w:space="0" w:color="auto"/>
              <w:right w:val="single" w:sz="8" w:space="0" w:color="auto"/>
            </w:tcBorders>
            <w:shd w:val="clear" w:color="auto" w:fill="auto"/>
            <w:noWrap/>
            <w:vAlign w:val="bottom"/>
            <w:hideMark/>
          </w:tcPr>
          <w:p w14:paraId="2E70F6CB"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74</w:t>
            </w:r>
          </w:p>
        </w:tc>
      </w:tr>
      <w:tr w:rsidR="00076968" w:rsidRPr="00076968" w14:paraId="6176D353" w14:textId="77777777" w:rsidTr="00076968">
        <w:trPr>
          <w:trHeight w:val="300"/>
          <w:jc w:val="center"/>
        </w:trPr>
        <w:tc>
          <w:tcPr>
            <w:tcW w:w="1020" w:type="dxa"/>
            <w:tcBorders>
              <w:top w:val="nil"/>
              <w:left w:val="single" w:sz="8" w:space="0" w:color="auto"/>
              <w:bottom w:val="single" w:sz="4" w:space="0" w:color="auto"/>
              <w:right w:val="single" w:sz="4" w:space="0" w:color="auto"/>
            </w:tcBorders>
            <w:shd w:val="clear" w:color="auto" w:fill="auto"/>
            <w:noWrap/>
            <w:vAlign w:val="bottom"/>
            <w:hideMark/>
          </w:tcPr>
          <w:p w14:paraId="4CC19F28" w14:textId="77777777" w:rsidR="00076968" w:rsidRPr="00076968" w:rsidRDefault="00076968" w:rsidP="00076968">
            <w:pPr>
              <w:spacing w:line="240" w:lineRule="auto"/>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Ldb1</w:t>
            </w:r>
          </w:p>
        </w:tc>
        <w:tc>
          <w:tcPr>
            <w:tcW w:w="990" w:type="dxa"/>
            <w:tcBorders>
              <w:top w:val="nil"/>
              <w:left w:val="nil"/>
              <w:bottom w:val="single" w:sz="4" w:space="0" w:color="auto"/>
              <w:right w:val="single" w:sz="4" w:space="0" w:color="auto"/>
            </w:tcBorders>
            <w:shd w:val="clear" w:color="auto" w:fill="auto"/>
            <w:noWrap/>
            <w:vAlign w:val="bottom"/>
            <w:hideMark/>
          </w:tcPr>
          <w:p w14:paraId="3B038E42"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253</w:t>
            </w:r>
          </w:p>
        </w:tc>
        <w:tc>
          <w:tcPr>
            <w:tcW w:w="990" w:type="dxa"/>
            <w:tcBorders>
              <w:top w:val="nil"/>
              <w:left w:val="nil"/>
              <w:bottom w:val="single" w:sz="4" w:space="0" w:color="auto"/>
              <w:right w:val="single" w:sz="4" w:space="0" w:color="auto"/>
            </w:tcBorders>
            <w:shd w:val="clear" w:color="auto" w:fill="auto"/>
            <w:noWrap/>
            <w:vAlign w:val="bottom"/>
            <w:hideMark/>
          </w:tcPr>
          <w:p w14:paraId="127553D2"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379</w:t>
            </w:r>
          </w:p>
        </w:tc>
        <w:tc>
          <w:tcPr>
            <w:tcW w:w="900" w:type="dxa"/>
            <w:tcBorders>
              <w:top w:val="nil"/>
              <w:left w:val="nil"/>
              <w:bottom w:val="single" w:sz="4" w:space="0" w:color="auto"/>
              <w:right w:val="single" w:sz="4" w:space="0" w:color="auto"/>
            </w:tcBorders>
            <w:shd w:val="clear" w:color="auto" w:fill="auto"/>
            <w:noWrap/>
            <w:vAlign w:val="bottom"/>
            <w:hideMark/>
          </w:tcPr>
          <w:p w14:paraId="3A1D4A99"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432</w:t>
            </w:r>
          </w:p>
        </w:tc>
        <w:tc>
          <w:tcPr>
            <w:tcW w:w="900" w:type="dxa"/>
            <w:tcBorders>
              <w:top w:val="nil"/>
              <w:left w:val="nil"/>
              <w:bottom w:val="single" w:sz="4" w:space="0" w:color="auto"/>
              <w:right w:val="single" w:sz="4" w:space="0" w:color="auto"/>
            </w:tcBorders>
            <w:shd w:val="clear" w:color="auto" w:fill="auto"/>
            <w:noWrap/>
            <w:vAlign w:val="bottom"/>
            <w:hideMark/>
          </w:tcPr>
          <w:p w14:paraId="10C3A8FA"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211</w:t>
            </w:r>
          </w:p>
        </w:tc>
        <w:tc>
          <w:tcPr>
            <w:tcW w:w="900" w:type="dxa"/>
            <w:tcBorders>
              <w:top w:val="nil"/>
              <w:left w:val="nil"/>
              <w:bottom w:val="single" w:sz="4" w:space="0" w:color="auto"/>
              <w:right w:val="single" w:sz="8" w:space="0" w:color="auto"/>
            </w:tcBorders>
            <w:shd w:val="clear" w:color="auto" w:fill="auto"/>
            <w:noWrap/>
            <w:vAlign w:val="bottom"/>
            <w:hideMark/>
          </w:tcPr>
          <w:p w14:paraId="3D3626AF"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158</w:t>
            </w:r>
          </w:p>
        </w:tc>
      </w:tr>
      <w:tr w:rsidR="00076968" w:rsidRPr="00076968" w14:paraId="0606AD53" w14:textId="77777777" w:rsidTr="00076968">
        <w:trPr>
          <w:trHeight w:val="300"/>
          <w:jc w:val="center"/>
        </w:trPr>
        <w:tc>
          <w:tcPr>
            <w:tcW w:w="1020" w:type="dxa"/>
            <w:tcBorders>
              <w:top w:val="nil"/>
              <w:left w:val="single" w:sz="8" w:space="0" w:color="auto"/>
              <w:bottom w:val="single" w:sz="4" w:space="0" w:color="auto"/>
              <w:right w:val="single" w:sz="4" w:space="0" w:color="auto"/>
            </w:tcBorders>
            <w:shd w:val="clear" w:color="auto" w:fill="auto"/>
            <w:noWrap/>
            <w:vAlign w:val="bottom"/>
            <w:hideMark/>
          </w:tcPr>
          <w:p w14:paraId="2696097F" w14:textId="77777777" w:rsidR="00076968" w:rsidRPr="00076968" w:rsidRDefault="00076968" w:rsidP="00076968">
            <w:pPr>
              <w:spacing w:line="240" w:lineRule="auto"/>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Lmo2</w:t>
            </w:r>
          </w:p>
        </w:tc>
        <w:tc>
          <w:tcPr>
            <w:tcW w:w="990" w:type="dxa"/>
            <w:tcBorders>
              <w:top w:val="nil"/>
              <w:left w:val="nil"/>
              <w:bottom w:val="single" w:sz="4" w:space="0" w:color="auto"/>
              <w:right w:val="single" w:sz="4" w:space="0" w:color="auto"/>
            </w:tcBorders>
            <w:shd w:val="clear" w:color="auto" w:fill="auto"/>
            <w:noWrap/>
            <w:vAlign w:val="bottom"/>
            <w:hideMark/>
          </w:tcPr>
          <w:p w14:paraId="64F707A7"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118</w:t>
            </w:r>
          </w:p>
        </w:tc>
        <w:tc>
          <w:tcPr>
            <w:tcW w:w="990" w:type="dxa"/>
            <w:tcBorders>
              <w:top w:val="nil"/>
              <w:left w:val="nil"/>
              <w:bottom w:val="single" w:sz="4" w:space="0" w:color="auto"/>
              <w:right w:val="single" w:sz="4" w:space="0" w:color="auto"/>
            </w:tcBorders>
            <w:shd w:val="clear" w:color="auto" w:fill="auto"/>
            <w:noWrap/>
            <w:vAlign w:val="bottom"/>
            <w:hideMark/>
          </w:tcPr>
          <w:p w14:paraId="73ED8C8C"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141</w:t>
            </w:r>
          </w:p>
        </w:tc>
        <w:tc>
          <w:tcPr>
            <w:tcW w:w="900" w:type="dxa"/>
            <w:tcBorders>
              <w:top w:val="nil"/>
              <w:left w:val="nil"/>
              <w:bottom w:val="single" w:sz="4" w:space="0" w:color="auto"/>
              <w:right w:val="single" w:sz="4" w:space="0" w:color="auto"/>
            </w:tcBorders>
            <w:shd w:val="clear" w:color="auto" w:fill="auto"/>
            <w:noWrap/>
            <w:vAlign w:val="bottom"/>
            <w:hideMark/>
          </w:tcPr>
          <w:p w14:paraId="7B35D2DD"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295</w:t>
            </w:r>
          </w:p>
        </w:tc>
        <w:tc>
          <w:tcPr>
            <w:tcW w:w="900" w:type="dxa"/>
            <w:tcBorders>
              <w:top w:val="nil"/>
              <w:left w:val="nil"/>
              <w:bottom w:val="single" w:sz="4" w:space="0" w:color="auto"/>
              <w:right w:val="single" w:sz="4" w:space="0" w:color="auto"/>
            </w:tcBorders>
            <w:shd w:val="clear" w:color="auto" w:fill="auto"/>
            <w:noWrap/>
            <w:vAlign w:val="bottom"/>
            <w:hideMark/>
          </w:tcPr>
          <w:p w14:paraId="5AE759CD"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149</w:t>
            </w:r>
          </w:p>
        </w:tc>
        <w:tc>
          <w:tcPr>
            <w:tcW w:w="900" w:type="dxa"/>
            <w:tcBorders>
              <w:top w:val="nil"/>
              <w:left w:val="nil"/>
              <w:bottom w:val="single" w:sz="4" w:space="0" w:color="auto"/>
              <w:right w:val="single" w:sz="8" w:space="0" w:color="auto"/>
            </w:tcBorders>
            <w:shd w:val="clear" w:color="auto" w:fill="auto"/>
            <w:noWrap/>
            <w:vAlign w:val="bottom"/>
            <w:hideMark/>
          </w:tcPr>
          <w:p w14:paraId="786CEE80"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93</w:t>
            </w:r>
          </w:p>
        </w:tc>
      </w:tr>
      <w:tr w:rsidR="00076968" w:rsidRPr="00076968" w14:paraId="41836AA3" w14:textId="77777777" w:rsidTr="00076968">
        <w:trPr>
          <w:trHeight w:val="300"/>
          <w:jc w:val="center"/>
        </w:trPr>
        <w:tc>
          <w:tcPr>
            <w:tcW w:w="1020" w:type="dxa"/>
            <w:tcBorders>
              <w:top w:val="nil"/>
              <w:left w:val="single" w:sz="8" w:space="0" w:color="auto"/>
              <w:bottom w:val="single" w:sz="4" w:space="0" w:color="auto"/>
              <w:right w:val="single" w:sz="4" w:space="0" w:color="auto"/>
            </w:tcBorders>
            <w:shd w:val="clear" w:color="auto" w:fill="auto"/>
            <w:noWrap/>
            <w:vAlign w:val="bottom"/>
            <w:hideMark/>
          </w:tcPr>
          <w:p w14:paraId="4933F057" w14:textId="77777777" w:rsidR="00076968" w:rsidRPr="00076968" w:rsidRDefault="00076968" w:rsidP="00076968">
            <w:pPr>
              <w:spacing w:line="240" w:lineRule="auto"/>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Lyl1</w:t>
            </w:r>
          </w:p>
        </w:tc>
        <w:tc>
          <w:tcPr>
            <w:tcW w:w="990" w:type="dxa"/>
            <w:tcBorders>
              <w:top w:val="nil"/>
              <w:left w:val="nil"/>
              <w:bottom w:val="single" w:sz="4" w:space="0" w:color="auto"/>
              <w:right w:val="single" w:sz="4" w:space="0" w:color="auto"/>
            </w:tcBorders>
            <w:shd w:val="clear" w:color="auto" w:fill="auto"/>
            <w:noWrap/>
            <w:vAlign w:val="bottom"/>
            <w:hideMark/>
          </w:tcPr>
          <w:p w14:paraId="6898135E"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214</w:t>
            </w:r>
          </w:p>
        </w:tc>
        <w:tc>
          <w:tcPr>
            <w:tcW w:w="990" w:type="dxa"/>
            <w:tcBorders>
              <w:top w:val="nil"/>
              <w:left w:val="nil"/>
              <w:bottom w:val="single" w:sz="4" w:space="0" w:color="auto"/>
              <w:right w:val="single" w:sz="4" w:space="0" w:color="auto"/>
            </w:tcBorders>
            <w:shd w:val="clear" w:color="auto" w:fill="auto"/>
            <w:noWrap/>
            <w:vAlign w:val="bottom"/>
            <w:hideMark/>
          </w:tcPr>
          <w:p w14:paraId="2D2BEE37"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353</w:t>
            </w:r>
          </w:p>
        </w:tc>
        <w:tc>
          <w:tcPr>
            <w:tcW w:w="900" w:type="dxa"/>
            <w:tcBorders>
              <w:top w:val="nil"/>
              <w:left w:val="nil"/>
              <w:bottom w:val="single" w:sz="4" w:space="0" w:color="auto"/>
              <w:right w:val="single" w:sz="4" w:space="0" w:color="auto"/>
            </w:tcBorders>
            <w:shd w:val="clear" w:color="auto" w:fill="auto"/>
            <w:noWrap/>
            <w:vAlign w:val="bottom"/>
            <w:hideMark/>
          </w:tcPr>
          <w:p w14:paraId="095E917F"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393</w:t>
            </w:r>
          </w:p>
        </w:tc>
        <w:tc>
          <w:tcPr>
            <w:tcW w:w="900" w:type="dxa"/>
            <w:tcBorders>
              <w:top w:val="nil"/>
              <w:left w:val="nil"/>
              <w:bottom w:val="single" w:sz="4" w:space="0" w:color="auto"/>
              <w:right w:val="single" w:sz="4" w:space="0" w:color="auto"/>
            </w:tcBorders>
            <w:shd w:val="clear" w:color="auto" w:fill="auto"/>
            <w:noWrap/>
            <w:vAlign w:val="bottom"/>
            <w:hideMark/>
          </w:tcPr>
          <w:p w14:paraId="0C005CA1"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178</w:t>
            </w:r>
          </w:p>
        </w:tc>
        <w:tc>
          <w:tcPr>
            <w:tcW w:w="900" w:type="dxa"/>
            <w:tcBorders>
              <w:top w:val="nil"/>
              <w:left w:val="nil"/>
              <w:bottom w:val="single" w:sz="4" w:space="0" w:color="auto"/>
              <w:right w:val="single" w:sz="8" w:space="0" w:color="auto"/>
            </w:tcBorders>
            <w:shd w:val="clear" w:color="auto" w:fill="auto"/>
            <w:noWrap/>
            <w:vAlign w:val="bottom"/>
            <w:hideMark/>
          </w:tcPr>
          <w:p w14:paraId="04EE3567"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101</w:t>
            </w:r>
          </w:p>
        </w:tc>
      </w:tr>
      <w:tr w:rsidR="00076968" w:rsidRPr="00076968" w14:paraId="36D43F29" w14:textId="77777777" w:rsidTr="00076968">
        <w:trPr>
          <w:trHeight w:val="300"/>
          <w:jc w:val="center"/>
        </w:trPr>
        <w:tc>
          <w:tcPr>
            <w:tcW w:w="1020" w:type="dxa"/>
            <w:tcBorders>
              <w:top w:val="nil"/>
              <w:left w:val="single" w:sz="8" w:space="0" w:color="auto"/>
              <w:bottom w:val="single" w:sz="4" w:space="0" w:color="auto"/>
              <w:right w:val="single" w:sz="4" w:space="0" w:color="auto"/>
            </w:tcBorders>
            <w:shd w:val="clear" w:color="auto" w:fill="auto"/>
            <w:noWrap/>
            <w:vAlign w:val="bottom"/>
            <w:hideMark/>
          </w:tcPr>
          <w:p w14:paraId="699ECE39" w14:textId="77777777" w:rsidR="00076968" w:rsidRPr="00076968" w:rsidRDefault="00076968" w:rsidP="00076968">
            <w:pPr>
              <w:spacing w:line="240" w:lineRule="auto"/>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Mecom</w:t>
            </w:r>
          </w:p>
        </w:tc>
        <w:tc>
          <w:tcPr>
            <w:tcW w:w="990" w:type="dxa"/>
            <w:tcBorders>
              <w:top w:val="nil"/>
              <w:left w:val="nil"/>
              <w:bottom w:val="single" w:sz="4" w:space="0" w:color="auto"/>
              <w:right w:val="single" w:sz="4" w:space="0" w:color="auto"/>
            </w:tcBorders>
            <w:shd w:val="clear" w:color="auto" w:fill="auto"/>
            <w:noWrap/>
            <w:vAlign w:val="bottom"/>
            <w:hideMark/>
          </w:tcPr>
          <w:p w14:paraId="0C5A46D6"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133</w:t>
            </w:r>
          </w:p>
        </w:tc>
        <w:tc>
          <w:tcPr>
            <w:tcW w:w="990" w:type="dxa"/>
            <w:tcBorders>
              <w:top w:val="nil"/>
              <w:left w:val="nil"/>
              <w:bottom w:val="single" w:sz="4" w:space="0" w:color="auto"/>
              <w:right w:val="single" w:sz="4" w:space="0" w:color="auto"/>
            </w:tcBorders>
            <w:shd w:val="clear" w:color="auto" w:fill="auto"/>
            <w:noWrap/>
            <w:vAlign w:val="bottom"/>
            <w:hideMark/>
          </w:tcPr>
          <w:p w14:paraId="7E5C4951"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6</w:t>
            </w:r>
          </w:p>
        </w:tc>
        <w:tc>
          <w:tcPr>
            <w:tcW w:w="900" w:type="dxa"/>
            <w:tcBorders>
              <w:top w:val="nil"/>
              <w:left w:val="nil"/>
              <w:bottom w:val="single" w:sz="4" w:space="0" w:color="auto"/>
              <w:right w:val="single" w:sz="4" w:space="0" w:color="auto"/>
            </w:tcBorders>
            <w:shd w:val="clear" w:color="auto" w:fill="auto"/>
            <w:noWrap/>
            <w:vAlign w:val="bottom"/>
            <w:hideMark/>
          </w:tcPr>
          <w:p w14:paraId="3575B6DE"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194</w:t>
            </w:r>
          </w:p>
        </w:tc>
        <w:tc>
          <w:tcPr>
            <w:tcW w:w="900" w:type="dxa"/>
            <w:tcBorders>
              <w:top w:val="nil"/>
              <w:left w:val="nil"/>
              <w:bottom w:val="single" w:sz="4" w:space="0" w:color="auto"/>
              <w:right w:val="single" w:sz="4" w:space="0" w:color="auto"/>
            </w:tcBorders>
            <w:shd w:val="clear" w:color="auto" w:fill="auto"/>
            <w:noWrap/>
            <w:vAlign w:val="bottom"/>
            <w:hideMark/>
          </w:tcPr>
          <w:p w14:paraId="7FF521A9"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38</w:t>
            </w:r>
          </w:p>
        </w:tc>
        <w:tc>
          <w:tcPr>
            <w:tcW w:w="900" w:type="dxa"/>
            <w:tcBorders>
              <w:top w:val="nil"/>
              <w:left w:val="nil"/>
              <w:bottom w:val="single" w:sz="4" w:space="0" w:color="auto"/>
              <w:right w:val="single" w:sz="8" w:space="0" w:color="auto"/>
            </w:tcBorders>
            <w:shd w:val="clear" w:color="auto" w:fill="auto"/>
            <w:noWrap/>
            <w:vAlign w:val="bottom"/>
            <w:hideMark/>
          </w:tcPr>
          <w:p w14:paraId="7A194761"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27</w:t>
            </w:r>
          </w:p>
        </w:tc>
      </w:tr>
      <w:tr w:rsidR="00076968" w:rsidRPr="00076968" w14:paraId="669AE3AB" w14:textId="77777777" w:rsidTr="00076968">
        <w:trPr>
          <w:trHeight w:val="300"/>
          <w:jc w:val="center"/>
        </w:trPr>
        <w:tc>
          <w:tcPr>
            <w:tcW w:w="1020" w:type="dxa"/>
            <w:tcBorders>
              <w:top w:val="nil"/>
              <w:left w:val="single" w:sz="8" w:space="0" w:color="auto"/>
              <w:bottom w:val="single" w:sz="4" w:space="0" w:color="auto"/>
              <w:right w:val="single" w:sz="4" w:space="0" w:color="auto"/>
            </w:tcBorders>
            <w:shd w:val="clear" w:color="auto" w:fill="auto"/>
            <w:noWrap/>
            <w:vAlign w:val="bottom"/>
            <w:hideMark/>
          </w:tcPr>
          <w:p w14:paraId="0787E988" w14:textId="77777777" w:rsidR="00076968" w:rsidRPr="00076968" w:rsidRDefault="00076968" w:rsidP="00076968">
            <w:pPr>
              <w:spacing w:line="240" w:lineRule="auto"/>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Meis1</w:t>
            </w:r>
          </w:p>
        </w:tc>
        <w:tc>
          <w:tcPr>
            <w:tcW w:w="990" w:type="dxa"/>
            <w:tcBorders>
              <w:top w:val="nil"/>
              <w:left w:val="nil"/>
              <w:bottom w:val="single" w:sz="4" w:space="0" w:color="auto"/>
              <w:right w:val="single" w:sz="4" w:space="0" w:color="auto"/>
            </w:tcBorders>
            <w:shd w:val="clear" w:color="auto" w:fill="auto"/>
            <w:noWrap/>
            <w:vAlign w:val="bottom"/>
            <w:hideMark/>
          </w:tcPr>
          <w:p w14:paraId="0416AD86"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211</w:t>
            </w:r>
          </w:p>
        </w:tc>
        <w:tc>
          <w:tcPr>
            <w:tcW w:w="990" w:type="dxa"/>
            <w:tcBorders>
              <w:top w:val="nil"/>
              <w:left w:val="nil"/>
              <w:bottom w:val="single" w:sz="4" w:space="0" w:color="auto"/>
              <w:right w:val="single" w:sz="4" w:space="0" w:color="auto"/>
            </w:tcBorders>
            <w:shd w:val="clear" w:color="auto" w:fill="auto"/>
            <w:noWrap/>
            <w:vAlign w:val="bottom"/>
            <w:hideMark/>
          </w:tcPr>
          <w:p w14:paraId="750B9A1C"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84</w:t>
            </w:r>
          </w:p>
        </w:tc>
        <w:tc>
          <w:tcPr>
            <w:tcW w:w="900" w:type="dxa"/>
            <w:tcBorders>
              <w:top w:val="nil"/>
              <w:left w:val="nil"/>
              <w:bottom w:val="single" w:sz="4" w:space="0" w:color="auto"/>
              <w:right w:val="single" w:sz="4" w:space="0" w:color="auto"/>
            </w:tcBorders>
            <w:shd w:val="clear" w:color="auto" w:fill="auto"/>
            <w:noWrap/>
            <w:vAlign w:val="bottom"/>
            <w:hideMark/>
          </w:tcPr>
          <w:p w14:paraId="5924195C"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422</w:t>
            </w:r>
          </w:p>
        </w:tc>
        <w:tc>
          <w:tcPr>
            <w:tcW w:w="900" w:type="dxa"/>
            <w:tcBorders>
              <w:top w:val="nil"/>
              <w:left w:val="nil"/>
              <w:bottom w:val="single" w:sz="4" w:space="0" w:color="auto"/>
              <w:right w:val="single" w:sz="4" w:space="0" w:color="auto"/>
            </w:tcBorders>
            <w:shd w:val="clear" w:color="auto" w:fill="auto"/>
            <w:noWrap/>
            <w:vAlign w:val="bottom"/>
            <w:hideMark/>
          </w:tcPr>
          <w:p w14:paraId="58EDBB8E"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175</w:t>
            </w:r>
          </w:p>
        </w:tc>
        <w:tc>
          <w:tcPr>
            <w:tcW w:w="900" w:type="dxa"/>
            <w:tcBorders>
              <w:top w:val="nil"/>
              <w:left w:val="nil"/>
              <w:bottom w:val="single" w:sz="4" w:space="0" w:color="auto"/>
              <w:right w:val="single" w:sz="8" w:space="0" w:color="auto"/>
            </w:tcBorders>
            <w:shd w:val="clear" w:color="auto" w:fill="auto"/>
            <w:noWrap/>
            <w:vAlign w:val="bottom"/>
            <w:hideMark/>
          </w:tcPr>
          <w:p w14:paraId="33412E53"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125</w:t>
            </w:r>
          </w:p>
        </w:tc>
      </w:tr>
      <w:tr w:rsidR="00076968" w:rsidRPr="00076968" w14:paraId="6660449A" w14:textId="77777777" w:rsidTr="00076968">
        <w:trPr>
          <w:trHeight w:val="300"/>
          <w:jc w:val="center"/>
        </w:trPr>
        <w:tc>
          <w:tcPr>
            <w:tcW w:w="1020" w:type="dxa"/>
            <w:tcBorders>
              <w:top w:val="nil"/>
              <w:left w:val="single" w:sz="8" w:space="0" w:color="auto"/>
              <w:bottom w:val="single" w:sz="4" w:space="0" w:color="auto"/>
              <w:right w:val="single" w:sz="4" w:space="0" w:color="auto"/>
            </w:tcBorders>
            <w:shd w:val="clear" w:color="auto" w:fill="auto"/>
            <w:noWrap/>
            <w:vAlign w:val="bottom"/>
            <w:hideMark/>
          </w:tcPr>
          <w:p w14:paraId="5F1CF5D4" w14:textId="77777777" w:rsidR="00076968" w:rsidRPr="00076968" w:rsidRDefault="00076968" w:rsidP="00076968">
            <w:pPr>
              <w:spacing w:line="240" w:lineRule="auto"/>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Mitf</w:t>
            </w:r>
          </w:p>
        </w:tc>
        <w:tc>
          <w:tcPr>
            <w:tcW w:w="990" w:type="dxa"/>
            <w:tcBorders>
              <w:top w:val="nil"/>
              <w:left w:val="nil"/>
              <w:bottom w:val="single" w:sz="4" w:space="0" w:color="auto"/>
              <w:right w:val="single" w:sz="4" w:space="0" w:color="auto"/>
            </w:tcBorders>
            <w:shd w:val="clear" w:color="auto" w:fill="auto"/>
            <w:noWrap/>
            <w:vAlign w:val="bottom"/>
            <w:hideMark/>
          </w:tcPr>
          <w:p w14:paraId="750FB6A1"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28</w:t>
            </w:r>
          </w:p>
        </w:tc>
        <w:tc>
          <w:tcPr>
            <w:tcW w:w="990" w:type="dxa"/>
            <w:tcBorders>
              <w:top w:val="nil"/>
              <w:left w:val="nil"/>
              <w:bottom w:val="single" w:sz="4" w:space="0" w:color="auto"/>
              <w:right w:val="single" w:sz="4" w:space="0" w:color="auto"/>
            </w:tcBorders>
            <w:shd w:val="clear" w:color="auto" w:fill="auto"/>
            <w:noWrap/>
            <w:vAlign w:val="bottom"/>
            <w:hideMark/>
          </w:tcPr>
          <w:p w14:paraId="76DE3EEA"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152</w:t>
            </w:r>
          </w:p>
        </w:tc>
        <w:tc>
          <w:tcPr>
            <w:tcW w:w="900" w:type="dxa"/>
            <w:tcBorders>
              <w:top w:val="nil"/>
              <w:left w:val="nil"/>
              <w:bottom w:val="single" w:sz="4" w:space="0" w:color="auto"/>
              <w:right w:val="single" w:sz="4" w:space="0" w:color="auto"/>
            </w:tcBorders>
            <w:shd w:val="clear" w:color="auto" w:fill="auto"/>
            <w:noWrap/>
            <w:vAlign w:val="bottom"/>
            <w:hideMark/>
          </w:tcPr>
          <w:p w14:paraId="47207DBC"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71</w:t>
            </w:r>
          </w:p>
        </w:tc>
        <w:tc>
          <w:tcPr>
            <w:tcW w:w="900" w:type="dxa"/>
            <w:tcBorders>
              <w:top w:val="nil"/>
              <w:left w:val="nil"/>
              <w:bottom w:val="single" w:sz="4" w:space="0" w:color="auto"/>
              <w:right w:val="single" w:sz="4" w:space="0" w:color="auto"/>
            </w:tcBorders>
            <w:shd w:val="clear" w:color="auto" w:fill="auto"/>
            <w:noWrap/>
            <w:vAlign w:val="bottom"/>
            <w:hideMark/>
          </w:tcPr>
          <w:p w14:paraId="44847056"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32</w:t>
            </w:r>
          </w:p>
        </w:tc>
        <w:tc>
          <w:tcPr>
            <w:tcW w:w="900" w:type="dxa"/>
            <w:tcBorders>
              <w:top w:val="nil"/>
              <w:left w:val="nil"/>
              <w:bottom w:val="single" w:sz="4" w:space="0" w:color="auto"/>
              <w:right w:val="single" w:sz="8" w:space="0" w:color="auto"/>
            </w:tcBorders>
            <w:shd w:val="clear" w:color="auto" w:fill="auto"/>
            <w:noWrap/>
            <w:vAlign w:val="bottom"/>
            <w:hideMark/>
          </w:tcPr>
          <w:p w14:paraId="27D66152"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28</w:t>
            </w:r>
          </w:p>
        </w:tc>
      </w:tr>
      <w:tr w:rsidR="00076968" w:rsidRPr="00076968" w14:paraId="0A0A9E3B" w14:textId="77777777" w:rsidTr="00076968">
        <w:trPr>
          <w:trHeight w:val="300"/>
          <w:jc w:val="center"/>
        </w:trPr>
        <w:tc>
          <w:tcPr>
            <w:tcW w:w="1020" w:type="dxa"/>
            <w:tcBorders>
              <w:top w:val="nil"/>
              <w:left w:val="single" w:sz="8" w:space="0" w:color="auto"/>
              <w:bottom w:val="single" w:sz="4" w:space="0" w:color="auto"/>
              <w:right w:val="single" w:sz="4" w:space="0" w:color="auto"/>
            </w:tcBorders>
            <w:shd w:val="clear" w:color="auto" w:fill="auto"/>
            <w:noWrap/>
            <w:vAlign w:val="bottom"/>
            <w:hideMark/>
          </w:tcPr>
          <w:p w14:paraId="1634C288" w14:textId="77777777" w:rsidR="00076968" w:rsidRPr="00076968" w:rsidRDefault="00076968" w:rsidP="00076968">
            <w:pPr>
              <w:spacing w:line="240" w:lineRule="auto"/>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Myb</w:t>
            </w:r>
          </w:p>
        </w:tc>
        <w:tc>
          <w:tcPr>
            <w:tcW w:w="990" w:type="dxa"/>
            <w:tcBorders>
              <w:top w:val="nil"/>
              <w:left w:val="nil"/>
              <w:bottom w:val="single" w:sz="4" w:space="0" w:color="auto"/>
              <w:right w:val="single" w:sz="4" w:space="0" w:color="auto"/>
            </w:tcBorders>
            <w:shd w:val="clear" w:color="auto" w:fill="auto"/>
            <w:noWrap/>
            <w:vAlign w:val="bottom"/>
            <w:hideMark/>
          </w:tcPr>
          <w:p w14:paraId="0117952E"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34</w:t>
            </w:r>
          </w:p>
        </w:tc>
        <w:tc>
          <w:tcPr>
            <w:tcW w:w="990" w:type="dxa"/>
            <w:tcBorders>
              <w:top w:val="nil"/>
              <w:left w:val="nil"/>
              <w:bottom w:val="single" w:sz="4" w:space="0" w:color="auto"/>
              <w:right w:val="single" w:sz="4" w:space="0" w:color="auto"/>
            </w:tcBorders>
            <w:shd w:val="clear" w:color="auto" w:fill="auto"/>
            <w:noWrap/>
            <w:vAlign w:val="bottom"/>
            <w:hideMark/>
          </w:tcPr>
          <w:p w14:paraId="00C2BAEA"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320</w:t>
            </w:r>
          </w:p>
        </w:tc>
        <w:tc>
          <w:tcPr>
            <w:tcW w:w="900" w:type="dxa"/>
            <w:tcBorders>
              <w:top w:val="nil"/>
              <w:left w:val="nil"/>
              <w:bottom w:val="single" w:sz="4" w:space="0" w:color="auto"/>
              <w:right w:val="single" w:sz="4" w:space="0" w:color="auto"/>
            </w:tcBorders>
            <w:shd w:val="clear" w:color="auto" w:fill="auto"/>
            <w:noWrap/>
            <w:vAlign w:val="bottom"/>
            <w:hideMark/>
          </w:tcPr>
          <w:p w14:paraId="49895523"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218</w:t>
            </w:r>
          </w:p>
        </w:tc>
        <w:tc>
          <w:tcPr>
            <w:tcW w:w="900" w:type="dxa"/>
            <w:tcBorders>
              <w:top w:val="nil"/>
              <w:left w:val="nil"/>
              <w:bottom w:val="single" w:sz="4" w:space="0" w:color="auto"/>
              <w:right w:val="single" w:sz="4" w:space="0" w:color="auto"/>
            </w:tcBorders>
            <w:shd w:val="clear" w:color="auto" w:fill="auto"/>
            <w:noWrap/>
            <w:vAlign w:val="bottom"/>
            <w:hideMark/>
          </w:tcPr>
          <w:p w14:paraId="3493F28C"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138</w:t>
            </w:r>
          </w:p>
        </w:tc>
        <w:tc>
          <w:tcPr>
            <w:tcW w:w="900" w:type="dxa"/>
            <w:tcBorders>
              <w:top w:val="nil"/>
              <w:left w:val="nil"/>
              <w:bottom w:val="single" w:sz="4" w:space="0" w:color="auto"/>
              <w:right w:val="single" w:sz="8" w:space="0" w:color="auto"/>
            </w:tcBorders>
            <w:shd w:val="clear" w:color="auto" w:fill="auto"/>
            <w:noWrap/>
            <w:vAlign w:val="bottom"/>
            <w:hideMark/>
          </w:tcPr>
          <w:p w14:paraId="2ACCB363"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85</w:t>
            </w:r>
          </w:p>
        </w:tc>
      </w:tr>
      <w:tr w:rsidR="00076968" w:rsidRPr="00076968" w14:paraId="35DE6BB7" w14:textId="77777777" w:rsidTr="00076968">
        <w:trPr>
          <w:trHeight w:val="300"/>
          <w:jc w:val="center"/>
        </w:trPr>
        <w:tc>
          <w:tcPr>
            <w:tcW w:w="1020" w:type="dxa"/>
            <w:tcBorders>
              <w:top w:val="nil"/>
              <w:left w:val="single" w:sz="8" w:space="0" w:color="auto"/>
              <w:bottom w:val="single" w:sz="4" w:space="0" w:color="auto"/>
              <w:right w:val="single" w:sz="4" w:space="0" w:color="auto"/>
            </w:tcBorders>
            <w:shd w:val="clear" w:color="auto" w:fill="auto"/>
            <w:noWrap/>
            <w:vAlign w:val="bottom"/>
            <w:hideMark/>
          </w:tcPr>
          <w:p w14:paraId="5464F8ED" w14:textId="77777777" w:rsidR="00076968" w:rsidRPr="00076968" w:rsidRDefault="00076968" w:rsidP="00076968">
            <w:pPr>
              <w:spacing w:line="240" w:lineRule="auto"/>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Nfe2</w:t>
            </w:r>
          </w:p>
        </w:tc>
        <w:tc>
          <w:tcPr>
            <w:tcW w:w="990" w:type="dxa"/>
            <w:tcBorders>
              <w:top w:val="nil"/>
              <w:left w:val="nil"/>
              <w:bottom w:val="single" w:sz="4" w:space="0" w:color="auto"/>
              <w:right w:val="single" w:sz="4" w:space="0" w:color="auto"/>
            </w:tcBorders>
            <w:shd w:val="clear" w:color="auto" w:fill="auto"/>
            <w:noWrap/>
            <w:vAlign w:val="bottom"/>
            <w:hideMark/>
          </w:tcPr>
          <w:p w14:paraId="40AE7E7B"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9</w:t>
            </w:r>
          </w:p>
        </w:tc>
        <w:tc>
          <w:tcPr>
            <w:tcW w:w="990" w:type="dxa"/>
            <w:tcBorders>
              <w:top w:val="nil"/>
              <w:left w:val="nil"/>
              <w:bottom w:val="single" w:sz="4" w:space="0" w:color="auto"/>
              <w:right w:val="single" w:sz="4" w:space="0" w:color="auto"/>
            </w:tcBorders>
            <w:shd w:val="clear" w:color="auto" w:fill="auto"/>
            <w:noWrap/>
            <w:vAlign w:val="bottom"/>
            <w:hideMark/>
          </w:tcPr>
          <w:p w14:paraId="0136FB1F"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381</w:t>
            </w:r>
          </w:p>
        </w:tc>
        <w:tc>
          <w:tcPr>
            <w:tcW w:w="900" w:type="dxa"/>
            <w:tcBorders>
              <w:top w:val="nil"/>
              <w:left w:val="nil"/>
              <w:bottom w:val="single" w:sz="4" w:space="0" w:color="auto"/>
              <w:right w:val="single" w:sz="4" w:space="0" w:color="auto"/>
            </w:tcBorders>
            <w:shd w:val="clear" w:color="auto" w:fill="auto"/>
            <w:noWrap/>
            <w:vAlign w:val="bottom"/>
            <w:hideMark/>
          </w:tcPr>
          <w:p w14:paraId="354C7DD9"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119</w:t>
            </w:r>
          </w:p>
        </w:tc>
        <w:tc>
          <w:tcPr>
            <w:tcW w:w="900" w:type="dxa"/>
            <w:tcBorders>
              <w:top w:val="nil"/>
              <w:left w:val="nil"/>
              <w:bottom w:val="single" w:sz="4" w:space="0" w:color="auto"/>
              <w:right w:val="single" w:sz="4" w:space="0" w:color="auto"/>
            </w:tcBorders>
            <w:shd w:val="clear" w:color="auto" w:fill="auto"/>
            <w:noWrap/>
            <w:vAlign w:val="bottom"/>
            <w:hideMark/>
          </w:tcPr>
          <w:p w14:paraId="5284C067"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103</w:t>
            </w:r>
          </w:p>
        </w:tc>
        <w:tc>
          <w:tcPr>
            <w:tcW w:w="900" w:type="dxa"/>
            <w:tcBorders>
              <w:top w:val="nil"/>
              <w:left w:val="nil"/>
              <w:bottom w:val="single" w:sz="4" w:space="0" w:color="auto"/>
              <w:right w:val="single" w:sz="8" w:space="0" w:color="auto"/>
            </w:tcBorders>
            <w:shd w:val="clear" w:color="auto" w:fill="auto"/>
            <w:noWrap/>
            <w:vAlign w:val="bottom"/>
            <w:hideMark/>
          </w:tcPr>
          <w:p w14:paraId="49D61B34"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51</w:t>
            </w:r>
          </w:p>
        </w:tc>
      </w:tr>
      <w:tr w:rsidR="00076968" w:rsidRPr="00076968" w14:paraId="5BD91A1F" w14:textId="77777777" w:rsidTr="00076968">
        <w:trPr>
          <w:trHeight w:val="300"/>
          <w:jc w:val="center"/>
        </w:trPr>
        <w:tc>
          <w:tcPr>
            <w:tcW w:w="1020" w:type="dxa"/>
            <w:tcBorders>
              <w:top w:val="nil"/>
              <w:left w:val="single" w:sz="8" w:space="0" w:color="auto"/>
              <w:bottom w:val="single" w:sz="4" w:space="0" w:color="auto"/>
              <w:right w:val="single" w:sz="4" w:space="0" w:color="auto"/>
            </w:tcBorders>
            <w:shd w:val="clear" w:color="auto" w:fill="auto"/>
            <w:noWrap/>
            <w:vAlign w:val="bottom"/>
            <w:hideMark/>
          </w:tcPr>
          <w:p w14:paraId="30D70C72" w14:textId="77777777" w:rsidR="00076968" w:rsidRPr="00076968" w:rsidRDefault="00076968" w:rsidP="00076968">
            <w:pPr>
              <w:spacing w:line="240" w:lineRule="auto"/>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Notch1</w:t>
            </w:r>
          </w:p>
        </w:tc>
        <w:tc>
          <w:tcPr>
            <w:tcW w:w="990" w:type="dxa"/>
            <w:tcBorders>
              <w:top w:val="nil"/>
              <w:left w:val="nil"/>
              <w:bottom w:val="single" w:sz="4" w:space="0" w:color="auto"/>
              <w:right w:val="single" w:sz="4" w:space="0" w:color="auto"/>
            </w:tcBorders>
            <w:shd w:val="clear" w:color="auto" w:fill="auto"/>
            <w:noWrap/>
            <w:vAlign w:val="bottom"/>
            <w:hideMark/>
          </w:tcPr>
          <w:p w14:paraId="45053766"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251</w:t>
            </w:r>
          </w:p>
        </w:tc>
        <w:tc>
          <w:tcPr>
            <w:tcW w:w="990" w:type="dxa"/>
            <w:tcBorders>
              <w:top w:val="nil"/>
              <w:left w:val="nil"/>
              <w:bottom w:val="single" w:sz="4" w:space="0" w:color="auto"/>
              <w:right w:val="single" w:sz="4" w:space="0" w:color="auto"/>
            </w:tcBorders>
            <w:shd w:val="clear" w:color="auto" w:fill="auto"/>
            <w:noWrap/>
            <w:vAlign w:val="bottom"/>
            <w:hideMark/>
          </w:tcPr>
          <w:p w14:paraId="742B108E"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29</w:t>
            </w:r>
          </w:p>
        </w:tc>
        <w:tc>
          <w:tcPr>
            <w:tcW w:w="900" w:type="dxa"/>
            <w:tcBorders>
              <w:top w:val="nil"/>
              <w:left w:val="nil"/>
              <w:bottom w:val="single" w:sz="4" w:space="0" w:color="auto"/>
              <w:right w:val="single" w:sz="4" w:space="0" w:color="auto"/>
            </w:tcBorders>
            <w:shd w:val="clear" w:color="auto" w:fill="auto"/>
            <w:noWrap/>
            <w:vAlign w:val="bottom"/>
            <w:hideMark/>
          </w:tcPr>
          <w:p w14:paraId="332702E2"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427</w:t>
            </w:r>
          </w:p>
        </w:tc>
        <w:tc>
          <w:tcPr>
            <w:tcW w:w="900" w:type="dxa"/>
            <w:tcBorders>
              <w:top w:val="nil"/>
              <w:left w:val="nil"/>
              <w:bottom w:val="single" w:sz="4" w:space="0" w:color="auto"/>
              <w:right w:val="single" w:sz="4" w:space="0" w:color="auto"/>
            </w:tcBorders>
            <w:shd w:val="clear" w:color="auto" w:fill="auto"/>
            <w:noWrap/>
            <w:vAlign w:val="bottom"/>
            <w:hideMark/>
          </w:tcPr>
          <w:p w14:paraId="7AA67622"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199</w:t>
            </w:r>
          </w:p>
        </w:tc>
        <w:tc>
          <w:tcPr>
            <w:tcW w:w="900" w:type="dxa"/>
            <w:tcBorders>
              <w:top w:val="nil"/>
              <w:left w:val="nil"/>
              <w:bottom w:val="single" w:sz="4" w:space="0" w:color="auto"/>
              <w:right w:val="single" w:sz="8" w:space="0" w:color="auto"/>
            </w:tcBorders>
            <w:shd w:val="clear" w:color="auto" w:fill="auto"/>
            <w:noWrap/>
            <w:vAlign w:val="bottom"/>
            <w:hideMark/>
          </w:tcPr>
          <w:p w14:paraId="5F0EF4FB"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148</w:t>
            </w:r>
          </w:p>
        </w:tc>
      </w:tr>
      <w:tr w:rsidR="00076968" w:rsidRPr="00076968" w14:paraId="565A23D2" w14:textId="77777777" w:rsidTr="00076968">
        <w:trPr>
          <w:trHeight w:val="300"/>
          <w:jc w:val="center"/>
        </w:trPr>
        <w:tc>
          <w:tcPr>
            <w:tcW w:w="1020" w:type="dxa"/>
            <w:tcBorders>
              <w:top w:val="nil"/>
              <w:left w:val="single" w:sz="8" w:space="0" w:color="auto"/>
              <w:bottom w:val="single" w:sz="4" w:space="0" w:color="auto"/>
              <w:right w:val="single" w:sz="4" w:space="0" w:color="auto"/>
            </w:tcBorders>
            <w:shd w:val="clear" w:color="auto" w:fill="auto"/>
            <w:noWrap/>
            <w:vAlign w:val="bottom"/>
            <w:hideMark/>
          </w:tcPr>
          <w:p w14:paraId="32CC0868" w14:textId="77777777" w:rsidR="00076968" w:rsidRPr="00076968" w:rsidRDefault="00076968" w:rsidP="00076968">
            <w:pPr>
              <w:spacing w:line="240" w:lineRule="auto"/>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Runx1</w:t>
            </w:r>
          </w:p>
        </w:tc>
        <w:tc>
          <w:tcPr>
            <w:tcW w:w="990" w:type="dxa"/>
            <w:tcBorders>
              <w:top w:val="nil"/>
              <w:left w:val="nil"/>
              <w:bottom w:val="single" w:sz="4" w:space="0" w:color="auto"/>
              <w:right w:val="single" w:sz="4" w:space="0" w:color="auto"/>
            </w:tcBorders>
            <w:shd w:val="clear" w:color="auto" w:fill="auto"/>
            <w:noWrap/>
            <w:vAlign w:val="bottom"/>
            <w:hideMark/>
          </w:tcPr>
          <w:p w14:paraId="586B3BE5"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153</w:t>
            </w:r>
          </w:p>
        </w:tc>
        <w:tc>
          <w:tcPr>
            <w:tcW w:w="990" w:type="dxa"/>
            <w:tcBorders>
              <w:top w:val="nil"/>
              <w:left w:val="nil"/>
              <w:bottom w:val="single" w:sz="4" w:space="0" w:color="auto"/>
              <w:right w:val="single" w:sz="4" w:space="0" w:color="auto"/>
            </w:tcBorders>
            <w:shd w:val="clear" w:color="auto" w:fill="auto"/>
            <w:noWrap/>
            <w:vAlign w:val="bottom"/>
            <w:hideMark/>
          </w:tcPr>
          <w:p w14:paraId="24E5B049"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383</w:t>
            </w:r>
          </w:p>
        </w:tc>
        <w:tc>
          <w:tcPr>
            <w:tcW w:w="900" w:type="dxa"/>
            <w:tcBorders>
              <w:top w:val="nil"/>
              <w:left w:val="nil"/>
              <w:bottom w:val="single" w:sz="4" w:space="0" w:color="auto"/>
              <w:right w:val="single" w:sz="4" w:space="0" w:color="auto"/>
            </w:tcBorders>
            <w:shd w:val="clear" w:color="auto" w:fill="auto"/>
            <w:noWrap/>
            <w:vAlign w:val="bottom"/>
            <w:hideMark/>
          </w:tcPr>
          <w:p w14:paraId="1AA8B02C"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363</w:t>
            </w:r>
          </w:p>
        </w:tc>
        <w:tc>
          <w:tcPr>
            <w:tcW w:w="900" w:type="dxa"/>
            <w:tcBorders>
              <w:top w:val="nil"/>
              <w:left w:val="nil"/>
              <w:bottom w:val="single" w:sz="4" w:space="0" w:color="auto"/>
              <w:right w:val="single" w:sz="4" w:space="0" w:color="auto"/>
            </w:tcBorders>
            <w:shd w:val="clear" w:color="auto" w:fill="auto"/>
            <w:noWrap/>
            <w:vAlign w:val="bottom"/>
            <w:hideMark/>
          </w:tcPr>
          <w:p w14:paraId="547B3EAE"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191</w:t>
            </w:r>
          </w:p>
        </w:tc>
        <w:tc>
          <w:tcPr>
            <w:tcW w:w="900" w:type="dxa"/>
            <w:tcBorders>
              <w:top w:val="nil"/>
              <w:left w:val="nil"/>
              <w:bottom w:val="single" w:sz="4" w:space="0" w:color="auto"/>
              <w:right w:val="single" w:sz="8" w:space="0" w:color="auto"/>
            </w:tcBorders>
            <w:shd w:val="clear" w:color="auto" w:fill="auto"/>
            <w:noWrap/>
            <w:vAlign w:val="bottom"/>
            <w:hideMark/>
          </w:tcPr>
          <w:p w14:paraId="172089FB"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146</w:t>
            </w:r>
          </w:p>
        </w:tc>
      </w:tr>
      <w:tr w:rsidR="00076968" w:rsidRPr="00076968" w14:paraId="0C15C5BD" w14:textId="77777777" w:rsidTr="00076968">
        <w:trPr>
          <w:trHeight w:val="300"/>
          <w:jc w:val="center"/>
        </w:trPr>
        <w:tc>
          <w:tcPr>
            <w:tcW w:w="1020" w:type="dxa"/>
            <w:tcBorders>
              <w:top w:val="nil"/>
              <w:left w:val="single" w:sz="8" w:space="0" w:color="auto"/>
              <w:bottom w:val="single" w:sz="4" w:space="0" w:color="auto"/>
              <w:right w:val="single" w:sz="4" w:space="0" w:color="auto"/>
            </w:tcBorders>
            <w:shd w:val="clear" w:color="auto" w:fill="auto"/>
            <w:noWrap/>
            <w:vAlign w:val="bottom"/>
            <w:hideMark/>
          </w:tcPr>
          <w:p w14:paraId="5B1D0D9F" w14:textId="77777777" w:rsidR="00076968" w:rsidRPr="00076968" w:rsidRDefault="00076968" w:rsidP="00076968">
            <w:pPr>
              <w:spacing w:line="240" w:lineRule="auto"/>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Sfpi1</w:t>
            </w:r>
          </w:p>
        </w:tc>
        <w:tc>
          <w:tcPr>
            <w:tcW w:w="990" w:type="dxa"/>
            <w:tcBorders>
              <w:top w:val="nil"/>
              <w:left w:val="nil"/>
              <w:bottom w:val="single" w:sz="4" w:space="0" w:color="auto"/>
              <w:right w:val="single" w:sz="4" w:space="0" w:color="auto"/>
            </w:tcBorders>
            <w:shd w:val="clear" w:color="auto" w:fill="auto"/>
            <w:noWrap/>
            <w:vAlign w:val="bottom"/>
            <w:hideMark/>
          </w:tcPr>
          <w:p w14:paraId="04A080E8"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78</w:t>
            </w:r>
          </w:p>
        </w:tc>
        <w:tc>
          <w:tcPr>
            <w:tcW w:w="990" w:type="dxa"/>
            <w:tcBorders>
              <w:top w:val="nil"/>
              <w:left w:val="nil"/>
              <w:bottom w:val="single" w:sz="4" w:space="0" w:color="auto"/>
              <w:right w:val="single" w:sz="4" w:space="0" w:color="auto"/>
            </w:tcBorders>
            <w:shd w:val="clear" w:color="auto" w:fill="auto"/>
            <w:noWrap/>
            <w:vAlign w:val="bottom"/>
            <w:hideMark/>
          </w:tcPr>
          <w:p w14:paraId="1C7DE63A"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182</w:t>
            </w:r>
          </w:p>
        </w:tc>
        <w:tc>
          <w:tcPr>
            <w:tcW w:w="900" w:type="dxa"/>
            <w:tcBorders>
              <w:top w:val="nil"/>
              <w:left w:val="nil"/>
              <w:bottom w:val="single" w:sz="4" w:space="0" w:color="auto"/>
              <w:right w:val="single" w:sz="4" w:space="0" w:color="auto"/>
            </w:tcBorders>
            <w:shd w:val="clear" w:color="auto" w:fill="auto"/>
            <w:noWrap/>
            <w:vAlign w:val="bottom"/>
            <w:hideMark/>
          </w:tcPr>
          <w:p w14:paraId="24F5FD6A"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243</w:t>
            </w:r>
          </w:p>
        </w:tc>
        <w:tc>
          <w:tcPr>
            <w:tcW w:w="900" w:type="dxa"/>
            <w:tcBorders>
              <w:top w:val="nil"/>
              <w:left w:val="nil"/>
              <w:bottom w:val="single" w:sz="4" w:space="0" w:color="auto"/>
              <w:right w:val="single" w:sz="4" w:space="0" w:color="auto"/>
            </w:tcBorders>
            <w:shd w:val="clear" w:color="auto" w:fill="auto"/>
            <w:noWrap/>
            <w:vAlign w:val="bottom"/>
            <w:hideMark/>
          </w:tcPr>
          <w:p w14:paraId="0C0783C8"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137</w:t>
            </w:r>
          </w:p>
        </w:tc>
        <w:tc>
          <w:tcPr>
            <w:tcW w:w="900" w:type="dxa"/>
            <w:tcBorders>
              <w:top w:val="nil"/>
              <w:left w:val="nil"/>
              <w:bottom w:val="single" w:sz="4" w:space="0" w:color="auto"/>
              <w:right w:val="single" w:sz="8" w:space="0" w:color="auto"/>
            </w:tcBorders>
            <w:shd w:val="clear" w:color="auto" w:fill="auto"/>
            <w:noWrap/>
            <w:vAlign w:val="bottom"/>
            <w:hideMark/>
          </w:tcPr>
          <w:p w14:paraId="175752F2"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73</w:t>
            </w:r>
          </w:p>
        </w:tc>
      </w:tr>
      <w:tr w:rsidR="00076968" w:rsidRPr="00076968" w14:paraId="45F41426" w14:textId="77777777" w:rsidTr="00076968">
        <w:trPr>
          <w:trHeight w:val="300"/>
          <w:jc w:val="center"/>
        </w:trPr>
        <w:tc>
          <w:tcPr>
            <w:tcW w:w="1020" w:type="dxa"/>
            <w:tcBorders>
              <w:top w:val="nil"/>
              <w:left w:val="single" w:sz="8" w:space="0" w:color="auto"/>
              <w:bottom w:val="single" w:sz="4" w:space="0" w:color="auto"/>
              <w:right w:val="single" w:sz="4" w:space="0" w:color="auto"/>
            </w:tcBorders>
            <w:shd w:val="clear" w:color="auto" w:fill="auto"/>
            <w:noWrap/>
            <w:vAlign w:val="bottom"/>
            <w:hideMark/>
          </w:tcPr>
          <w:p w14:paraId="3A4FA380" w14:textId="77777777" w:rsidR="00076968" w:rsidRPr="00076968" w:rsidRDefault="00076968" w:rsidP="00076968">
            <w:pPr>
              <w:spacing w:line="240" w:lineRule="auto"/>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Sox17</w:t>
            </w:r>
          </w:p>
        </w:tc>
        <w:tc>
          <w:tcPr>
            <w:tcW w:w="990" w:type="dxa"/>
            <w:tcBorders>
              <w:top w:val="nil"/>
              <w:left w:val="nil"/>
              <w:bottom w:val="single" w:sz="4" w:space="0" w:color="auto"/>
              <w:right w:val="single" w:sz="4" w:space="0" w:color="auto"/>
            </w:tcBorders>
            <w:shd w:val="clear" w:color="auto" w:fill="auto"/>
            <w:noWrap/>
            <w:vAlign w:val="bottom"/>
            <w:hideMark/>
          </w:tcPr>
          <w:p w14:paraId="1C40360D"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205</w:t>
            </w:r>
          </w:p>
        </w:tc>
        <w:tc>
          <w:tcPr>
            <w:tcW w:w="990" w:type="dxa"/>
            <w:tcBorders>
              <w:top w:val="nil"/>
              <w:left w:val="nil"/>
              <w:bottom w:val="single" w:sz="4" w:space="0" w:color="auto"/>
              <w:right w:val="single" w:sz="4" w:space="0" w:color="auto"/>
            </w:tcBorders>
            <w:shd w:val="clear" w:color="auto" w:fill="auto"/>
            <w:noWrap/>
            <w:vAlign w:val="bottom"/>
            <w:hideMark/>
          </w:tcPr>
          <w:p w14:paraId="66664E50"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1</w:t>
            </w:r>
          </w:p>
        </w:tc>
        <w:tc>
          <w:tcPr>
            <w:tcW w:w="900" w:type="dxa"/>
            <w:tcBorders>
              <w:top w:val="nil"/>
              <w:left w:val="nil"/>
              <w:bottom w:val="single" w:sz="4" w:space="0" w:color="auto"/>
              <w:right w:val="single" w:sz="4" w:space="0" w:color="auto"/>
            </w:tcBorders>
            <w:shd w:val="clear" w:color="auto" w:fill="auto"/>
            <w:noWrap/>
            <w:vAlign w:val="bottom"/>
            <w:hideMark/>
          </w:tcPr>
          <w:p w14:paraId="7DD738BD"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284</w:t>
            </w:r>
          </w:p>
        </w:tc>
        <w:tc>
          <w:tcPr>
            <w:tcW w:w="900" w:type="dxa"/>
            <w:tcBorders>
              <w:top w:val="nil"/>
              <w:left w:val="nil"/>
              <w:bottom w:val="single" w:sz="4" w:space="0" w:color="auto"/>
              <w:right w:val="single" w:sz="4" w:space="0" w:color="auto"/>
            </w:tcBorders>
            <w:shd w:val="clear" w:color="auto" w:fill="auto"/>
            <w:noWrap/>
            <w:vAlign w:val="bottom"/>
            <w:hideMark/>
          </w:tcPr>
          <w:p w14:paraId="44A89728"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72</w:t>
            </w:r>
          </w:p>
        </w:tc>
        <w:tc>
          <w:tcPr>
            <w:tcW w:w="900" w:type="dxa"/>
            <w:tcBorders>
              <w:top w:val="nil"/>
              <w:left w:val="nil"/>
              <w:bottom w:val="single" w:sz="4" w:space="0" w:color="auto"/>
              <w:right w:val="single" w:sz="8" w:space="0" w:color="auto"/>
            </w:tcBorders>
            <w:shd w:val="clear" w:color="auto" w:fill="auto"/>
            <w:noWrap/>
            <w:vAlign w:val="bottom"/>
            <w:hideMark/>
          </w:tcPr>
          <w:p w14:paraId="12BBB3F9"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35</w:t>
            </w:r>
          </w:p>
        </w:tc>
      </w:tr>
      <w:tr w:rsidR="00076968" w:rsidRPr="00076968" w14:paraId="355CE98E" w14:textId="77777777" w:rsidTr="00076968">
        <w:trPr>
          <w:trHeight w:val="300"/>
          <w:jc w:val="center"/>
        </w:trPr>
        <w:tc>
          <w:tcPr>
            <w:tcW w:w="1020" w:type="dxa"/>
            <w:tcBorders>
              <w:top w:val="nil"/>
              <w:left w:val="single" w:sz="8" w:space="0" w:color="auto"/>
              <w:bottom w:val="single" w:sz="4" w:space="0" w:color="auto"/>
              <w:right w:val="single" w:sz="4" w:space="0" w:color="auto"/>
            </w:tcBorders>
            <w:shd w:val="clear" w:color="auto" w:fill="auto"/>
            <w:noWrap/>
            <w:vAlign w:val="bottom"/>
            <w:hideMark/>
          </w:tcPr>
          <w:p w14:paraId="3FB5D497" w14:textId="77777777" w:rsidR="00076968" w:rsidRPr="00076968" w:rsidRDefault="00076968" w:rsidP="00076968">
            <w:pPr>
              <w:spacing w:line="240" w:lineRule="auto"/>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Sox7</w:t>
            </w:r>
          </w:p>
        </w:tc>
        <w:tc>
          <w:tcPr>
            <w:tcW w:w="990" w:type="dxa"/>
            <w:tcBorders>
              <w:top w:val="nil"/>
              <w:left w:val="nil"/>
              <w:bottom w:val="single" w:sz="4" w:space="0" w:color="auto"/>
              <w:right w:val="single" w:sz="4" w:space="0" w:color="auto"/>
            </w:tcBorders>
            <w:shd w:val="clear" w:color="auto" w:fill="auto"/>
            <w:noWrap/>
            <w:vAlign w:val="bottom"/>
            <w:hideMark/>
          </w:tcPr>
          <w:p w14:paraId="3DA97614"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247</w:t>
            </w:r>
          </w:p>
        </w:tc>
        <w:tc>
          <w:tcPr>
            <w:tcW w:w="990" w:type="dxa"/>
            <w:tcBorders>
              <w:top w:val="nil"/>
              <w:left w:val="nil"/>
              <w:bottom w:val="single" w:sz="4" w:space="0" w:color="auto"/>
              <w:right w:val="single" w:sz="4" w:space="0" w:color="auto"/>
            </w:tcBorders>
            <w:shd w:val="clear" w:color="auto" w:fill="auto"/>
            <w:noWrap/>
            <w:vAlign w:val="bottom"/>
            <w:hideMark/>
          </w:tcPr>
          <w:p w14:paraId="2923B336"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19</w:t>
            </w:r>
          </w:p>
        </w:tc>
        <w:tc>
          <w:tcPr>
            <w:tcW w:w="900" w:type="dxa"/>
            <w:tcBorders>
              <w:top w:val="nil"/>
              <w:left w:val="nil"/>
              <w:bottom w:val="single" w:sz="4" w:space="0" w:color="auto"/>
              <w:right w:val="single" w:sz="4" w:space="0" w:color="auto"/>
            </w:tcBorders>
            <w:shd w:val="clear" w:color="auto" w:fill="auto"/>
            <w:noWrap/>
            <w:vAlign w:val="bottom"/>
            <w:hideMark/>
          </w:tcPr>
          <w:p w14:paraId="599EDF34"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420</w:t>
            </w:r>
          </w:p>
        </w:tc>
        <w:tc>
          <w:tcPr>
            <w:tcW w:w="900" w:type="dxa"/>
            <w:tcBorders>
              <w:top w:val="nil"/>
              <w:left w:val="nil"/>
              <w:bottom w:val="single" w:sz="4" w:space="0" w:color="auto"/>
              <w:right w:val="single" w:sz="4" w:space="0" w:color="auto"/>
            </w:tcBorders>
            <w:shd w:val="clear" w:color="auto" w:fill="auto"/>
            <w:noWrap/>
            <w:vAlign w:val="bottom"/>
            <w:hideMark/>
          </w:tcPr>
          <w:p w14:paraId="3EE5BDC2"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195</w:t>
            </w:r>
          </w:p>
        </w:tc>
        <w:tc>
          <w:tcPr>
            <w:tcW w:w="900" w:type="dxa"/>
            <w:tcBorders>
              <w:top w:val="nil"/>
              <w:left w:val="nil"/>
              <w:bottom w:val="single" w:sz="4" w:space="0" w:color="auto"/>
              <w:right w:val="single" w:sz="8" w:space="0" w:color="auto"/>
            </w:tcBorders>
            <w:shd w:val="clear" w:color="auto" w:fill="auto"/>
            <w:noWrap/>
            <w:vAlign w:val="bottom"/>
            <w:hideMark/>
          </w:tcPr>
          <w:p w14:paraId="0EAD9C96"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127</w:t>
            </w:r>
          </w:p>
        </w:tc>
      </w:tr>
      <w:tr w:rsidR="00076968" w:rsidRPr="00076968" w14:paraId="128E16C2" w14:textId="77777777" w:rsidTr="00076968">
        <w:trPr>
          <w:trHeight w:val="300"/>
          <w:jc w:val="center"/>
        </w:trPr>
        <w:tc>
          <w:tcPr>
            <w:tcW w:w="1020" w:type="dxa"/>
            <w:tcBorders>
              <w:top w:val="nil"/>
              <w:left w:val="single" w:sz="8" w:space="0" w:color="auto"/>
              <w:bottom w:val="single" w:sz="4" w:space="0" w:color="auto"/>
              <w:right w:val="single" w:sz="4" w:space="0" w:color="auto"/>
            </w:tcBorders>
            <w:shd w:val="clear" w:color="auto" w:fill="auto"/>
            <w:noWrap/>
            <w:vAlign w:val="bottom"/>
            <w:hideMark/>
          </w:tcPr>
          <w:p w14:paraId="4878B5DE" w14:textId="77777777" w:rsidR="00076968" w:rsidRPr="00076968" w:rsidRDefault="00076968" w:rsidP="00076968">
            <w:pPr>
              <w:spacing w:line="240" w:lineRule="auto"/>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Tal1</w:t>
            </w:r>
          </w:p>
        </w:tc>
        <w:tc>
          <w:tcPr>
            <w:tcW w:w="990" w:type="dxa"/>
            <w:tcBorders>
              <w:top w:val="nil"/>
              <w:left w:val="nil"/>
              <w:bottom w:val="single" w:sz="4" w:space="0" w:color="auto"/>
              <w:right w:val="single" w:sz="4" w:space="0" w:color="auto"/>
            </w:tcBorders>
            <w:shd w:val="clear" w:color="auto" w:fill="auto"/>
            <w:noWrap/>
            <w:vAlign w:val="bottom"/>
            <w:hideMark/>
          </w:tcPr>
          <w:p w14:paraId="59E5D1D9"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249</w:t>
            </w:r>
          </w:p>
        </w:tc>
        <w:tc>
          <w:tcPr>
            <w:tcW w:w="990" w:type="dxa"/>
            <w:tcBorders>
              <w:top w:val="nil"/>
              <w:left w:val="nil"/>
              <w:bottom w:val="single" w:sz="4" w:space="0" w:color="auto"/>
              <w:right w:val="single" w:sz="4" w:space="0" w:color="auto"/>
            </w:tcBorders>
            <w:shd w:val="clear" w:color="auto" w:fill="auto"/>
            <w:noWrap/>
            <w:vAlign w:val="bottom"/>
            <w:hideMark/>
          </w:tcPr>
          <w:p w14:paraId="60B0679E"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383</w:t>
            </w:r>
          </w:p>
        </w:tc>
        <w:tc>
          <w:tcPr>
            <w:tcW w:w="900" w:type="dxa"/>
            <w:tcBorders>
              <w:top w:val="nil"/>
              <w:left w:val="nil"/>
              <w:bottom w:val="single" w:sz="4" w:space="0" w:color="auto"/>
              <w:right w:val="single" w:sz="4" w:space="0" w:color="auto"/>
            </w:tcBorders>
            <w:shd w:val="clear" w:color="auto" w:fill="auto"/>
            <w:noWrap/>
            <w:vAlign w:val="bottom"/>
            <w:hideMark/>
          </w:tcPr>
          <w:p w14:paraId="6A8406EA"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431</w:t>
            </w:r>
          </w:p>
        </w:tc>
        <w:tc>
          <w:tcPr>
            <w:tcW w:w="900" w:type="dxa"/>
            <w:tcBorders>
              <w:top w:val="nil"/>
              <w:left w:val="nil"/>
              <w:bottom w:val="single" w:sz="4" w:space="0" w:color="auto"/>
              <w:right w:val="single" w:sz="4" w:space="0" w:color="auto"/>
            </w:tcBorders>
            <w:shd w:val="clear" w:color="auto" w:fill="auto"/>
            <w:noWrap/>
            <w:vAlign w:val="bottom"/>
            <w:hideMark/>
          </w:tcPr>
          <w:p w14:paraId="660A3C23"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204</w:t>
            </w:r>
          </w:p>
        </w:tc>
        <w:tc>
          <w:tcPr>
            <w:tcW w:w="900" w:type="dxa"/>
            <w:tcBorders>
              <w:top w:val="nil"/>
              <w:left w:val="nil"/>
              <w:bottom w:val="single" w:sz="4" w:space="0" w:color="auto"/>
              <w:right w:val="single" w:sz="8" w:space="0" w:color="auto"/>
            </w:tcBorders>
            <w:shd w:val="clear" w:color="auto" w:fill="auto"/>
            <w:noWrap/>
            <w:vAlign w:val="bottom"/>
            <w:hideMark/>
          </w:tcPr>
          <w:p w14:paraId="31B1F198"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133</w:t>
            </w:r>
          </w:p>
        </w:tc>
      </w:tr>
      <w:tr w:rsidR="00076968" w:rsidRPr="00076968" w14:paraId="68140538" w14:textId="77777777" w:rsidTr="00076968">
        <w:trPr>
          <w:trHeight w:val="300"/>
          <w:jc w:val="center"/>
        </w:trPr>
        <w:tc>
          <w:tcPr>
            <w:tcW w:w="1020" w:type="dxa"/>
            <w:tcBorders>
              <w:top w:val="nil"/>
              <w:left w:val="single" w:sz="8" w:space="0" w:color="auto"/>
              <w:bottom w:val="single" w:sz="4" w:space="0" w:color="auto"/>
              <w:right w:val="single" w:sz="4" w:space="0" w:color="auto"/>
            </w:tcBorders>
            <w:shd w:val="clear" w:color="auto" w:fill="auto"/>
            <w:noWrap/>
            <w:vAlign w:val="bottom"/>
            <w:hideMark/>
          </w:tcPr>
          <w:p w14:paraId="700BCF57" w14:textId="77777777" w:rsidR="00076968" w:rsidRPr="00076968" w:rsidRDefault="00076968" w:rsidP="00076968">
            <w:pPr>
              <w:spacing w:line="240" w:lineRule="auto"/>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Tbx20</w:t>
            </w:r>
          </w:p>
        </w:tc>
        <w:tc>
          <w:tcPr>
            <w:tcW w:w="990" w:type="dxa"/>
            <w:tcBorders>
              <w:top w:val="nil"/>
              <w:left w:val="nil"/>
              <w:bottom w:val="single" w:sz="4" w:space="0" w:color="auto"/>
              <w:right w:val="single" w:sz="4" w:space="0" w:color="auto"/>
            </w:tcBorders>
            <w:shd w:val="clear" w:color="auto" w:fill="auto"/>
            <w:noWrap/>
            <w:vAlign w:val="bottom"/>
            <w:hideMark/>
          </w:tcPr>
          <w:p w14:paraId="101E25A8"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170</w:t>
            </w:r>
          </w:p>
        </w:tc>
        <w:tc>
          <w:tcPr>
            <w:tcW w:w="990" w:type="dxa"/>
            <w:tcBorders>
              <w:top w:val="nil"/>
              <w:left w:val="nil"/>
              <w:bottom w:val="single" w:sz="4" w:space="0" w:color="auto"/>
              <w:right w:val="single" w:sz="4" w:space="0" w:color="auto"/>
            </w:tcBorders>
            <w:shd w:val="clear" w:color="auto" w:fill="auto"/>
            <w:noWrap/>
            <w:vAlign w:val="bottom"/>
            <w:hideMark/>
          </w:tcPr>
          <w:p w14:paraId="6F976AFB"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16</w:t>
            </w:r>
          </w:p>
        </w:tc>
        <w:tc>
          <w:tcPr>
            <w:tcW w:w="900" w:type="dxa"/>
            <w:tcBorders>
              <w:top w:val="nil"/>
              <w:left w:val="nil"/>
              <w:bottom w:val="single" w:sz="4" w:space="0" w:color="auto"/>
              <w:right w:val="single" w:sz="4" w:space="0" w:color="auto"/>
            </w:tcBorders>
            <w:shd w:val="clear" w:color="auto" w:fill="auto"/>
            <w:noWrap/>
            <w:vAlign w:val="bottom"/>
            <w:hideMark/>
          </w:tcPr>
          <w:p w14:paraId="1EF00DEE"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377</w:t>
            </w:r>
          </w:p>
        </w:tc>
        <w:tc>
          <w:tcPr>
            <w:tcW w:w="900" w:type="dxa"/>
            <w:tcBorders>
              <w:top w:val="nil"/>
              <w:left w:val="nil"/>
              <w:bottom w:val="single" w:sz="4" w:space="0" w:color="auto"/>
              <w:right w:val="single" w:sz="4" w:space="0" w:color="auto"/>
            </w:tcBorders>
            <w:shd w:val="clear" w:color="auto" w:fill="auto"/>
            <w:noWrap/>
            <w:vAlign w:val="bottom"/>
            <w:hideMark/>
          </w:tcPr>
          <w:p w14:paraId="7A5328EB"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184</w:t>
            </w:r>
          </w:p>
        </w:tc>
        <w:tc>
          <w:tcPr>
            <w:tcW w:w="900" w:type="dxa"/>
            <w:tcBorders>
              <w:top w:val="nil"/>
              <w:left w:val="nil"/>
              <w:bottom w:val="single" w:sz="4" w:space="0" w:color="auto"/>
              <w:right w:val="single" w:sz="8" w:space="0" w:color="auto"/>
            </w:tcBorders>
            <w:shd w:val="clear" w:color="auto" w:fill="auto"/>
            <w:noWrap/>
            <w:vAlign w:val="bottom"/>
            <w:hideMark/>
          </w:tcPr>
          <w:p w14:paraId="6355A7D2"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150</w:t>
            </w:r>
          </w:p>
        </w:tc>
      </w:tr>
      <w:tr w:rsidR="00076968" w:rsidRPr="00076968" w14:paraId="12CE13D0" w14:textId="77777777" w:rsidTr="00076968">
        <w:trPr>
          <w:trHeight w:val="320"/>
          <w:jc w:val="center"/>
        </w:trPr>
        <w:tc>
          <w:tcPr>
            <w:tcW w:w="1020" w:type="dxa"/>
            <w:tcBorders>
              <w:top w:val="nil"/>
              <w:left w:val="single" w:sz="8" w:space="0" w:color="auto"/>
              <w:bottom w:val="single" w:sz="8" w:space="0" w:color="auto"/>
              <w:right w:val="single" w:sz="4" w:space="0" w:color="auto"/>
            </w:tcBorders>
            <w:shd w:val="clear" w:color="auto" w:fill="auto"/>
            <w:noWrap/>
            <w:vAlign w:val="bottom"/>
            <w:hideMark/>
          </w:tcPr>
          <w:p w14:paraId="63191EB1" w14:textId="77777777" w:rsidR="00076968" w:rsidRPr="00076968" w:rsidRDefault="00076968" w:rsidP="00076968">
            <w:pPr>
              <w:spacing w:line="240" w:lineRule="auto"/>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Tbx3</w:t>
            </w:r>
          </w:p>
        </w:tc>
        <w:tc>
          <w:tcPr>
            <w:tcW w:w="990" w:type="dxa"/>
            <w:tcBorders>
              <w:top w:val="nil"/>
              <w:left w:val="nil"/>
              <w:bottom w:val="single" w:sz="8" w:space="0" w:color="auto"/>
              <w:right w:val="single" w:sz="4" w:space="0" w:color="auto"/>
            </w:tcBorders>
            <w:shd w:val="clear" w:color="auto" w:fill="auto"/>
            <w:noWrap/>
            <w:vAlign w:val="bottom"/>
            <w:hideMark/>
          </w:tcPr>
          <w:p w14:paraId="55BB54F9"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135</w:t>
            </w:r>
          </w:p>
        </w:tc>
        <w:tc>
          <w:tcPr>
            <w:tcW w:w="990" w:type="dxa"/>
            <w:tcBorders>
              <w:top w:val="nil"/>
              <w:left w:val="nil"/>
              <w:bottom w:val="single" w:sz="8" w:space="0" w:color="auto"/>
              <w:right w:val="single" w:sz="4" w:space="0" w:color="auto"/>
            </w:tcBorders>
            <w:shd w:val="clear" w:color="auto" w:fill="auto"/>
            <w:noWrap/>
            <w:vAlign w:val="bottom"/>
            <w:hideMark/>
          </w:tcPr>
          <w:p w14:paraId="0EB7CB26"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32</w:t>
            </w:r>
          </w:p>
        </w:tc>
        <w:tc>
          <w:tcPr>
            <w:tcW w:w="900" w:type="dxa"/>
            <w:tcBorders>
              <w:top w:val="nil"/>
              <w:left w:val="nil"/>
              <w:bottom w:val="single" w:sz="8" w:space="0" w:color="auto"/>
              <w:right w:val="single" w:sz="4" w:space="0" w:color="auto"/>
            </w:tcBorders>
            <w:shd w:val="clear" w:color="auto" w:fill="auto"/>
            <w:noWrap/>
            <w:vAlign w:val="bottom"/>
            <w:hideMark/>
          </w:tcPr>
          <w:p w14:paraId="3BF9197E"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223</w:t>
            </w:r>
          </w:p>
        </w:tc>
        <w:tc>
          <w:tcPr>
            <w:tcW w:w="900" w:type="dxa"/>
            <w:tcBorders>
              <w:top w:val="nil"/>
              <w:left w:val="nil"/>
              <w:bottom w:val="single" w:sz="8" w:space="0" w:color="auto"/>
              <w:right w:val="single" w:sz="4" w:space="0" w:color="auto"/>
            </w:tcBorders>
            <w:shd w:val="clear" w:color="auto" w:fill="auto"/>
            <w:noWrap/>
            <w:vAlign w:val="bottom"/>
            <w:hideMark/>
          </w:tcPr>
          <w:p w14:paraId="5E53C273"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135</w:t>
            </w:r>
          </w:p>
        </w:tc>
        <w:tc>
          <w:tcPr>
            <w:tcW w:w="900" w:type="dxa"/>
            <w:tcBorders>
              <w:top w:val="nil"/>
              <w:left w:val="nil"/>
              <w:bottom w:val="single" w:sz="8" w:space="0" w:color="auto"/>
              <w:right w:val="single" w:sz="8" w:space="0" w:color="auto"/>
            </w:tcBorders>
            <w:shd w:val="clear" w:color="auto" w:fill="auto"/>
            <w:noWrap/>
            <w:vAlign w:val="bottom"/>
            <w:hideMark/>
          </w:tcPr>
          <w:p w14:paraId="4E57A126"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131</w:t>
            </w:r>
          </w:p>
        </w:tc>
      </w:tr>
    </w:tbl>
    <w:p w14:paraId="06DAC059" w14:textId="77777777" w:rsidR="002D38A0" w:rsidRPr="00076968" w:rsidRDefault="002D38A0" w:rsidP="00076968">
      <w:pPr>
        <w:spacing w:line="240" w:lineRule="auto"/>
        <w:rPr>
          <w:rFonts w:ascii="Times New Roman" w:hAnsi="Times New Roman" w:cs="Times New Roman"/>
          <w:b/>
          <w:sz w:val="24"/>
          <w:szCs w:val="24"/>
        </w:rPr>
      </w:pPr>
    </w:p>
    <w:p w14:paraId="1111C923" w14:textId="1748632E" w:rsidR="00076968" w:rsidRDefault="00547B69" w:rsidP="00076968">
      <w:pPr>
        <w:spacing w:line="240" w:lineRule="auto"/>
        <w:ind w:firstLine="720"/>
        <w:rPr>
          <w:rFonts w:ascii="Times New Roman" w:hAnsi="Times New Roman" w:cs="Times New Roman"/>
          <w:sz w:val="24"/>
          <w:szCs w:val="24"/>
        </w:rPr>
      </w:pPr>
      <w:r>
        <w:rPr>
          <w:rFonts w:ascii="Times New Roman" w:hAnsi="Times New Roman" w:cs="Times New Roman"/>
          <w:sz w:val="24"/>
          <w:szCs w:val="24"/>
        </w:rPr>
        <w:t>Because the</w:t>
      </w:r>
      <w:r w:rsidR="00076968" w:rsidRPr="00076968">
        <w:rPr>
          <w:rFonts w:ascii="Times New Roman" w:hAnsi="Times New Roman" w:cs="Times New Roman"/>
          <w:sz w:val="24"/>
          <w:szCs w:val="24"/>
        </w:rPr>
        <w:t xml:space="preserve"> contingency matrix contained zeros in the binary expression data </w:t>
      </w:r>
      <w:r>
        <w:rPr>
          <w:rFonts w:ascii="Times New Roman" w:hAnsi="Times New Roman" w:cs="Times New Roman"/>
          <w:sz w:val="24"/>
          <w:szCs w:val="24"/>
        </w:rPr>
        <w:t>for</w:t>
      </w:r>
      <w:r w:rsidR="00076968" w:rsidRPr="00076968">
        <w:rPr>
          <w:rFonts w:ascii="Times New Roman" w:hAnsi="Times New Roman" w:cs="Times New Roman"/>
          <w:sz w:val="24"/>
          <w:szCs w:val="24"/>
        </w:rPr>
        <w:t xml:space="preserve"> HoxB2 and HoxD8, </w:t>
      </w:r>
      <w:r>
        <w:rPr>
          <w:rFonts w:ascii="Times New Roman" w:hAnsi="Times New Roman" w:cs="Times New Roman"/>
          <w:sz w:val="24"/>
          <w:szCs w:val="24"/>
        </w:rPr>
        <w:t>we removed them</w:t>
      </w:r>
      <w:r w:rsidR="00076968" w:rsidRPr="00076968">
        <w:rPr>
          <w:rFonts w:ascii="Times New Roman" w:hAnsi="Times New Roman" w:cs="Times New Roman"/>
          <w:sz w:val="24"/>
          <w:szCs w:val="24"/>
        </w:rPr>
        <w:t xml:space="preserve"> from the ta</w:t>
      </w:r>
      <w:r>
        <w:rPr>
          <w:rFonts w:ascii="Times New Roman" w:hAnsi="Times New Roman" w:cs="Times New Roman"/>
          <w:sz w:val="24"/>
          <w:szCs w:val="24"/>
        </w:rPr>
        <w:t>ble to perform an accurate Chi-s</w:t>
      </w:r>
      <w:r w:rsidR="00076968" w:rsidRPr="00076968">
        <w:rPr>
          <w:rFonts w:ascii="Times New Roman" w:hAnsi="Times New Roman" w:cs="Times New Roman"/>
          <w:sz w:val="24"/>
          <w:szCs w:val="24"/>
        </w:rPr>
        <w:t xml:space="preserve">quared analysis. </w:t>
      </w:r>
      <w:r>
        <w:rPr>
          <w:rFonts w:ascii="Times New Roman" w:hAnsi="Times New Roman" w:cs="Times New Roman"/>
          <w:sz w:val="24"/>
          <w:szCs w:val="24"/>
        </w:rPr>
        <w:t>Their lack of expression across the different cell types might be due to biological regulation by other genes in the analysis. More importantly, the Chi-squared statistic cannot incorporate these genes because the statistic would be undefined otherwise.</w:t>
      </w:r>
    </w:p>
    <w:p w14:paraId="725DFD08" w14:textId="77777777" w:rsidR="00577F4D" w:rsidRPr="00076968" w:rsidRDefault="00577F4D" w:rsidP="00076968">
      <w:pPr>
        <w:spacing w:line="240" w:lineRule="auto"/>
        <w:ind w:firstLine="720"/>
        <w:rPr>
          <w:rFonts w:ascii="Times New Roman" w:hAnsi="Times New Roman" w:cs="Times New Roman"/>
          <w:color w:val="auto"/>
          <w:sz w:val="24"/>
          <w:szCs w:val="24"/>
        </w:rPr>
      </w:pPr>
    </w:p>
    <w:p w14:paraId="1AC11A63" w14:textId="7261E1E2" w:rsidR="00076968" w:rsidRPr="00076968" w:rsidRDefault="00076968" w:rsidP="00076968">
      <w:pPr>
        <w:spacing w:line="240" w:lineRule="auto"/>
        <w:ind w:firstLine="720"/>
        <w:rPr>
          <w:rFonts w:ascii="Times New Roman" w:hAnsi="Times New Roman" w:cs="Times New Roman"/>
          <w:color w:val="auto"/>
          <w:sz w:val="24"/>
          <w:szCs w:val="24"/>
        </w:rPr>
      </w:pPr>
      <w:r w:rsidRPr="00076968">
        <w:rPr>
          <w:rFonts w:ascii="Times New Roman" w:hAnsi="Times New Roman" w:cs="Times New Roman"/>
          <w:sz w:val="24"/>
          <w:szCs w:val="24"/>
        </w:rPr>
        <w:t xml:space="preserve">The modified contingency matrix was then used for </w:t>
      </w:r>
      <w:r w:rsidR="00547B69">
        <w:rPr>
          <w:rFonts w:ascii="Times New Roman" w:hAnsi="Times New Roman" w:cs="Times New Roman"/>
          <w:sz w:val="24"/>
          <w:szCs w:val="24"/>
        </w:rPr>
        <w:t>the Chi-s</w:t>
      </w:r>
      <w:r w:rsidRPr="00076968">
        <w:rPr>
          <w:rFonts w:ascii="Times New Roman" w:hAnsi="Times New Roman" w:cs="Times New Roman"/>
          <w:sz w:val="24"/>
          <w:szCs w:val="24"/>
        </w:rPr>
        <w:t xml:space="preserve">quared </w:t>
      </w:r>
      <w:r w:rsidR="00547B69">
        <w:rPr>
          <w:rFonts w:ascii="Times New Roman" w:hAnsi="Times New Roman" w:cs="Times New Roman"/>
          <w:sz w:val="24"/>
          <w:szCs w:val="24"/>
        </w:rPr>
        <w:t>test of homogeneity. An ove</w:t>
      </w:r>
      <w:r w:rsidR="00A42EDE">
        <w:rPr>
          <w:rFonts w:ascii="Times New Roman" w:hAnsi="Times New Roman" w:cs="Times New Roman"/>
          <w:sz w:val="24"/>
          <w:szCs w:val="24"/>
        </w:rPr>
        <w:t>rall test of homogeneity yields</w:t>
      </w:r>
      <w:r w:rsidR="00547B69">
        <w:rPr>
          <w:rFonts w:ascii="Times New Roman" w:hAnsi="Times New Roman" w:cs="Times New Roman"/>
          <w:sz w:val="24"/>
          <w:szCs w:val="24"/>
        </w:rPr>
        <w:t xml:space="preserve"> the following result: </w:t>
      </w:r>
    </w:p>
    <w:p w14:paraId="7D1E12D1" w14:textId="77777777" w:rsidR="00076968" w:rsidRPr="00076968" w:rsidRDefault="00076968" w:rsidP="00076968">
      <w:pPr>
        <w:spacing w:line="240" w:lineRule="auto"/>
        <w:rPr>
          <w:rFonts w:ascii="Times New Roman" w:eastAsia="Times New Roman" w:hAnsi="Times New Roman" w:cs="Times New Roman"/>
          <w:color w:val="auto"/>
          <w:sz w:val="24"/>
          <w:szCs w:val="24"/>
        </w:rPr>
      </w:pPr>
    </w:p>
    <w:p w14:paraId="05C4C760" w14:textId="77777777" w:rsidR="00076968" w:rsidRPr="00076968" w:rsidRDefault="00076968" w:rsidP="00076968">
      <w:pPr>
        <w:spacing w:line="240" w:lineRule="auto"/>
        <w:jc w:val="center"/>
        <w:rPr>
          <w:rFonts w:ascii="Times New Roman" w:hAnsi="Times New Roman" w:cs="Times New Roman"/>
          <w:color w:val="auto"/>
          <w:sz w:val="24"/>
          <w:szCs w:val="24"/>
        </w:rPr>
      </w:pPr>
      <w:r w:rsidRPr="00076968">
        <w:rPr>
          <w:rFonts w:ascii="Times New Roman" w:hAnsi="Times New Roman" w:cs="Times New Roman"/>
          <w:sz w:val="24"/>
          <w:szCs w:val="24"/>
        </w:rPr>
        <w:t>X-squared = 4873.5, df = 120, p-value &lt; 2.2e-16</w:t>
      </w:r>
    </w:p>
    <w:p w14:paraId="692173A2" w14:textId="77777777" w:rsidR="00076968" w:rsidRPr="00076968" w:rsidRDefault="00076968" w:rsidP="00076968">
      <w:pPr>
        <w:spacing w:line="240" w:lineRule="auto"/>
        <w:rPr>
          <w:rFonts w:ascii="Times New Roman" w:eastAsia="Times New Roman" w:hAnsi="Times New Roman" w:cs="Times New Roman"/>
          <w:color w:val="auto"/>
          <w:sz w:val="24"/>
          <w:szCs w:val="24"/>
        </w:rPr>
      </w:pPr>
    </w:p>
    <w:p w14:paraId="435DEBD0" w14:textId="4FCF9FF2" w:rsidR="00076968" w:rsidRDefault="00A42EDE" w:rsidP="00076968">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As expected, we reject the original null hypothesis that the distribution of </w:t>
      </w:r>
      <w:r w:rsidR="00076968" w:rsidRPr="00076968">
        <w:rPr>
          <w:rFonts w:ascii="Times New Roman" w:hAnsi="Times New Roman" w:cs="Times New Roman"/>
          <w:sz w:val="24"/>
          <w:szCs w:val="24"/>
        </w:rPr>
        <w:t>gene expression levels across tim</w:t>
      </w:r>
      <w:r w:rsidR="00BA5F86">
        <w:rPr>
          <w:rFonts w:ascii="Times New Roman" w:hAnsi="Times New Roman" w:cs="Times New Roman"/>
          <w:sz w:val="24"/>
          <w:szCs w:val="24"/>
        </w:rPr>
        <w:t>e are the same for a given gene</w:t>
      </w:r>
      <w:r w:rsidR="00076968" w:rsidRPr="00076968">
        <w:rPr>
          <w:rFonts w:ascii="Times New Roman" w:hAnsi="Times New Roman" w:cs="Times New Roman"/>
          <w:sz w:val="24"/>
          <w:szCs w:val="24"/>
        </w:rPr>
        <w:t xml:space="preserve"> in favor of </w:t>
      </w:r>
      <w:r w:rsidR="00BA5F86">
        <w:rPr>
          <w:rFonts w:ascii="Times New Roman" w:hAnsi="Times New Roman" w:cs="Times New Roman"/>
          <w:sz w:val="24"/>
          <w:szCs w:val="24"/>
        </w:rPr>
        <w:t>the</w:t>
      </w:r>
      <w:r w:rsidR="00076968" w:rsidRPr="00076968">
        <w:rPr>
          <w:rFonts w:ascii="Times New Roman" w:hAnsi="Times New Roman" w:cs="Times New Roman"/>
          <w:sz w:val="24"/>
          <w:szCs w:val="24"/>
        </w:rPr>
        <w:t xml:space="preserve"> alternative hypothesis that the gene expression levels for a given gene are not constant across time. Intuitively, different cell types would naturally require </w:t>
      </w:r>
      <w:r w:rsidR="007D0711">
        <w:rPr>
          <w:rFonts w:ascii="Times New Roman" w:hAnsi="Times New Roman" w:cs="Times New Roman"/>
          <w:sz w:val="24"/>
          <w:szCs w:val="24"/>
        </w:rPr>
        <w:t xml:space="preserve">different </w:t>
      </w:r>
      <w:r w:rsidR="00076968" w:rsidRPr="00076968">
        <w:rPr>
          <w:rFonts w:ascii="Times New Roman" w:hAnsi="Times New Roman" w:cs="Times New Roman"/>
          <w:sz w:val="24"/>
          <w:szCs w:val="24"/>
        </w:rPr>
        <w:t>genes to be activate</w:t>
      </w:r>
      <w:r w:rsidR="00076968">
        <w:rPr>
          <w:rFonts w:ascii="Times New Roman" w:hAnsi="Times New Roman" w:cs="Times New Roman"/>
          <w:sz w:val="24"/>
          <w:szCs w:val="24"/>
        </w:rPr>
        <w:t>d</w:t>
      </w:r>
      <w:r w:rsidR="00076968" w:rsidRPr="00076968">
        <w:rPr>
          <w:rFonts w:ascii="Times New Roman" w:hAnsi="Times New Roman" w:cs="Times New Roman"/>
          <w:sz w:val="24"/>
          <w:szCs w:val="24"/>
        </w:rPr>
        <w:t xml:space="preserve"> in order to correctly function.</w:t>
      </w:r>
      <w:r w:rsidR="00E734E4">
        <w:rPr>
          <w:rFonts w:ascii="Times New Roman" w:hAnsi="Times New Roman" w:cs="Times New Roman"/>
          <w:sz w:val="24"/>
          <w:szCs w:val="24"/>
        </w:rPr>
        <w:t xml:space="preserve"> In fact, the activation and deactivation of particular genes drives the differentiation process. </w:t>
      </w:r>
    </w:p>
    <w:p w14:paraId="052C5BDD" w14:textId="77777777" w:rsidR="00577F4D" w:rsidRDefault="00577F4D" w:rsidP="00076968">
      <w:pPr>
        <w:spacing w:line="240" w:lineRule="auto"/>
        <w:ind w:firstLine="720"/>
        <w:rPr>
          <w:rFonts w:ascii="Times New Roman" w:hAnsi="Times New Roman" w:cs="Times New Roman"/>
          <w:sz w:val="24"/>
          <w:szCs w:val="24"/>
        </w:rPr>
      </w:pPr>
    </w:p>
    <w:p w14:paraId="11CCE3D6" w14:textId="5FF0EB7C" w:rsidR="00FC3A57" w:rsidRPr="00FC3A57" w:rsidRDefault="00FC3A57" w:rsidP="00FC3A57">
      <w:pPr>
        <w:spacing w:line="240" w:lineRule="auto"/>
        <w:ind w:firstLine="720"/>
        <w:rPr>
          <w:rFonts w:ascii="Times New Roman" w:hAnsi="Times New Roman" w:cs="Times New Roman"/>
          <w:color w:val="auto"/>
          <w:sz w:val="24"/>
          <w:szCs w:val="24"/>
        </w:rPr>
      </w:pPr>
      <w:r w:rsidRPr="00FC3A57">
        <w:rPr>
          <w:rFonts w:ascii="Times New Roman" w:hAnsi="Times New Roman" w:cs="Times New Roman"/>
          <w:sz w:val="24"/>
          <w:szCs w:val="24"/>
        </w:rPr>
        <w:t>To better visualize and analyze which specif</w:t>
      </w:r>
      <w:r w:rsidR="00E734E4">
        <w:rPr>
          <w:rFonts w:ascii="Times New Roman" w:hAnsi="Times New Roman" w:cs="Times New Roman"/>
          <w:sz w:val="24"/>
          <w:szCs w:val="24"/>
        </w:rPr>
        <w:t xml:space="preserve">ic genes were contributing the most </w:t>
      </w:r>
      <w:r w:rsidRPr="00FC3A57">
        <w:rPr>
          <w:rFonts w:ascii="Times New Roman" w:hAnsi="Times New Roman" w:cs="Times New Roman"/>
          <w:sz w:val="24"/>
          <w:szCs w:val="24"/>
        </w:rPr>
        <w:t>to inhomogeneity, we performed a correspondence analysis</w:t>
      </w:r>
      <w:r w:rsidR="00E734E4">
        <w:rPr>
          <w:rFonts w:ascii="Times New Roman" w:hAnsi="Times New Roman" w:cs="Times New Roman"/>
          <w:sz w:val="24"/>
          <w:szCs w:val="24"/>
        </w:rPr>
        <w:t>. We also recomputed the Chi-squared s</w:t>
      </w:r>
      <w:r w:rsidRPr="00FC3A57">
        <w:rPr>
          <w:rFonts w:ascii="Times New Roman" w:hAnsi="Times New Roman" w:cs="Times New Roman"/>
          <w:sz w:val="24"/>
          <w:szCs w:val="24"/>
        </w:rPr>
        <w:t>tatistics</w:t>
      </w:r>
      <w:r w:rsidR="00E734E4">
        <w:rPr>
          <w:rFonts w:ascii="Times New Roman" w:hAnsi="Times New Roman" w:cs="Times New Roman"/>
          <w:sz w:val="24"/>
          <w:szCs w:val="24"/>
        </w:rPr>
        <w:t xml:space="preserve"> </w:t>
      </w:r>
      <w:r w:rsidRPr="00FC3A57">
        <w:rPr>
          <w:rFonts w:ascii="Times New Roman" w:hAnsi="Times New Roman" w:cs="Times New Roman"/>
          <w:sz w:val="24"/>
          <w:szCs w:val="24"/>
        </w:rPr>
        <w:t>after removing each gene individually</w:t>
      </w:r>
      <w:r w:rsidR="00E734E4">
        <w:rPr>
          <w:rFonts w:ascii="Times New Roman" w:hAnsi="Times New Roman" w:cs="Times New Roman"/>
          <w:sz w:val="24"/>
          <w:szCs w:val="24"/>
        </w:rPr>
        <w:t xml:space="preserve"> for the same purpose</w:t>
      </w:r>
      <w:r w:rsidRPr="00FC3A57">
        <w:rPr>
          <w:rFonts w:ascii="Times New Roman" w:hAnsi="Times New Roman" w:cs="Times New Roman"/>
          <w:sz w:val="24"/>
          <w:szCs w:val="24"/>
        </w:rPr>
        <w:t xml:space="preserve">. To control for the final differentiation (into either 4SG or 4SFG), we performed a Chi-Squared Analysis on the data after removing these two columns from the table. This would tell us which genes were most important in differentiation prior to the final differentiation, and which genes were most important in determining if an HF cell became an endothelial </w:t>
      </w:r>
      <w:r w:rsidR="00E734E4">
        <w:rPr>
          <w:rFonts w:ascii="Times New Roman" w:hAnsi="Times New Roman" w:cs="Times New Roman"/>
          <w:sz w:val="24"/>
          <w:szCs w:val="24"/>
        </w:rPr>
        <w:t>progenitor</w:t>
      </w:r>
      <w:r w:rsidRPr="00FC3A57">
        <w:rPr>
          <w:rFonts w:ascii="Times New Roman" w:hAnsi="Times New Roman" w:cs="Times New Roman"/>
          <w:sz w:val="24"/>
          <w:szCs w:val="24"/>
        </w:rPr>
        <w:t xml:space="preserve"> or an erythroid </w:t>
      </w:r>
      <w:r w:rsidR="00E734E4">
        <w:rPr>
          <w:rFonts w:ascii="Times New Roman" w:hAnsi="Times New Roman" w:cs="Times New Roman"/>
          <w:sz w:val="24"/>
          <w:szCs w:val="24"/>
        </w:rPr>
        <w:t>progenitor</w:t>
      </w:r>
      <w:r w:rsidRPr="00FC3A57">
        <w:rPr>
          <w:rFonts w:ascii="Times New Roman" w:hAnsi="Times New Roman" w:cs="Times New Roman"/>
          <w:sz w:val="24"/>
          <w:szCs w:val="24"/>
        </w:rPr>
        <w:t>. By plotting the Chi-Squared statistics in the manner described above, we yielded the following two plots:</w:t>
      </w:r>
    </w:p>
    <w:p w14:paraId="7C4D4535" w14:textId="3808DA6F" w:rsidR="00577F4D" w:rsidRDefault="00577F4D" w:rsidP="00577F4D">
      <w:pPr>
        <w:spacing w:line="240" w:lineRule="auto"/>
        <w:rPr>
          <w:rFonts w:ascii="Times New Roman" w:hAnsi="Times New Roman"/>
          <w:b/>
          <w:color w:val="auto"/>
          <w:sz w:val="20"/>
          <w:szCs w:val="20"/>
        </w:rPr>
      </w:pPr>
      <w:r>
        <w:rPr>
          <w:rFonts w:eastAsia="Times New Roman" w:cs="Times New Roman"/>
          <w:noProof/>
        </w:rPr>
        <w:drawing>
          <wp:inline distT="0" distB="0" distL="0" distR="0" wp14:anchorId="40BE04B4" wp14:editId="54C748E1">
            <wp:extent cx="5600700" cy="2708275"/>
            <wp:effectExtent l="0" t="0" r="12700" b="9525"/>
            <wp:docPr id="3" name="Picture 3" descr="s_wo_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_wo_final.png"/>
                    <pic:cNvPicPr>
                      <a:picLocks noChangeAspect="1" noChangeArrowheads="1"/>
                    </pic:cNvPicPr>
                  </pic:nvPicPr>
                  <pic:blipFill rotWithShape="1">
                    <a:blip r:embed="rId10">
                      <a:extLst>
                        <a:ext uri="{28A0092B-C50C-407E-A947-70E740481C1C}">
                          <a14:useLocalDpi xmlns:a14="http://schemas.microsoft.com/office/drawing/2010/main" val="0"/>
                        </a:ext>
                      </a:extLst>
                    </a:blip>
                    <a:srcRect t="16144" b="4831"/>
                    <a:stretch/>
                  </pic:blipFill>
                  <pic:spPr bwMode="auto">
                    <a:xfrm>
                      <a:off x="0" y="0"/>
                      <a:ext cx="5602621" cy="2709204"/>
                    </a:xfrm>
                    <a:prstGeom prst="rect">
                      <a:avLst/>
                    </a:prstGeom>
                    <a:noFill/>
                    <a:ln>
                      <a:noFill/>
                    </a:ln>
                    <a:extLst>
                      <a:ext uri="{53640926-AAD7-44d8-BBD7-CCE9431645EC}">
                        <a14:shadowObscured xmlns:a14="http://schemas.microsoft.com/office/drawing/2010/main"/>
                      </a:ext>
                    </a:extLst>
                  </pic:spPr>
                </pic:pic>
              </a:graphicData>
            </a:graphic>
          </wp:inline>
        </w:drawing>
      </w:r>
    </w:p>
    <w:p w14:paraId="3B64F27F" w14:textId="4D76A580" w:rsidR="00FC3A57" w:rsidRDefault="00455319" w:rsidP="00577F4D">
      <w:pPr>
        <w:spacing w:line="240" w:lineRule="auto"/>
        <w:ind w:left="720"/>
        <w:rPr>
          <w:rFonts w:ascii="Times New Roman" w:hAnsi="Times New Roman"/>
          <w:color w:val="auto"/>
          <w:sz w:val="20"/>
          <w:szCs w:val="20"/>
        </w:rPr>
      </w:pPr>
      <w:r>
        <w:rPr>
          <w:noProof/>
        </w:rPr>
        <mc:AlternateContent>
          <mc:Choice Requires="wps">
            <w:drawing>
              <wp:anchor distT="0" distB="0" distL="114300" distR="114300" simplePos="0" relativeHeight="251678720" behindDoc="0" locked="0" layoutInCell="1" allowOverlap="1" wp14:anchorId="671FB411" wp14:editId="3D525FDA">
                <wp:simplePos x="0" y="0"/>
                <wp:positionH relativeFrom="column">
                  <wp:posOffset>228600</wp:posOffset>
                </wp:positionH>
                <wp:positionV relativeFrom="paragraph">
                  <wp:posOffset>86995</wp:posOffset>
                </wp:positionV>
                <wp:extent cx="5140960" cy="321310"/>
                <wp:effectExtent l="0" t="0" r="0" b="8890"/>
                <wp:wrapTight wrapText="bothSides">
                  <wp:wrapPolygon edited="0">
                    <wp:start x="0" y="0"/>
                    <wp:lineTo x="0" y="20490"/>
                    <wp:lineTo x="21451" y="20490"/>
                    <wp:lineTo x="21451" y="0"/>
                    <wp:lineTo x="0" y="0"/>
                  </wp:wrapPolygon>
                </wp:wrapTight>
                <wp:docPr id="19" name="Text Box 19"/>
                <wp:cNvGraphicFramePr/>
                <a:graphic xmlns:a="http://schemas.openxmlformats.org/drawingml/2006/main">
                  <a:graphicData uri="http://schemas.microsoft.com/office/word/2010/wordprocessingShape">
                    <wps:wsp>
                      <wps:cNvSpPr txBox="1"/>
                      <wps:spPr>
                        <a:xfrm>
                          <a:off x="0" y="0"/>
                          <a:ext cx="5140960" cy="32131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47AD61F1" w14:textId="0AD81617" w:rsidR="00651AE8" w:rsidRPr="00AF5618" w:rsidRDefault="00651AE8" w:rsidP="00455319">
                            <w:pPr>
                              <w:pStyle w:val="NormalWeb"/>
                              <w:spacing w:before="0" w:beforeAutospacing="0" w:after="0" w:afterAutospacing="0"/>
                              <w:ind w:left="720"/>
                              <w:rPr>
                                <w:rFonts w:ascii="Times New Roman" w:hAnsi="Times New Roman"/>
                              </w:rPr>
                            </w:pPr>
                            <w:r w:rsidRPr="00AF5618">
                              <w:rPr>
                                <w:rFonts w:ascii="Times New Roman" w:hAnsi="Times New Roman"/>
                              </w:rPr>
                              <w:t xml:space="preserve">Figure </w:t>
                            </w:r>
                            <w:r>
                              <w:rPr>
                                <w:rFonts w:ascii="Times New Roman" w:hAnsi="Times New Roman"/>
                              </w:rPr>
                              <w:t>2</w:t>
                            </w:r>
                            <w:r w:rsidRPr="00AF5618">
                              <w:rPr>
                                <w:rFonts w:ascii="Times New Roman" w:hAnsi="Times New Roman"/>
                              </w:rPr>
                              <w:t xml:space="preserve">: </w:t>
                            </w:r>
                            <w:r>
                              <w:rPr>
                                <w:rFonts w:ascii="Times New Roman" w:hAnsi="Times New Roman"/>
                                <w:color w:val="000000"/>
                              </w:rPr>
                              <w:t>This graph represents the Chi-squared s</w:t>
                            </w:r>
                            <w:r w:rsidRPr="00AF5618">
                              <w:rPr>
                                <w:rFonts w:ascii="Times New Roman" w:hAnsi="Times New Roman"/>
                                <w:color w:val="000000"/>
                              </w:rPr>
                              <w:t xml:space="preserve">tatistics of the table after removing the given genes </w:t>
                            </w:r>
                            <w:r>
                              <w:rPr>
                                <w:rFonts w:ascii="Times New Roman" w:hAnsi="Times New Roman"/>
                                <w:i/>
                                <w:iCs/>
                                <w:color w:val="000000"/>
                              </w:rPr>
                              <w:t>prior</w:t>
                            </w:r>
                            <w:r w:rsidRPr="00AF5618">
                              <w:rPr>
                                <w:rFonts w:ascii="Times New Roman" w:hAnsi="Times New Roman"/>
                                <w:color w:val="000000"/>
                              </w:rPr>
                              <w:t xml:space="preserve"> to the final differentiation into an endothelial cell or an erythroid cell.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9" o:spid="_x0000_s1027" type="#_x0000_t202" style="position:absolute;left:0;text-align:left;margin-left:18pt;margin-top:6.85pt;width:404.8pt;height:25.3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" stroked="f">
                <v:textbox inset="0,0,0,0">
                  <w:txbxContent>
                    <w:p w14:paraId="47AD61F1" w14:textId="0AD81617" w:rsidR="00651AE8" w:rsidRPr="00AF5618" w:rsidRDefault="00651AE8" w:rsidP="00455319">
                      <w:pPr>
                        <w:pStyle w:val="NormalWeb"/>
                        <w:spacing w:before="0" w:beforeAutospacing="0" w:after="0" w:afterAutospacing="0"/>
                        <w:ind w:left="720"/>
                        <w:rPr>
                          <w:rFonts w:ascii="Times New Roman" w:hAnsi="Times New Roman"/>
                        </w:rPr>
                      </w:pPr>
                      <w:r w:rsidRPr="00AF5618">
                        <w:rPr>
                          <w:rFonts w:ascii="Times New Roman" w:hAnsi="Times New Roman"/>
                        </w:rPr>
                        <w:t xml:space="preserve">Figure </w:t>
                      </w:r>
                      <w:r>
                        <w:rPr>
                          <w:rFonts w:ascii="Times New Roman" w:hAnsi="Times New Roman"/>
                        </w:rPr>
                        <w:t>2</w:t>
                      </w:r>
                      <w:r w:rsidRPr="00AF5618">
                        <w:rPr>
                          <w:rFonts w:ascii="Times New Roman" w:hAnsi="Times New Roman"/>
                        </w:rPr>
                        <w:t xml:space="preserve">: </w:t>
                      </w:r>
                      <w:r>
                        <w:rPr>
                          <w:rFonts w:ascii="Times New Roman" w:hAnsi="Times New Roman"/>
                          <w:color w:val="000000"/>
                        </w:rPr>
                        <w:t>This graph represents the Chi-squared s</w:t>
                      </w:r>
                      <w:r w:rsidRPr="00AF5618">
                        <w:rPr>
                          <w:rFonts w:ascii="Times New Roman" w:hAnsi="Times New Roman"/>
                          <w:color w:val="000000"/>
                        </w:rPr>
                        <w:t xml:space="preserve">tatistics of the table after removing the given genes </w:t>
                      </w:r>
                      <w:r>
                        <w:rPr>
                          <w:rFonts w:ascii="Times New Roman" w:hAnsi="Times New Roman"/>
                          <w:i/>
                          <w:iCs/>
                          <w:color w:val="000000"/>
                        </w:rPr>
                        <w:t>prior</w:t>
                      </w:r>
                      <w:r w:rsidRPr="00AF5618">
                        <w:rPr>
                          <w:rFonts w:ascii="Times New Roman" w:hAnsi="Times New Roman"/>
                          <w:color w:val="000000"/>
                        </w:rPr>
                        <w:t xml:space="preserve"> to the final differentiation into an endothelial cell or an erythroid cell.</w:t>
                      </w:r>
                    </w:p>
                  </w:txbxContent>
                </v:textbox>
                <w10:wrap type="tight"/>
              </v:shape>
            </w:pict>
          </mc:Fallback>
        </mc:AlternateContent>
      </w:r>
    </w:p>
    <w:p w14:paraId="6F89FB17" w14:textId="77777777" w:rsidR="00455319" w:rsidRPr="00577F4D" w:rsidRDefault="00455319" w:rsidP="00577F4D">
      <w:pPr>
        <w:spacing w:line="240" w:lineRule="auto"/>
        <w:ind w:left="720"/>
        <w:rPr>
          <w:rFonts w:ascii="Times New Roman" w:eastAsia="Times New Roman" w:hAnsi="Times New Roman" w:cs="Times New Roman"/>
          <w:color w:val="auto"/>
          <w:sz w:val="24"/>
          <w:szCs w:val="24"/>
        </w:rPr>
      </w:pPr>
    </w:p>
    <w:p w14:paraId="2AB7CFE0" w14:textId="77777777" w:rsidR="00FC3A57" w:rsidRPr="00FC3A57" w:rsidRDefault="00FC3A57" w:rsidP="00FC3A57">
      <w:pPr>
        <w:spacing w:line="240" w:lineRule="auto"/>
        <w:rPr>
          <w:rFonts w:ascii="Times" w:eastAsia="Times New Roman" w:hAnsi="Times" w:cs="Times New Roman"/>
          <w:color w:val="auto"/>
          <w:sz w:val="20"/>
          <w:szCs w:val="20"/>
        </w:rPr>
      </w:pPr>
    </w:p>
    <w:p w14:paraId="68AE80C4" w14:textId="77777777" w:rsidR="00FC3A57" w:rsidRPr="00FC3A57" w:rsidRDefault="00FC3A57" w:rsidP="00FC3A57">
      <w:pPr>
        <w:pStyle w:val="Caption"/>
        <w:rPr>
          <w:rFonts w:ascii="Times" w:eastAsia="Times New Roman" w:hAnsi="Times" w:cs="Times New Roman"/>
          <w:color w:val="auto"/>
          <w:sz w:val="20"/>
          <w:szCs w:val="20"/>
        </w:rPr>
      </w:pPr>
    </w:p>
    <w:p w14:paraId="098EC87B" w14:textId="77777777" w:rsidR="00FC3A57" w:rsidRPr="00FC3A57" w:rsidRDefault="001D1587" w:rsidP="00FC3A57">
      <w:pPr>
        <w:spacing w:line="240" w:lineRule="auto"/>
        <w:rPr>
          <w:rFonts w:ascii="Times New Roman" w:eastAsia="Times New Roman" w:hAnsi="Times New Roman" w:cs="Times New Roman"/>
          <w:color w:val="auto"/>
          <w:sz w:val="24"/>
          <w:szCs w:val="24"/>
        </w:rPr>
      </w:pPr>
      <w:r>
        <w:rPr>
          <w:rFonts w:eastAsia="Times New Roman" w:cs="Times New Roman"/>
          <w:noProof/>
        </w:rPr>
        <w:lastRenderedPageBreak/>
        <w:drawing>
          <wp:anchor distT="0" distB="0" distL="114300" distR="114300" simplePos="0" relativeHeight="251661312" behindDoc="0" locked="0" layoutInCell="1" allowOverlap="1" wp14:anchorId="7C43B142" wp14:editId="6A52BF36">
            <wp:simplePos x="0" y="0"/>
            <wp:positionH relativeFrom="column">
              <wp:posOffset>228600</wp:posOffset>
            </wp:positionH>
            <wp:positionV relativeFrom="paragraph">
              <wp:posOffset>151130</wp:posOffset>
            </wp:positionV>
            <wp:extent cx="5715000" cy="3113405"/>
            <wp:effectExtent l="0" t="0" r="0" b="10795"/>
            <wp:wrapTight wrapText="bothSides">
              <wp:wrapPolygon edited="0">
                <wp:start x="0" y="0"/>
                <wp:lineTo x="0" y="21499"/>
                <wp:lineTo x="21504" y="21499"/>
                <wp:lineTo x="21504" y="0"/>
                <wp:lineTo x="0" y="0"/>
              </wp:wrapPolygon>
            </wp:wrapTight>
            <wp:docPr id="5" name="Picture 5" descr="s_w_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_w_final.png"/>
                    <pic:cNvPicPr>
                      <a:picLocks noChangeAspect="1" noChangeArrowheads="1"/>
                    </pic:cNvPicPr>
                  </pic:nvPicPr>
                  <pic:blipFill rotWithShape="1">
                    <a:blip r:embed="rId11">
                      <a:extLst>
                        <a:ext uri="{28A0092B-C50C-407E-A947-70E740481C1C}">
                          <a14:useLocalDpi xmlns:a14="http://schemas.microsoft.com/office/drawing/2010/main" val="0"/>
                        </a:ext>
                      </a:extLst>
                    </a:blip>
                    <a:srcRect t="16129" b="3592"/>
                    <a:stretch/>
                  </pic:blipFill>
                  <pic:spPr bwMode="auto">
                    <a:xfrm>
                      <a:off x="0" y="0"/>
                      <a:ext cx="5715000" cy="31134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5ADD207" w14:textId="77777777" w:rsidR="00FC3A57" w:rsidRPr="00FC3A57" w:rsidRDefault="00FC3A57" w:rsidP="00FC3A57">
      <w:pPr>
        <w:spacing w:line="240" w:lineRule="auto"/>
        <w:rPr>
          <w:rFonts w:ascii="Times" w:eastAsia="Times New Roman" w:hAnsi="Times" w:cs="Times New Roman"/>
          <w:color w:val="auto"/>
          <w:sz w:val="20"/>
          <w:szCs w:val="20"/>
        </w:rPr>
      </w:pPr>
    </w:p>
    <w:p w14:paraId="385F2AFD" w14:textId="77777777" w:rsidR="00FC3A57" w:rsidRPr="00FC3A57" w:rsidRDefault="00FC3A57" w:rsidP="00FC3A57">
      <w:pPr>
        <w:spacing w:line="240" w:lineRule="auto"/>
        <w:rPr>
          <w:rFonts w:ascii="Times New Roman" w:hAnsi="Times New Roman" w:cs="Times New Roman"/>
          <w:color w:val="auto"/>
          <w:sz w:val="24"/>
          <w:szCs w:val="24"/>
        </w:rPr>
      </w:pPr>
    </w:p>
    <w:p w14:paraId="3600FA96" w14:textId="77777777" w:rsidR="00076968" w:rsidRPr="00FC3A57" w:rsidRDefault="00076968" w:rsidP="00076968">
      <w:pPr>
        <w:spacing w:line="240" w:lineRule="auto"/>
        <w:rPr>
          <w:rFonts w:ascii="Times New Roman" w:eastAsia="Times New Roman" w:hAnsi="Times New Roman" w:cs="Times New Roman"/>
          <w:color w:val="auto"/>
          <w:sz w:val="24"/>
          <w:szCs w:val="24"/>
        </w:rPr>
      </w:pPr>
    </w:p>
    <w:p w14:paraId="5E9A1BB1" w14:textId="77777777" w:rsidR="002D38A0" w:rsidRDefault="002D38A0" w:rsidP="00124F00">
      <w:pPr>
        <w:spacing w:line="240" w:lineRule="auto"/>
        <w:contextualSpacing/>
        <w:rPr>
          <w:rFonts w:ascii="Times New Roman" w:hAnsi="Times New Roman" w:cs="Times New Roman"/>
          <w:b/>
          <w:sz w:val="24"/>
          <w:szCs w:val="24"/>
        </w:rPr>
      </w:pPr>
    </w:p>
    <w:p w14:paraId="59252EEA" w14:textId="77777777" w:rsidR="00076968" w:rsidRDefault="00076968" w:rsidP="00124F00">
      <w:pPr>
        <w:spacing w:line="240" w:lineRule="auto"/>
        <w:contextualSpacing/>
        <w:rPr>
          <w:rFonts w:ascii="Times New Roman" w:hAnsi="Times New Roman" w:cs="Times New Roman"/>
          <w:b/>
          <w:sz w:val="24"/>
          <w:szCs w:val="24"/>
        </w:rPr>
      </w:pPr>
    </w:p>
    <w:p w14:paraId="0285AA24" w14:textId="77777777" w:rsidR="00AF5618" w:rsidRDefault="00AF5618" w:rsidP="00124F00">
      <w:pPr>
        <w:spacing w:line="240" w:lineRule="auto"/>
        <w:contextualSpacing/>
        <w:rPr>
          <w:rFonts w:ascii="Times New Roman" w:hAnsi="Times New Roman" w:cs="Times New Roman"/>
          <w:b/>
          <w:sz w:val="24"/>
          <w:szCs w:val="24"/>
        </w:rPr>
      </w:pPr>
    </w:p>
    <w:p w14:paraId="5CDCE677" w14:textId="77777777" w:rsidR="00AF5618" w:rsidRDefault="00AF5618" w:rsidP="00124F00">
      <w:pPr>
        <w:spacing w:line="240" w:lineRule="auto"/>
        <w:contextualSpacing/>
        <w:rPr>
          <w:rFonts w:ascii="Times New Roman" w:hAnsi="Times New Roman" w:cs="Times New Roman"/>
          <w:b/>
          <w:sz w:val="24"/>
          <w:szCs w:val="24"/>
        </w:rPr>
      </w:pPr>
    </w:p>
    <w:p w14:paraId="218256B3" w14:textId="77777777" w:rsidR="00AF5618" w:rsidRDefault="00AF5618" w:rsidP="00124F00">
      <w:pPr>
        <w:spacing w:line="240" w:lineRule="auto"/>
        <w:contextualSpacing/>
        <w:rPr>
          <w:rFonts w:ascii="Times New Roman" w:hAnsi="Times New Roman" w:cs="Times New Roman"/>
          <w:b/>
          <w:sz w:val="24"/>
          <w:szCs w:val="24"/>
        </w:rPr>
      </w:pPr>
    </w:p>
    <w:p w14:paraId="2044D7FD" w14:textId="77777777" w:rsidR="00AF5618" w:rsidRDefault="00AF5618" w:rsidP="00124F00">
      <w:pPr>
        <w:spacing w:line="240" w:lineRule="auto"/>
        <w:contextualSpacing/>
        <w:rPr>
          <w:rFonts w:ascii="Times New Roman" w:hAnsi="Times New Roman" w:cs="Times New Roman"/>
          <w:b/>
          <w:sz w:val="24"/>
          <w:szCs w:val="24"/>
        </w:rPr>
      </w:pPr>
    </w:p>
    <w:p w14:paraId="0C1EB8EA" w14:textId="77777777" w:rsidR="00AF5618" w:rsidRDefault="00AF5618" w:rsidP="00124F00">
      <w:pPr>
        <w:spacing w:line="240" w:lineRule="auto"/>
        <w:contextualSpacing/>
        <w:rPr>
          <w:rFonts w:ascii="Times New Roman" w:hAnsi="Times New Roman" w:cs="Times New Roman"/>
          <w:b/>
          <w:sz w:val="24"/>
          <w:szCs w:val="24"/>
        </w:rPr>
      </w:pPr>
    </w:p>
    <w:p w14:paraId="11A89EBC" w14:textId="77777777" w:rsidR="00AF5618" w:rsidRDefault="00AF5618" w:rsidP="00124F00">
      <w:pPr>
        <w:spacing w:line="240" w:lineRule="auto"/>
        <w:contextualSpacing/>
        <w:rPr>
          <w:rFonts w:ascii="Times New Roman" w:hAnsi="Times New Roman" w:cs="Times New Roman"/>
          <w:b/>
          <w:sz w:val="24"/>
          <w:szCs w:val="24"/>
        </w:rPr>
      </w:pPr>
    </w:p>
    <w:p w14:paraId="0CDE4ED8" w14:textId="77777777" w:rsidR="00AF5618" w:rsidRDefault="00AF5618" w:rsidP="00124F00">
      <w:pPr>
        <w:spacing w:line="240" w:lineRule="auto"/>
        <w:contextualSpacing/>
        <w:rPr>
          <w:rFonts w:ascii="Times New Roman" w:hAnsi="Times New Roman" w:cs="Times New Roman"/>
          <w:b/>
          <w:sz w:val="24"/>
          <w:szCs w:val="24"/>
        </w:rPr>
      </w:pPr>
    </w:p>
    <w:p w14:paraId="47835EF4" w14:textId="77777777" w:rsidR="00AF5618" w:rsidRDefault="00AF5618" w:rsidP="00124F00">
      <w:pPr>
        <w:spacing w:line="240" w:lineRule="auto"/>
        <w:contextualSpacing/>
        <w:rPr>
          <w:rFonts w:ascii="Times New Roman" w:hAnsi="Times New Roman" w:cs="Times New Roman"/>
          <w:b/>
          <w:sz w:val="24"/>
          <w:szCs w:val="24"/>
        </w:rPr>
      </w:pPr>
    </w:p>
    <w:p w14:paraId="15DE901C" w14:textId="77777777" w:rsidR="00AF5618" w:rsidRDefault="00AF5618" w:rsidP="00124F00">
      <w:pPr>
        <w:spacing w:line="240" w:lineRule="auto"/>
        <w:contextualSpacing/>
        <w:rPr>
          <w:rFonts w:ascii="Times New Roman" w:hAnsi="Times New Roman" w:cs="Times New Roman"/>
          <w:b/>
          <w:sz w:val="24"/>
          <w:szCs w:val="24"/>
        </w:rPr>
      </w:pPr>
    </w:p>
    <w:p w14:paraId="164B3101" w14:textId="77777777" w:rsidR="00AF5618" w:rsidRDefault="00AF5618" w:rsidP="00124F00">
      <w:pPr>
        <w:spacing w:line="240" w:lineRule="auto"/>
        <w:contextualSpacing/>
        <w:rPr>
          <w:rFonts w:ascii="Times New Roman" w:hAnsi="Times New Roman" w:cs="Times New Roman"/>
          <w:b/>
          <w:sz w:val="24"/>
          <w:szCs w:val="24"/>
        </w:rPr>
      </w:pPr>
    </w:p>
    <w:p w14:paraId="5DA3BAFE" w14:textId="77777777" w:rsidR="00AF5618" w:rsidRDefault="00AF5618" w:rsidP="00124F00">
      <w:pPr>
        <w:spacing w:line="240" w:lineRule="auto"/>
        <w:contextualSpacing/>
        <w:rPr>
          <w:rFonts w:ascii="Times New Roman" w:hAnsi="Times New Roman" w:cs="Times New Roman"/>
          <w:b/>
          <w:sz w:val="24"/>
          <w:szCs w:val="24"/>
        </w:rPr>
      </w:pPr>
    </w:p>
    <w:p w14:paraId="6D4994FC" w14:textId="77777777" w:rsidR="00AF5618" w:rsidRDefault="00AF5618" w:rsidP="00124F00">
      <w:pPr>
        <w:spacing w:line="240" w:lineRule="auto"/>
        <w:contextualSpacing/>
        <w:rPr>
          <w:rFonts w:ascii="Times New Roman" w:hAnsi="Times New Roman" w:cs="Times New Roman"/>
          <w:b/>
          <w:sz w:val="24"/>
          <w:szCs w:val="24"/>
        </w:rPr>
      </w:pPr>
    </w:p>
    <w:p w14:paraId="3AE58B45" w14:textId="77777777" w:rsidR="00AF5618" w:rsidRDefault="00AF5618" w:rsidP="00124F00">
      <w:pPr>
        <w:spacing w:line="240" w:lineRule="auto"/>
        <w:contextualSpacing/>
        <w:rPr>
          <w:rFonts w:ascii="Times New Roman" w:hAnsi="Times New Roman" w:cs="Times New Roman"/>
          <w:b/>
          <w:sz w:val="24"/>
          <w:szCs w:val="24"/>
        </w:rPr>
      </w:pPr>
    </w:p>
    <w:p w14:paraId="131CBC7F" w14:textId="77777777" w:rsidR="00AF5618" w:rsidRDefault="00AF5618" w:rsidP="00124F00">
      <w:pPr>
        <w:spacing w:line="240" w:lineRule="auto"/>
        <w:contextualSpacing/>
        <w:rPr>
          <w:rFonts w:ascii="Times New Roman" w:hAnsi="Times New Roman" w:cs="Times New Roman"/>
          <w:b/>
          <w:sz w:val="24"/>
          <w:szCs w:val="24"/>
        </w:rPr>
      </w:pPr>
      <w:r>
        <w:rPr>
          <w:noProof/>
        </w:rPr>
        <mc:AlternateContent>
          <mc:Choice Requires="wps">
            <w:drawing>
              <wp:anchor distT="0" distB="0" distL="114300" distR="114300" simplePos="0" relativeHeight="251663360" behindDoc="0" locked="0" layoutInCell="1" allowOverlap="1" wp14:anchorId="6FE79C49" wp14:editId="5CA6DFAA">
                <wp:simplePos x="0" y="0"/>
                <wp:positionH relativeFrom="column">
                  <wp:posOffset>571500</wp:posOffset>
                </wp:positionH>
                <wp:positionV relativeFrom="paragraph">
                  <wp:posOffset>50800</wp:posOffset>
                </wp:positionV>
                <wp:extent cx="5140960" cy="321310"/>
                <wp:effectExtent l="0" t="0" r="0" b="8890"/>
                <wp:wrapTight wrapText="bothSides">
                  <wp:wrapPolygon edited="0">
                    <wp:start x="0" y="0"/>
                    <wp:lineTo x="0" y="20490"/>
                    <wp:lineTo x="21451" y="20490"/>
                    <wp:lineTo x="21451" y="0"/>
                    <wp:lineTo x="0" y="0"/>
                  </wp:wrapPolygon>
                </wp:wrapTight>
                <wp:docPr id="6" name="Text Box 6"/>
                <wp:cNvGraphicFramePr/>
                <a:graphic xmlns:a="http://schemas.openxmlformats.org/drawingml/2006/main">
                  <a:graphicData uri="http://schemas.microsoft.com/office/word/2010/wordprocessingShape">
                    <wps:wsp>
                      <wps:cNvSpPr txBox="1"/>
                      <wps:spPr>
                        <a:xfrm>
                          <a:off x="0" y="0"/>
                          <a:ext cx="5140960" cy="32131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1B0D3719" w14:textId="3886E69D" w:rsidR="00651AE8" w:rsidRPr="00AF5618" w:rsidRDefault="00651AE8" w:rsidP="00AF5618">
                            <w:pPr>
                              <w:pStyle w:val="NormalWeb"/>
                              <w:spacing w:before="0" w:beforeAutospacing="0" w:after="0" w:afterAutospacing="0"/>
                              <w:ind w:left="720"/>
                              <w:rPr>
                                <w:rFonts w:ascii="Times New Roman" w:hAnsi="Times New Roman"/>
                              </w:rPr>
                            </w:pPr>
                            <w:r w:rsidRPr="00AF5618">
                              <w:rPr>
                                <w:rFonts w:ascii="Times New Roman" w:hAnsi="Times New Roman"/>
                              </w:rPr>
                              <w:t xml:space="preserve">Figure </w:t>
                            </w:r>
                            <w:r w:rsidRPr="00AF5618">
                              <w:rPr>
                                <w:rFonts w:ascii="Times New Roman" w:hAnsi="Times New Roman"/>
                              </w:rPr>
                              <w:fldChar w:fldCharType="begin"/>
                            </w:r>
                            <w:r w:rsidRPr="00AF5618">
                              <w:rPr>
                                <w:rFonts w:ascii="Times New Roman" w:hAnsi="Times New Roman"/>
                              </w:rPr>
                              <w:instrText xml:space="preserve"> SEQ Figure \* ARABIC </w:instrText>
                            </w:r>
                            <w:r w:rsidRPr="00AF5618">
                              <w:rPr>
                                <w:rFonts w:ascii="Times New Roman" w:hAnsi="Times New Roman"/>
                              </w:rPr>
                              <w:fldChar w:fldCharType="separate"/>
                            </w:r>
                            <w:r w:rsidRPr="00AF5618">
                              <w:rPr>
                                <w:rFonts w:ascii="Times New Roman" w:hAnsi="Times New Roman"/>
                                <w:noProof/>
                              </w:rPr>
                              <w:t>3</w:t>
                            </w:r>
                            <w:r w:rsidRPr="00AF5618">
                              <w:rPr>
                                <w:rFonts w:ascii="Times New Roman" w:hAnsi="Times New Roman"/>
                              </w:rPr>
                              <w:fldChar w:fldCharType="end"/>
                            </w:r>
                            <w:r w:rsidRPr="00AF5618">
                              <w:rPr>
                                <w:rFonts w:ascii="Times New Roman" w:hAnsi="Times New Roman"/>
                              </w:rPr>
                              <w:t xml:space="preserve">: </w:t>
                            </w:r>
                            <w:r w:rsidRPr="00AF5618">
                              <w:rPr>
                                <w:rFonts w:ascii="Times New Roman" w:hAnsi="Times New Roman"/>
                                <w:color w:val="000000"/>
                              </w:rPr>
                              <w:t xml:space="preserve">This graph represents the Chi-Squared Statistics of the table after removing the given genes </w:t>
                            </w:r>
                            <w:r w:rsidRPr="00AF5618">
                              <w:rPr>
                                <w:rFonts w:ascii="Times New Roman" w:hAnsi="Times New Roman"/>
                                <w:i/>
                                <w:iCs/>
                                <w:color w:val="000000"/>
                              </w:rPr>
                              <w:t>after</w:t>
                            </w:r>
                            <w:r w:rsidRPr="00AF5618">
                              <w:rPr>
                                <w:rFonts w:ascii="Times New Roman" w:hAnsi="Times New Roman"/>
                                <w:color w:val="000000"/>
                              </w:rPr>
                              <w:t xml:space="preserve"> the final differentiation into an endothelial cell or an erythroid cell.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6" o:spid="_x0000_s1028" type="#_x0000_t202" style="position:absolute;margin-left:45pt;margin-top:4pt;width:404.8pt;height:25.3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" stroked="f">
                <v:textbox inset="0,0,0,0">
                  <w:txbxContent>
                    <w:p w14:paraId="1B0D3719" w14:textId="3886E69D" w:rsidR="00651AE8" w:rsidRPr="00AF5618" w:rsidRDefault="00651AE8" w:rsidP="00AF5618">
                      <w:pPr>
                        <w:pStyle w:val="NormalWeb"/>
                        <w:spacing w:before="0" w:beforeAutospacing="0" w:after="0" w:afterAutospacing="0"/>
                        <w:ind w:left="720"/>
                        <w:rPr>
                          <w:rFonts w:ascii="Times New Roman" w:hAnsi="Times New Roman"/>
                        </w:rPr>
                      </w:pPr>
                      <w:r w:rsidRPr="00AF5618">
                        <w:rPr>
                          <w:rFonts w:ascii="Times New Roman" w:hAnsi="Times New Roman"/>
                        </w:rPr>
                        <w:t xml:space="preserve">Figure </w:t>
                      </w:r>
                      <w:r w:rsidRPr="00AF5618">
                        <w:rPr>
                          <w:rFonts w:ascii="Times New Roman" w:hAnsi="Times New Roman"/>
                        </w:rPr>
                        <w:fldChar w:fldCharType="begin"/>
                      </w:r>
                      <w:r w:rsidRPr="00AF5618">
                        <w:rPr>
                          <w:rFonts w:ascii="Times New Roman" w:hAnsi="Times New Roman"/>
                        </w:rPr>
                        <w:instrText xml:space="preserve"> SEQ Figure \* ARABIC </w:instrText>
                      </w:r>
                      <w:r w:rsidRPr="00AF5618">
                        <w:rPr>
                          <w:rFonts w:ascii="Times New Roman" w:hAnsi="Times New Roman"/>
                        </w:rPr>
                        <w:fldChar w:fldCharType="separate"/>
                      </w:r>
                      <w:r w:rsidRPr="00AF5618">
                        <w:rPr>
                          <w:rFonts w:ascii="Times New Roman" w:hAnsi="Times New Roman"/>
                          <w:noProof/>
                        </w:rPr>
                        <w:t>3</w:t>
                      </w:r>
                      <w:r w:rsidRPr="00AF5618">
                        <w:rPr>
                          <w:rFonts w:ascii="Times New Roman" w:hAnsi="Times New Roman"/>
                        </w:rPr>
                        <w:fldChar w:fldCharType="end"/>
                      </w:r>
                      <w:r w:rsidRPr="00AF5618">
                        <w:rPr>
                          <w:rFonts w:ascii="Times New Roman" w:hAnsi="Times New Roman"/>
                        </w:rPr>
                        <w:t xml:space="preserve">: </w:t>
                      </w:r>
                      <w:r w:rsidRPr="00AF5618">
                        <w:rPr>
                          <w:rFonts w:ascii="Times New Roman" w:hAnsi="Times New Roman"/>
                          <w:color w:val="000000"/>
                        </w:rPr>
                        <w:t xml:space="preserve">This graph represents the Chi-Squared Statistics of the table after removing the given genes </w:t>
                      </w:r>
                      <w:r w:rsidRPr="00AF5618">
                        <w:rPr>
                          <w:rFonts w:ascii="Times New Roman" w:hAnsi="Times New Roman"/>
                          <w:i/>
                          <w:iCs/>
                          <w:color w:val="000000"/>
                        </w:rPr>
                        <w:t>after</w:t>
                      </w:r>
                      <w:r w:rsidRPr="00AF5618">
                        <w:rPr>
                          <w:rFonts w:ascii="Times New Roman" w:hAnsi="Times New Roman"/>
                          <w:color w:val="000000"/>
                        </w:rPr>
                        <w:t xml:space="preserve"> the final differentiation into an endothelial cell or an erythroid cell.</w:t>
                      </w:r>
                    </w:p>
                  </w:txbxContent>
                </v:textbox>
                <w10:wrap type="tight"/>
              </v:shape>
            </w:pict>
          </mc:Fallback>
        </mc:AlternateContent>
      </w:r>
    </w:p>
    <w:p w14:paraId="5078133A" w14:textId="77777777" w:rsidR="00AF5618" w:rsidRDefault="00AF5618" w:rsidP="00124F00">
      <w:pPr>
        <w:spacing w:line="240" w:lineRule="auto"/>
        <w:contextualSpacing/>
        <w:rPr>
          <w:rFonts w:ascii="Times New Roman" w:hAnsi="Times New Roman" w:cs="Times New Roman"/>
          <w:b/>
          <w:sz w:val="24"/>
          <w:szCs w:val="24"/>
        </w:rPr>
      </w:pPr>
    </w:p>
    <w:p w14:paraId="29866FAA" w14:textId="77777777" w:rsidR="00AF5618" w:rsidRDefault="00AF5618" w:rsidP="00124F00">
      <w:pPr>
        <w:spacing w:line="240" w:lineRule="auto"/>
        <w:contextualSpacing/>
        <w:rPr>
          <w:rFonts w:ascii="Times New Roman" w:hAnsi="Times New Roman" w:cs="Times New Roman"/>
          <w:b/>
          <w:sz w:val="24"/>
          <w:szCs w:val="24"/>
        </w:rPr>
      </w:pPr>
    </w:p>
    <w:p w14:paraId="5A1E33CD" w14:textId="679C7A09" w:rsidR="00AF5618" w:rsidRDefault="00577F4D" w:rsidP="000B1665">
      <w:pPr>
        <w:pStyle w:val="NormalWeb"/>
        <w:spacing w:before="0" w:beforeAutospacing="0" w:after="0" w:afterAutospacing="0"/>
        <w:rPr>
          <w:rFonts w:ascii="Times New Roman" w:hAnsi="Times New Roman"/>
          <w:color w:val="000000"/>
          <w:sz w:val="24"/>
          <w:szCs w:val="24"/>
        </w:rPr>
      </w:pPr>
      <w:r>
        <w:rPr>
          <w:rFonts w:ascii="Times New Roman" w:eastAsia="Times New Roman" w:hAnsi="Times New Roman"/>
          <w:sz w:val="24"/>
          <w:szCs w:val="24"/>
        </w:rPr>
        <w:tab/>
      </w:r>
      <w:r w:rsidR="007E24F2">
        <w:rPr>
          <w:rFonts w:ascii="Times New Roman" w:eastAsia="Times New Roman" w:hAnsi="Times New Roman"/>
          <w:sz w:val="24"/>
          <w:szCs w:val="24"/>
        </w:rPr>
        <w:t xml:space="preserve">Note the overall difference in the range of Chi-squared statistic values between the two graphs, which indicates that the vast majority of difference in genetic expression is due to the final step of development into either erythroid or endothelial progenitors. </w:t>
      </w:r>
      <w:r w:rsidR="00EA452A">
        <w:rPr>
          <w:rFonts w:ascii="Times New Roman" w:eastAsia="Times New Roman" w:hAnsi="Times New Roman"/>
          <w:sz w:val="24"/>
          <w:szCs w:val="24"/>
        </w:rPr>
        <w:t>With these two graphs</w:t>
      </w:r>
      <w:r w:rsidR="00AF5618" w:rsidRPr="00AF5618">
        <w:rPr>
          <w:rFonts w:ascii="Times New Roman" w:eastAsia="Times New Roman" w:hAnsi="Times New Roman"/>
          <w:sz w:val="24"/>
          <w:szCs w:val="24"/>
        </w:rPr>
        <w:t xml:space="preserve">, we </w:t>
      </w:r>
      <w:r w:rsidR="00EA452A">
        <w:rPr>
          <w:rFonts w:ascii="Times New Roman" w:eastAsia="Times New Roman" w:hAnsi="Times New Roman"/>
          <w:sz w:val="24"/>
          <w:szCs w:val="24"/>
        </w:rPr>
        <w:t>determined</w:t>
      </w:r>
      <w:r w:rsidR="00AF5618" w:rsidRPr="00AF5618">
        <w:rPr>
          <w:rFonts w:ascii="Times New Roman" w:eastAsia="Times New Roman" w:hAnsi="Times New Roman"/>
          <w:sz w:val="24"/>
          <w:szCs w:val="24"/>
        </w:rPr>
        <w:t xml:space="preserve"> which genes have relatively the s</w:t>
      </w:r>
      <w:r w:rsidR="00EA452A">
        <w:rPr>
          <w:rFonts w:ascii="Times New Roman" w:eastAsia="Times New Roman" w:hAnsi="Times New Roman"/>
          <w:sz w:val="24"/>
          <w:szCs w:val="24"/>
        </w:rPr>
        <w:t>ame level of impact on the Chi-s</w:t>
      </w:r>
      <w:r w:rsidR="00AF5618" w:rsidRPr="00AF5618">
        <w:rPr>
          <w:rFonts w:ascii="Times New Roman" w:eastAsia="Times New Roman" w:hAnsi="Times New Roman"/>
          <w:sz w:val="24"/>
          <w:szCs w:val="24"/>
        </w:rPr>
        <w:t xml:space="preserve">quared statistics both before and after the final differentiation. </w:t>
      </w:r>
      <w:r w:rsidR="00EA452A">
        <w:rPr>
          <w:rFonts w:ascii="Times New Roman" w:eastAsia="Times New Roman" w:hAnsi="Times New Roman"/>
          <w:sz w:val="24"/>
          <w:szCs w:val="24"/>
        </w:rPr>
        <w:t>We labelled</w:t>
      </w:r>
      <w:r w:rsidR="00AF5618" w:rsidRPr="00AF5618">
        <w:rPr>
          <w:rFonts w:ascii="Times New Roman" w:eastAsia="Times New Roman" w:hAnsi="Times New Roman"/>
          <w:sz w:val="24"/>
          <w:szCs w:val="24"/>
        </w:rPr>
        <w:t xml:space="preserve"> these genes as background genes that did not contribute heavily to inhomogeneity. </w:t>
      </w:r>
      <w:r w:rsidR="00EA452A">
        <w:rPr>
          <w:rFonts w:ascii="Times New Roman" w:eastAsia="Times New Roman" w:hAnsi="Times New Roman"/>
          <w:sz w:val="24"/>
          <w:szCs w:val="24"/>
        </w:rPr>
        <w:t xml:space="preserve">We then performed the rest of the analysis </w:t>
      </w:r>
      <w:r w:rsidR="00AF5618" w:rsidRPr="00AF5618">
        <w:rPr>
          <w:rFonts w:ascii="Times New Roman" w:eastAsia="Times New Roman" w:hAnsi="Times New Roman"/>
          <w:sz w:val="24"/>
          <w:szCs w:val="24"/>
        </w:rPr>
        <w:t xml:space="preserve">focusing only on the genes that contributed </w:t>
      </w:r>
      <w:r w:rsidR="00EA452A">
        <w:rPr>
          <w:rFonts w:ascii="Times New Roman" w:eastAsia="Times New Roman" w:hAnsi="Times New Roman"/>
          <w:sz w:val="24"/>
          <w:szCs w:val="24"/>
        </w:rPr>
        <w:t xml:space="preserve">significantly </w:t>
      </w:r>
      <w:r w:rsidR="00AF5618" w:rsidRPr="00AF5618">
        <w:rPr>
          <w:rFonts w:ascii="Times New Roman" w:eastAsia="Times New Roman" w:hAnsi="Times New Roman"/>
          <w:sz w:val="24"/>
          <w:szCs w:val="24"/>
        </w:rPr>
        <w:t>to</w:t>
      </w:r>
      <w:r w:rsidR="00EA452A">
        <w:rPr>
          <w:rFonts w:ascii="Times New Roman" w:eastAsia="Times New Roman" w:hAnsi="Times New Roman"/>
          <w:sz w:val="24"/>
          <w:szCs w:val="24"/>
        </w:rPr>
        <w:t xml:space="preserve"> the</w:t>
      </w:r>
      <w:r w:rsidR="00AF5618" w:rsidRPr="00AF5618">
        <w:rPr>
          <w:rFonts w:ascii="Times New Roman" w:eastAsia="Times New Roman" w:hAnsi="Times New Roman"/>
          <w:sz w:val="24"/>
          <w:szCs w:val="24"/>
        </w:rPr>
        <w:t xml:space="preserve"> inhomogeneity. We found that Cbfa2t3h, Ets2, Etv6, Fli1, FoxH1, Hhex, Ikaros, Ldb1, Lmo2, Runx1, Sfpi1, and Tal1 contributed the least to the inhomogeneity in the Chi-Squared statistic and as such, removed them from our data table before</w:t>
      </w:r>
      <w:r w:rsidR="00EA452A">
        <w:rPr>
          <w:rFonts w:ascii="Times New Roman" w:eastAsia="Times New Roman" w:hAnsi="Times New Roman"/>
          <w:sz w:val="24"/>
          <w:szCs w:val="24"/>
        </w:rPr>
        <w:t xml:space="preserve"> </w:t>
      </w:r>
      <w:r w:rsidR="00AF5618" w:rsidRPr="00AF5618">
        <w:rPr>
          <w:rFonts w:ascii="Times New Roman" w:eastAsia="Times New Roman" w:hAnsi="Times New Roman"/>
          <w:sz w:val="24"/>
          <w:szCs w:val="24"/>
        </w:rPr>
        <w:t xml:space="preserve">commencing with our correspondence analysis. </w:t>
      </w:r>
    </w:p>
    <w:p w14:paraId="79029A76" w14:textId="77777777" w:rsidR="000B1665" w:rsidRPr="00AF5618" w:rsidRDefault="000B1665" w:rsidP="000B1665">
      <w:pPr>
        <w:pStyle w:val="NormalWeb"/>
        <w:spacing w:before="0" w:beforeAutospacing="0" w:after="0" w:afterAutospacing="0"/>
        <w:rPr>
          <w:rFonts w:ascii="Times New Roman" w:eastAsia="Times New Roman" w:hAnsi="Times New Roman"/>
          <w:sz w:val="24"/>
          <w:szCs w:val="24"/>
        </w:rPr>
      </w:pPr>
    </w:p>
    <w:p w14:paraId="53B62958" w14:textId="307BF8B3" w:rsidR="00AF5618" w:rsidRPr="00AF5618" w:rsidRDefault="00AF5618" w:rsidP="00AF5618">
      <w:pPr>
        <w:spacing w:line="240" w:lineRule="auto"/>
        <w:rPr>
          <w:rFonts w:ascii="Times New Roman" w:hAnsi="Times New Roman" w:cs="Times New Roman"/>
          <w:color w:val="auto"/>
          <w:sz w:val="24"/>
          <w:szCs w:val="24"/>
        </w:rPr>
      </w:pPr>
      <w:r w:rsidRPr="00AF5618">
        <w:rPr>
          <w:rFonts w:ascii="Times New Roman" w:hAnsi="Times New Roman" w:cs="Times New Roman"/>
          <w:sz w:val="24"/>
          <w:szCs w:val="24"/>
        </w:rPr>
        <w:tab/>
        <w:t>To determine specifically which genes contributed the most to inhomogeneity, we used correspondence analysis</w:t>
      </w:r>
      <w:r w:rsidR="00EA452A">
        <w:rPr>
          <w:rFonts w:ascii="Times New Roman" w:hAnsi="Times New Roman" w:cs="Times New Roman"/>
          <w:sz w:val="24"/>
          <w:szCs w:val="24"/>
        </w:rPr>
        <w:t xml:space="preserve"> on the remaining genes</w:t>
      </w:r>
      <w:r w:rsidRPr="00AF5618">
        <w:rPr>
          <w:rFonts w:ascii="Times New Roman" w:hAnsi="Times New Roman" w:cs="Times New Roman"/>
          <w:sz w:val="24"/>
          <w:szCs w:val="24"/>
        </w:rPr>
        <w:t>, which yielded the following graph:</w:t>
      </w:r>
    </w:p>
    <w:p w14:paraId="0E5D0810" w14:textId="77777777" w:rsidR="00AF5618" w:rsidRDefault="00AF5618" w:rsidP="00AF5618">
      <w:pPr>
        <w:keepNext/>
        <w:spacing w:line="240" w:lineRule="auto"/>
      </w:pPr>
      <w:r>
        <w:rPr>
          <w:rFonts w:eastAsia="Times New Roman" w:cs="Times New Roman"/>
          <w:noProof/>
        </w:rPr>
        <w:lastRenderedPageBreak/>
        <w:drawing>
          <wp:inline distT="0" distB="0" distL="0" distR="0" wp14:anchorId="344AC1B5" wp14:editId="32F5FB78">
            <wp:extent cx="5879465" cy="3738622"/>
            <wp:effectExtent l="0" t="0" r="0" b="0"/>
            <wp:docPr id="9" name="Picture 9" descr="orrespondenceAnalys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orrespondenceAnalysis.png"/>
                    <pic:cNvPicPr>
                      <a:picLocks noChangeAspect="1" noChangeArrowheads="1"/>
                    </pic:cNvPicPr>
                  </pic:nvPicPr>
                  <pic:blipFill rotWithShape="1">
                    <a:blip r:embed="rId12">
                      <a:extLst>
                        <a:ext uri="{28A0092B-C50C-407E-A947-70E740481C1C}">
                          <a14:useLocalDpi xmlns:a14="http://schemas.microsoft.com/office/drawing/2010/main" val="0"/>
                        </a:ext>
                      </a:extLst>
                    </a:blip>
                    <a:srcRect t="16748" r="5573" b="3688"/>
                    <a:stretch/>
                  </pic:blipFill>
                  <pic:spPr bwMode="auto">
                    <a:xfrm>
                      <a:off x="0" y="0"/>
                      <a:ext cx="5880423" cy="3739231"/>
                    </a:xfrm>
                    <a:prstGeom prst="rect">
                      <a:avLst/>
                    </a:prstGeom>
                    <a:noFill/>
                    <a:ln>
                      <a:noFill/>
                    </a:ln>
                    <a:extLst>
                      <a:ext uri="{53640926-AAD7-44d8-BBD7-CCE9431645EC}">
                        <a14:shadowObscured xmlns:a14="http://schemas.microsoft.com/office/drawing/2010/main"/>
                      </a:ext>
                    </a:extLst>
                  </pic:spPr>
                </pic:pic>
              </a:graphicData>
            </a:graphic>
          </wp:inline>
        </w:drawing>
      </w:r>
    </w:p>
    <w:p w14:paraId="220B014A" w14:textId="77777777" w:rsidR="00AF5618" w:rsidRPr="004A6CA8" w:rsidRDefault="00AF5618" w:rsidP="004A6CA8">
      <w:pPr>
        <w:pStyle w:val="Caption"/>
        <w:ind w:left="720"/>
        <w:rPr>
          <w:rFonts w:ascii="Times New Roman" w:eastAsia="Times New Roman" w:hAnsi="Times New Roman" w:cs="Times New Roman"/>
          <w:b w:val="0"/>
          <w:color w:val="auto"/>
          <w:sz w:val="20"/>
          <w:szCs w:val="20"/>
        </w:rPr>
      </w:pPr>
      <w:r w:rsidRPr="004A6CA8">
        <w:rPr>
          <w:rFonts w:ascii="Times New Roman" w:hAnsi="Times New Roman"/>
          <w:b w:val="0"/>
          <w:color w:val="auto"/>
          <w:sz w:val="20"/>
          <w:szCs w:val="20"/>
        </w:rPr>
        <w:t xml:space="preserve">Figure </w:t>
      </w:r>
      <w:r w:rsidRPr="004A6CA8">
        <w:rPr>
          <w:rFonts w:ascii="Times New Roman" w:hAnsi="Times New Roman"/>
          <w:b w:val="0"/>
          <w:color w:val="auto"/>
          <w:sz w:val="20"/>
          <w:szCs w:val="20"/>
        </w:rPr>
        <w:fldChar w:fldCharType="begin"/>
      </w:r>
      <w:r w:rsidRPr="004A6CA8">
        <w:rPr>
          <w:rFonts w:ascii="Times New Roman" w:hAnsi="Times New Roman"/>
          <w:b w:val="0"/>
          <w:color w:val="auto"/>
          <w:sz w:val="20"/>
          <w:szCs w:val="20"/>
        </w:rPr>
        <w:instrText xml:space="preserve"> SEQ Figure \* ARABIC </w:instrText>
      </w:r>
      <w:r w:rsidRPr="004A6CA8">
        <w:rPr>
          <w:rFonts w:ascii="Times New Roman" w:hAnsi="Times New Roman"/>
          <w:b w:val="0"/>
          <w:color w:val="auto"/>
          <w:sz w:val="20"/>
          <w:szCs w:val="20"/>
        </w:rPr>
        <w:fldChar w:fldCharType="separate"/>
      </w:r>
      <w:r w:rsidR="003D1A1A">
        <w:rPr>
          <w:rFonts w:ascii="Times New Roman" w:hAnsi="Times New Roman"/>
          <w:b w:val="0"/>
          <w:noProof/>
          <w:color w:val="auto"/>
          <w:sz w:val="20"/>
          <w:szCs w:val="20"/>
        </w:rPr>
        <w:t>3</w:t>
      </w:r>
      <w:r w:rsidRPr="004A6CA8">
        <w:rPr>
          <w:rFonts w:ascii="Times New Roman" w:hAnsi="Times New Roman"/>
          <w:b w:val="0"/>
          <w:color w:val="auto"/>
          <w:sz w:val="20"/>
          <w:szCs w:val="20"/>
        </w:rPr>
        <w:fldChar w:fldCharType="end"/>
      </w:r>
      <w:r w:rsidRPr="004A6CA8">
        <w:rPr>
          <w:rFonts w:ascii="Times New Roman" w:hAnsi="Times New Roman"/>
          <w:b w:val="0"/>
          <w:color w:val="auto"/>
          <w:sz w:val="20"/>
          <w:szCs w:val="20"/>
        </w:rPr>
        <w:t xml:space="preserve">: Correspondence Analysis Graph of </w:t>
      </w:r>
      <w:r w:rsidR="004A6CA8" w:rsidRPr="004A6CA8">
        <w:rPr>
          <w:rFonts w:ascii="Times New Roman" w:hAnsi="Times New Roman"/>
          <w:b w:val="0"/>
          <w:color w:val="auto"/>
          <w:sz w:val="20"/>
          <w:szCs w:val="20"/>
        </w:rPr>
        <w:t>Genes using Binary Data to determine which genes contribute the most to inhomogeneity.</w:t>
      </w:r>
    </w:p>
    <w:p w14:paraId="1B3D458F" w14:textId="77777777" w:rsidR="00AF5618" w:rsidRPr="00AF5618" w:rsidRDefault="00AF5618" w:rsidP="00AF5618">
      <w:pPr>
        <w:spacing w:line="240" w:lineRule="auto"/>
        <w:rPr>
          <w:rFonts w:ascii="Times" w:eastAsia="Times New Roman" w:hAnsi="Times" w:cs="Times New Roman"/>
          <w:color w:val="auto"/>
          <w:sz w:val="20"/>
          <w:szCs w:val="20"/>
        </w:rPr>
      </w:pPr>
    </w:p>
    <w:p w14:paraId="47919939" w14:textId="77777777" w:rsidR="000D7CDC" w:rsidRDefault="00AC589B" w:rsidP="009D0C2F">
      <w:pPr>
        <w:spacing w:line="240" w:lineRule="auto"/>
        <w:ind w:firstLine="720"/>
        <w:rPr>
          <w:rFonts w:ascii="Times New Roman" w:hAnsi="Times New Roman" w:cs="Times New Roman"/>
          <w:sz w:val="24"/>
          <w:szCs w:val="24"/>
        </w:rPr>
      </w:pPr>
      <w:r>
        <w:rPr>
          <w:rFonts w:ascii="Times New Roman" w:hAnsi="Times New Roman" w:cs="Times New Roman"/>
          <w:sz w:val="24"/>
          <w:szCs w:val="24"/>
        </w:rPr>
        <w:t>We can make three observations from the correspondence analysis plot</w:t>
      </w:r>
      <w:r w:rsidR="00A94F18">
        <w:rPr>
          <w:rFonts w:ascii="Times New Roman" w:hAnsi="Times New Roman" w:cs="Times New Roman"/>
          <w:sz w:val="24"/>
          <w:szCs w:val="24"/>
        </w:rPr>
        <w:t>, which indicates that the first dimension captures over 92 percent of the variance in the data</w:t>
      </w:r>
      <w:r>
        <w:rPr>
          <w:rFonts w:ascii="Times New Roman" w:hAnsi="Times New Roman" w:cs="Times New Roman"/>
          <w:sz w:val="24"/>
          <w:szCs w:val="24"/>
        </w:rPr>
        <w:t xml:space="preserve">. First, the first three time periods – and thus the first three cell stages in hematopoietic development – </w:t>
      </w:r>
      <w:r w:rsidR="009D0C2F">
        <w:rPr>
          <w:rFonts w:ascii="Times New Roman" w:hAnsi="Times New Roman" w:cs="Times New Roman"/>
          <w:sz w:val="24"/>
          <w:szCs w:val="24"/>
        </w:rPr>
        <w:t xml:space="preserve">do not have very different gene activation patterns, even if the expression levels of those activation patterns are different. This is because the three stages – PS, NP, and HF – are clustered close together in the correspondence analysis. </w:t>
      </w:r>
    </w:p>
    <w:p w14:paraId="72985D76" w14:textId="77777777" w:rsidR="000D7CDC" w:rsidRDefault="000D7CDC" w:rsidP="009D0C2F">
      <w:pPr>
        <w:spacing w:line="240" w:lineRule="auto"/>
        <w:ind w:firstLine="720"/>
        <w:rPr>
          <w:rFonts w:ascii="Times New Roman" w:hAnsi="Times New Roman" w:cs="Times New Roman"/>
          <w:sz w:val="24"/>
          <w:szCs w:val="24"/>
        </w:rPr>
      </w:pPr>
    </w:p>
    <w:p w14:paraId="0EA7E367" w14:textId="7D0E978A" w:rsidR="000D7CDC" w:rsidRDefault="000D7CDC" w:rsidP="009D0C2F">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Second, Mecom, </w:t>
      </w:r>
      <w:r w:rsidR="009D0C2F">
        <w:rPr>
          <w:rFonts w:ascii="Times New Roman" w:hAnsi="Times New Roman" w:cs="Times New Roman"/>
          <w:sz w:val="24"/>
          <w:szCs w:val="24"/>
        </w:rPr>
        <w:t>Sox17</w:t>
      </w:r>
      <w:r>
        <w:rPr>
          <w:rFonts w:ascii="Times New Roman" w:hAnsi="Times New Roman" w:cs="Times New Roman"/>
          <w:sz w:val="24"/>
          <w:szCs w:val="24"/>
        </w:rPr>
        <w:t>, Nfe2, Gfi1b, and Gata1</w:t>
      </w:r>
      <w:r w:rsidR="009D0C2F">
        <w:rPr>
          <w:rFonts w:ascii="Times New Roman" w:hAnsi="Times New Roman" w:cs="Times New Roman"/>
          <w:sz w:val="24"/>
          <w:szCs w:val="24"/>
        </w:rPr>
        <w:t xml:space="preserve"> contribute a significant amount to the heterogeneity in activation patterns between 4SFGA – the endothelial progenitor – and the rest of the types, particularly 4SGA, the erythroid progenitor. </w:t>
      </w:r>
      <w:r>
        <w:rPr>
          <w:rFonts w:ascii="Times New Roman" w:hAnsi="Times New Roman" w:cs="Times New Roman"/>
          <w:sz w:val="24"/>
          <w:szCs w:val="24"/>
        </w:rPr>
        <w:t>These results make sense. Sox17 is one of the Sox and Hox factors that Moignard et al. note controls the expression of Erg, which is critical to the development of the endothelium. Mecom has been shown to prevent the terminal differentiation of hematopoietic stem cells into erythroid cells.</w:t>
      </w:r>
      <w:r w:rsidR="0014693C">
        <w:rPr>
          <w:rStyle w:val="FootnoteReference"/>
          <w:rFonts w:ascii="Times New Roman" w:hAnsi="Times New Roman" w:cs="Times New Roman"/>
          <w:sz w:val="24"/>
          <w:szCs w:val="24"/>
        </w:rPr>
        <w:footnoteReference w:id="12"/>
      </w:r>
      <w:r>
        <w:rPr>
          <w:rFonts w:ascii="Times New Roman" w:hAnsi="Times New Roman" w:cs="Times New Roman"/>
          <w:sz w:val="24"/>
          <w:szCs w:val="24"/>
        </w:rPr>
        <w:t xml:space="preserve"> Thus, 4SFGA is defined by higher activation of Sox17 and Mecom. On the other hand, </w:t>
      </w:r>
      <w:r w:rsidR="003C32CB">
        <w:rPr>
          <w:rFonts w:ascii="Times New Roman" w:hAnsi="Times New Roman" w:cs="Times New Roman"/>
          <w:sz w:val="24"/>
          <w:szCs w:val="24"/>
        </w:rPr>
        <w:t>Nfe2, Gfi1b, and Gata1 complex together to form some of the “zinc finger” proteins necessary for erythroid function, which explains why 4SGA is defined by higher activation of those genes.</w:t>
      </w:r>
    </w:p>
    <w:p w14:paraId="74A7A32B" w14:textId="77777777" w:rsidR="000D7CDC" w:rsidRDefault="000D7CDC" w:rsidP="009D0C2F">
      <w:pPr>
        <w:spacing w:line="240" w:lineRule="auto"/>
        <w:ind w:firstLine="720"/>
        <w:rPr>
          <w:rFonts w:ascii="Times New Roman" w:hAnsi="Times New Roman" w:cs="Times New Roman"/>
          <w:sz w:val="24"/>
          <w:szCs w:val="24"/>
        </w:rPr>
      </w:pPr>
    </w:p>
    <w:p w14:paraId="177F8D94" w14:textId="54AF1591" w:rsidR="001D2B96" w:rsidRPr="00AC589B" w:rsidRDefault="000D7CDC" w:rsidP="001D2B96">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Third, </w:t>
      </w:r>
      <w:r w:rsidR="00A94F18">
        <w:rPr>
          <w:rFonts w:ascii="Times New Roman" w:hAnsi="Times New Roman" w:cs="Times New Roman"/>
          <w:sz w:val="24"/>
          <w:szCs w:val="24"/>
        </w:rPr>
        <w:t xml:space="preserve">activation of </w:t>
      </w:r>
      <w:r w:rsidR="008A4054">
        <w:rPr>
          <w:rFonts w:ascii="Times New Roman" w:hAnsi="Times New Roman" w:cs="Times New Roman"/>
          <w:sz w:val="24"/>
          <w:szCs w:val="24"/>
        </w:rPr>
        <w:t>several other genes</w:t>
      </w:r>
      <w:r w:rsidR="00A94F18">
        <w:rPr>
          <w:rFonts w:ascii="Times New Roman" w:hAnsi="Times New Roman" w:cs="Times New Roman"/>
          <w:sz w:val="24"/>
          <w:szCs w:val="24"/>
        </w:rPr>
        <w:t xml:space="preserve"> likely push the first three cell stages towards an endothelial fate, as opposed to an erythroid fate. </w:t>
      </w:r>
      <w:r>
        <w:rPr>
          <w:rFonts w:ascii="Times New Roman" w:hAnsi="Times New Roman" w:cs="Times New Roman"/>
          <w:sz w:val="24"/>
          <w:szCs w:val="24"/>
        </w:rPr>
        <w:t xml:space="preserve">Note that because the first dimension captures the vast majority of the variance in the data, </w:t>
      </w:r>
      <w:r w:rsidR="007003AC">
        <w:rPr>
          <w:rFonts w:ascii="Times New Roman" w:hAnsi="Times New Roman" w:cs="Times New Roman"/>
          <w:sz w:val="24"/>
          <w:szCs w:val="24"/>
        </w:rPr>
        <w:t xml:space="preserve">we give more weight to the position of the genes and </w:t>
      </w:r>
      <w:r w:rsidR="007003AC">
        <w:rPr>
          <w:rFonts w:ascii="Times New Roman" w:hAnsi="Times New Roman" w:cs="Times New Roman"/>
          <w:sz w:val="24"/>
          <w:szCs w:val="24"/>
        </w:rPr>
        <w:lastRenderedPageBreak/>
        <w:t>the cell types with respect to the first dimension than with the second. As a result, the activation</w:t>
      </w:r>
      <w:r>
        <w:rPr>
          <w:rFonts w:ascii="Times New Roman" w:hAnsi="Times New Roman" w:cs="Times New Roman"/>
          <w:sz w:val="24"/>
          <w:szCs w:val="24"/>
        </w:rPr>
        <w:t xml:space="preserve"> of gene</w:t>
      </w:r>
      <w:r w:rsidR="007003AC">
        <w:rPr>
          <w:rFonts w:ascii="Times New Roman" w:hAnsi="Times New Roman" w:cs="Times New Roman"/>
          <w:sz w:val="24"/>
          <w:szCs w:val="24"/>
        </w:rPr>
        <w:t>s</w:t>
      </w:r>
      <w:r>
        <w:rPr>
          <w:rFonts w:ascii="Times New Roman" w:hAnsi="Times New Roman" w:cs="Times New Roman"/>
          <w:sz w:val="24"/>
          <w:szCs w:val="24"/>
        </w:rPr>
        <w:t xml:space="preserve"> to the left of the line at 0, which includes Sox7, Erg, </w:t>
      </w:r>
      <w:r w:rsidR="008A4054">
        <w:rPr>
          <w:rFonts w:ascii="Times New Roman" w:hAnsi="Times New Roman" w:cs="Times New Roman"/>
          <w:sz w:val="24"/>
          <w:szCs w:val="24"/>
        </w:rPr>
        <w:t xml:space="preserve">Notch1, </w:t>
      </w:r>
      <w:r>
        <w:rPr>
          <w:rFonts w:ascii="Times New Roman" w:hAnsi="Times New Roman" w:cs="Times New Roman"/>
          <w:sz w:val="24"/>
          <w:szCs w:val="24"/>
        </w:rPr>
        <w:t>and the Etv/Ets family</w:t>
      </w:r>
      <w:r w:rsidR="007003AC">
        <w:rPr>
          <w:rFonts w:ascii="Times New Roman" w:hAnsi="Times New Roman" w:cs="Times New Roman"/>
          <w:sz w:val="24"/>
          <w:szCs w:val="24"/>
        </w:rPr>
        <w:t xml:space="preserve">, </w:t>
      </w:r>
      <w:r>
        <w:rPr>
          <w:rFonts w:ascii="Times New Roman" w:hAnsi="Times New Roman" w:cs="Times New Roman"/>
          <w:sz w:val="24"/>
          <w:szCs w:val="24"/>
        </w:rPr>
        <w:t xml:space="preserve">pushes cells towards an endothelial fate. </w:t>
      </w:r>
      <w:r w:rsidR="007003AC">
        <w:rPr>
          <w:rFonts w:ascii="Times New Roman" w:hAnsi="Times New Roman" w:cs="Times New Roman"/>
          <w:sz w:val="24"/>
          <w:szCs w:val="24"/>
        </w:rPr>
        <w:t>This matches model predictions, as Sox7 overexpression is known to block progression towards an erythroid fate, and Erg, Etv, and Ets – members of the Ets transcription actor family – reflect endothelial development.</w:t>
      </w:r>
      <w:r w:rsidR="00A95501">
        <w:rPr>
          <w:rStyle w:val="FootnoteReference"/>
          <w:rFonts w:ascii="Times New Roman" w:hAnsi="Times New Roman" w:cs="Times New Roman"/>
          <w:sz w:val="24"/>
          <w:szCs w:val="24"/>
        </w:rPr>
        <w:footnoteReference w:id="13"/>
      </w:r>
      <w:r w:rsidR="007003AC">
        <w:rPr>
          <w:rFonts w:ascii="Times New Roman" w:hAnsi="Times New Roman" w:cs="Times New Roman"/>
          <w:sz w:val="24"/>
          <w:szCs w:val="24"/>
        </w:rPr>
        <w:t xml:space="preserve"> </w:t>
      </w:r>
      <w:r w:rsidR="008A4054">
        <w:rPr>
          <w:rFonts w:ascii="Times New Roman" w:hAnsi="Times New Roman" w:cs="Times New Roman"/>
          <w:sz w:val="24"/>
          <w:szCs w:val="24"/>
        </w:rPr>
        <w:t>Moreover, the endothelium has recently been identified as the target for Notch1 signaling</w:t>
      </w:r>
      <w:r w:rsidR="00E467A4">
        <w:rPr>
          <w:rFonts w:ascii="Times New Roman" w:hAnsi="Times New Roman" w:cs="Times New Roman"/>
          <w:sz w:val="24"/>
          <w:szCs w:val="24"/>
        </w:rPr>
        <w:t>.</w:t>
      </w:r>
      <w:r w:rsidR="00E467A4">
        <w:rPr>
          <w:rStyle w:val="FootnoteReference"/>
          <w:rFonts w:ascii="Times New Roman" w:hAnsi="Times New Roman" w:cs="Times New Roman"/>
          <w:sz w:val="24"/>
          <w:szCs w:val="24"/>
        </w:rPr>
        <w:footnoteReference w:id="14"/>
      </w:r>
      <w:r w:rsidR="00E467A4">
        <w:rPr>
          <w:rFonts w:ascii="Times New Roman" w:hAnsi="Times New Roman" w:cs="Times New Roman"/>
          <w:sz w:val="24"/>
          <w:szCs w:val="24"/>
        </w:rPr>
        <w:t xml:space="preserve"> </w:t>
      </w:r>
      <w:r w:rsidR="001D2B96">
        <w:rPr>
          <w:rFonts w:ascii="Times New Roman" w:hAnsi="Times New Roman" w:cs="Times New Roman"/>
          <w:sz w:val="24"/>
          <w:szCs w:val="24"/>
        </w:rPr>
        <w:t>Overall, the Chi-squared analysis of homogene</w:t>
      </w:r>
      <w:r w:rsidR="006A3467">
        <w:rPr>
          <w:rFonts w:ascii="Times New Roman" w:hAnsi="Times New Roman" w:cs="Times New Roman"/>
          <w:sz w:val="24"/>
          <w:szCs w:val="24"/>
        </w:rPr>
        <w:t xml:space="preserve">ity confirms model predictions of which activations are necessary for development towards an erythroid or endothelial fate. </w:t>
      </w:r>
    </w:p>
    <w:p w14:paraId="215CE353" w14:textId="77777777" w:rsidR="004624C7" w:rsidRDefault="004624C7" w:rsidP="004624C7">
      <w:pPr>
        <w:spacing w:line="240" w:lineRule="auto"/>
        <w:rPr>
          <w:rFonts w:ascii="Times New Roman" w:hAnsi="Times New Roman" w:cs="Times New Roman"/>
          <w:color w:val="FF0000"/>
          <w:sz w:val="24"/>
          <w:szCs w:val="24"/>
        </w:rPr>
      </w:pPr>
    </w:p>
    <w:p w14:paraId="549B7A84" w14:textId="3C623FAC" w:rsidR="004624C7" w:rsidRPr="004624C7" w:rsidRDefault="004624C7" w:rsidP="004624C7">
      <w:pPr>
        <w:spacing w:line="240" w:lineRule="auto"/>
        <w:rPr>
          <w:rFonts w:ascii="Times New Roman" w:hAnsi="Times New Roman" w:cs="Times New Roman"/>
          <w:sz w:val="24"/>
          <w:szCs w:val="24"/>
          <w:u w:val="single"/>
        </w:rPr>
      </w:pPr>
      <w:r w:rsidRPr="00076968">
        <w:rPr>
          <w:rFonts w:ascii="Times New Roman" w:hAnsi="Times New Roman" w:cs="Times New Roman"/>
          <w:sz w:val="24"/>
          <w:szCs w:val="24"/>
          <w:u w:val="single"/>
        </w:rPr>
        <w:t>Chi-Squared Analysis</w:t>
      </w:r>
      <w:r>
        <w:rPr>
          <w:rFonts w:ascii="Times New Roman" w:hAnsi="Times New Roman" w:cs="Times New Roman"/>
          <w:sz w:val="24"/>
          <w:szCs w:val="24"/>
          <w:u w:val="single"/>
        </w:rPr>
        <w:t xml:space="preserve"> of Independence and Bootstrapped Correlations </w:t>
      </w:r>
    </w:p>
    <w:p w14:paraId="0389B2C2" w14:textId="77777777" w:rsidR="004624C7" w:rsidRDefault="004624C7" w:rsidP="00C73903">
      <w:pPr>
        <w:spacing w:line="240" w:lineRule="auto"/>
        <w:ind w:firstLine="720"/>
        <w:rPr>
          <w:rFonts w:ascii="Times New Roman" w:hAnsi="Times New Roman" w:cs="Times New Roman"/>
          <w:sz w:val="24"/>
          <w:szCs w:val="24"/>
        </w:rPr>
      </w:pPr>
    </w:p>
    <w:p w14:paraId="5D8B5A81" w14:textId="48BC6DBE" w:rsidR="00AF5618" w:rsidRPr="00C73903" w:rsidRDefault="00721F37" w:rsidP="00C73903">
      <w:pPr>
        <w:spacing w:line="240" w:lineRule="auto"/>
        <w:ind w:firstLine="720"/>
        <w:rPr>
          <w:rFonts w:ascii="Times New Roman" w:hAnsi="Times New Roman" w:cs="Times New Roman"/>
          <w:color w:val="auto"/>
          <w:sz w:val="24"/>
          <w:szCs w:val="24"/>
        </w:rPr>
      </w:pPr>
      <w:r>
        <w:rPr>
          <w:rFonts w:ascii="Times New Roman" w:hAnsi="Times New Roman" w:cs="Times New Roman"/>
          <w:sz w:val="24"/>
          <w:szCs w:val="24"/>
        </w:rPr>
        <w:t>We then performed a Chi-s</w:t>
      </w:r>
      <w:r w:rsidR="001E6FB1">
        <w:rPr>
          <w:rFonts w:ascii="Times New Roman" w:hAnsi="Times New Roman" w:cs="Times New Roman"/>
          <w:sz w:val="24"/>
          <w:szCs w:val="24"/>
        </w:rPr>
        <w:t>quared test of i</w:t>
      </w:r>
      <w:r w:rsidR="004A6CA8" w:rsidRPr="00577F4D">
        <w:rPr>
          <w:rFonts w:ascii="Times New Roman" w:hAnsi="Times New Roman" w:cs="Times New Roman"/>
          <w:sz w:val="24"/>
          <w:szCs w:val="24"/>
        </w:rPr>
        <w:t xml:space="preserve">ndependence to determine </w:t>
      </w:r>
      <w:r w:rsidR="001E6FB1">
        <w:rPr>
          <w:rFonts w:ascii="Times New Roman" w:hAnsi="Times New Roman" w:cs="Times New Roman"/>
          <w:sz w:val="24"/>
          <w:szCs w:val="24"/>
        </w:rPr>
        <w:t xml:space="preserve">particular pairs of genes that operate independently or jointly. Using a correlation matrix, we identified pairs of genes that either exhibited high degrees of correlation or almost no correlation at all. </w:t>
      </w:r>
      <w:r w:rsidR="00A755D3">
        <w:rPr>
          <w:rFonts w:ascii="Times New Roman" w:hAnsi="Times New Roman" w:cs="Times New Roman"/>
          <w:sz w:val="24"/>
          <w:szCs w:val="24"/>
        </w:rPr>
        <w:t>We selected 3 highly correlated genes and 1 low/uncorrelated gene to exam</w:t>
      </w:r>
      <w:r w:rsidR="00310703">
        <w:rPr>
          <w:rFonts w:ascii="Times New Roman" w:hAnsi="Times New Roman" w:cs="Times New Roman"/>
          <w:sz w:val="24"/>
          <w:szCs w:val="24"/>
        </w:rPr>
        <w:t>ine how high correlation and exp</w:t>
      </w:r>
      <w:r w:rsidR="00A755D3">
        <w:rPr>
          <w:rFonts w:ascii="Times New Roman" w:hAnsi="Times New Roman" w:cs="Times New Roman"/>
          <w:sz w:val="24"/>
          <w:szCs w:val="24"/>
        </w:rPr>
        <w:t>ression depende</w:t>
      </w:r>
      <w:r w:rsidR="00310703">
        <w:rPr>
          <w:rFonts w:ascii="Times New Roman" w:hAnsi="Times New Roman" w:cs="Times New Roman"/>
          <w:sz w:val="24"/>
          <w:szCs w:val="24"/>
        </w:rPr>
        <w:t xml:space="preserve">nce were linked to one another. </w:t>
      </w:r>
      <w:r w:rsidR="0009587D">
        <w:rPr>
          <w:rFonts w:ascii="Times New Roman" w:hAnsi="Times New Roman" w:cs="Times New Roman"/>
          <w:sz w:val="24"/>
          <w:szCs w:val="24"/>
        </w:rPr>
        <w:t xml:space="preserve">First, we selected </w:t>
      </w:r>
      <w:r w:rsidR="00310703">
        <w:rPr>
          <w:rFonts w:ascii="Times New Roman" w:hAnsi="Times New Roman" w:cs="Times New Roman"/>
          <w:sz w:val="24"/>
          <w:szCs w:val="24"/>
        </w:rPr>
        <w:t xml:space="preserve">Sox7 </w:t>
      </w:r>
      <w:r w:rsidR="0009587D">
        <w:rPr>
          <w:rFonts w:ascii="Times New Roman" w:hAnsi="Times New Roman" w:cs="Times New Roman"/>
          <w:sz w:val="24"/>
          <w:szCs w:val="24"/>
        </w:rPr>
        <w:t xml:space="preserve">and HoxB4 because Sox7 </w:t>
      </w:r>
      <w:r w:rsidR="00310703">
        <w:rPr>
          <w:rFonts w:ascii="Times New Roman" w:hAnsi="Times New Roman" w:cs="Times New Roman"/>
          <w:sz w:val="24"/>
          <w:szCs w:val="24"/>
        </w:rPr>
        <w:t>blocks preliminary erythroid development</w:t>
      </w:r>
      <w:r w:rsidR="0009587D">
        <w:rPr>
          <w:rFonts w:ascii="Times New Roman" w:hAnsi="Times New Roman" w:cs="Times New Roman"/>
          <w:sz w:val="24"/>
          <w:szCs w:val="24"/>
        </w:rPr>
        <w:t xml:space="preserve">, and HoxB4 is one of the Hox factors that directly regulate the expression of </w:t>
      </w:r>
      <w:r w:rsidR="00D73DBD">
        <w:rPr>
          <w:rFonts w:ascii="Times New Roman" w:hAnsi="Times New Roman" w:cs="Times New Roman"/>
          <w:sz w:val="24"/>
          <w:szCs w:val="24"/>
        </w:rPr>
        <w:t xml:space="preserve">the hematopoietic stem-cell regulator, Erg. </w:t>
      </w:r>
      <w:r w:rsidR="0009587D">
        <w:rPr>
          <w:rFonts w:ascii="Times New Roman" w:hAnsi="Times New Roman" w:cs="Times New Roman"/>
          <w:sz w:val="24"/>
          <w:szCs w:val="24"/>
        </w:rPr>
        <w:t>As a result, b</w:t>
      </w:r>
      <w:r w:rsidR="00D73DBD">
        <w:rPr>
          <w:rFonts w:ascii="Times New Roman" w:hAnsi="Times New Roman" w:cs="Times New Roman"/>
          <w:sz w:val="24"/>
          <w:szCs w:val="24"/>
        </w:rPr>
        <w:t xml:space="preserve">oth Sox7 and HoxB4 are </w:t>
      </w:r>
      <w:r w:rsidR="0009587D">
        <w:rPr>
          <w:rFonts w:ascii="Times New Roman" w:hAnsi="Times New Roman" w:cs="Times New Roman"/>
          <w:sz w:val="24"/>
          <w:szCs w:val="24"/>
        </w:rPr>
        <w:t xml:space="preserve">known to be </w:t>
      </w:r>
      <w:r w:rsidR="00D73DBD">
        <w:rPr>
          <w:rFonts w:ascii="Times New Roman" w:hAnsi="Times New Roman" w:cs="Times New Roman"/>
          <w:sz w:val="24"/>
          <w:szCs w:val="24"/>
        </w:rPr>
        <w:t xml:space="preserve">endothelial genes. </w:t>
      </w:r>
      <w:r w:rsidR="0009587D">
        <w:rPr>
          <w:rFonts w:ascii="Times New Roman" w:hAnsi="Times New Roman" w:cs="Times New Roman"/>
          <w:sz w:val="24"/>
          <w:szCs w:val="24"/>
        </w:rPr>
        <w:t>Second, we selected Gata1 and Gfi1b, which are both hematopoietic genes that are known to co</w:t>
      </w:r>
      <w:r w:rsidR="00A95501">
        <w:rPr>
          <w:rFonts w:ascii="Times New Roman" w:hAnsi="Times New Roman" w:cs="Times New Roman"/>
          <w:sz w:val="24"/>
          <w:szCs w:val="24"/>
        </w:rPr>
        <w:t>mplex together in erythroid “zinc fingers.</w:t>
      </w:r>
      <w:r w:rsidR="0009587D">
        <w:rPr>
          <w:rFonts w:ascii="Times New Roman" w:hAnsi="Times New Roman" w:cs="Times New Roman"/>
          <w:sz w:val="24"/>
          <w:szCs w:val="24"/>
        </w:rPr>
        <w:t>”</w:t>
      </w:r>
      <w:r w:rsidR="00A95501">
        <w:rPr>
          <w:rStyle w:val="FootnoteReference"/>
          <w:rFonts w:ascii="Times New Roman" w:hAnsi="Times New Roman" w:cs="Times New Roman"/>
          <w:sz w:val="24"/>
          <w:szCs w:val="24"/>
        </w:rPr>
        <w:footnoteReference w:id="15"/>
      </w:r>
      <w:r w:rsidR="0009587D">
        <w:rPr>
          <w:rFonts w:ascii="Times New Roman" w:hAnsi="Times New Roman" w:cs="Times New Roman"/>
          <w:sz w:val="24"/>
          <w:szCs w:val="24"/>
        </w:rPr>
        <w:t xml:space="preserve"> Third, we selected </w:t>
      </w:r>
      <w:r w:rsidR="00D73DBD">
        <w:rPr>
          <w:rFonts w:ascii="Times New Roman" w:hAnsi="Times New Roman" w:cs="Times New Roman"/>
          <w:sz w:val="24"/>
          <w:szCs w:val="24"/>
        </w:rPr>
        <w:t xml:space="preserve">Notch1 and Ets1 as random controls, since Moignard </w:t>
      </w:r>
      <w:r w:rsidR="0009587D">
        <w:rPr>
          <w:rFonts w:ascii="Times New Roman" w:hAnsi="Times New Roman" w:cs="Times New Roman"/>
          <w:sz w:val="24"/>
          <w:szCs w:val="24"/>
        </w:rPr>
        <w:t>et al. do</w:t>
      </w:r>
      <w:r w:rsidR="00D73DBD">
        <w:rPr>
          <w:rFonts w:ascii="Times New Roman" w:hAnsi="Times New Roman" w:cs="Times New Roman"/>
          <w:sz w:val="24"/>
          <w:szCs w:val="24"/>
        </w:rPr>
        <w:t xml:space="preserve"> not specifically examine </w:t>
      </w:r>
      <w:r w:rsidR="0009587D">
        <w:rPr>
          <w:rFonts w:ascii="Times New Roman" w:hAnsi="Times New Roman" w:cs="Times New Roman"/>
          <w:sz w:val="24"/>
          <w:szCs w:val="24"/>
        </w:rPr>
        <w:t>the pair</w:t>
      </w:r>
      <w:r w:rsidR="00D73DBD">
        <w:rPr>
          <w:rFonts w:ascii="Times New Roman" w:hAnsi="Times New Roman" w:cs="Times New Roman"/>
          <w:sz w:val="24"/>
          <w:szCs w:val="24"/>
        </w:rPr>
        <w:t xml:space="preserve">. </w:t>
      </w:r>
      <w:r w:rsidR="0009587D">
        <w:rPr>
          <w:rFonts w:ascii="Times New Roman" w:hAnsi="Times New Roman" w:cs="Times New Roman"/>
          <w:sz w:val="24"/>
          <w:szCs w:val="24"/>
        </w:rPr>
        <w:t xml:space="preserve">Fourth, we selected Myb and Erg to check for independence, as </w:t>
      </w:r>
      <w:r w:rsidR="00D73DBD">
        <w:rPr>
          <w:rFonts w:ascii="Times New Roman" w:hAnsi="Times New Roman" w:cs="Times New Roman"/>
          <w:sz w:val="24"/>
          <w:szCs w:val="24"/>
        </w:rPr>
        <w:t>Myb is a hematopoietic gene, w</w:t>
      </w:r>
      <w:r w:rsidR="0009587D">
        <w:rPr>
          <w:rFonts w:ascii="Times New Roman" w:hAnsi="Times New Roman" w:cs="Times New Roman"/>
          <w:sz w:val="24"/>
          <w:szCs w:val="24"/>
        </w:rPr>
        <w:t>hile Erg is an endothelial gene</w:t>
      </w:r>
      <w:r w:rsidR="00D73DBD">
        <w:rPr>
          <w:rFonts w:ascii="Times New Roman" w:hAnsi="Times New Roman" w:cs="Times New Roman"/>
          <w:sz w:val="24"/>
          <w:szCs w:val="24"/>
        </w:rPr>
        <w:t xml:space="preserve">. </w:t>
      </w:r>
      <w:r w:rsidR="0009587D">
        <w:rPr>
          <w:rFonts w:ascii="Times New Roman" w:hAnsi="Times New Roman" w:cs="Times New Roman"/>
          <w:sz w:val="24"/>
          <w:szCs w:val="24"/>
        </w:rPr>
        <w:t>For tests of independence, w</w:t>
      </w:r>
      <w:r w:rsidR="004A6CA8" w:rsidRPr="00577F4D">
        <w:rPr>
          <w:rFonts w:ascii="Times New Roman" w:hAnsi="Times New Roman" w:cs="Times New Roman"/>
          <w:sz w:val="24"/>
          <w:szCs w:val="24"/>
        </w:rPr>
        <w:t xml:space="preserve">e </w:t>
      </w:r>
      <w:r w:rsidR="0009587D">
        <w:rPr>
          <w:rFonts w:ascii="Times New Roman" w:hAnsi="Times New Roman" w:cs="Times New Roman"/>
          <w:sz w:val="24"/>
          <w:szCs w:val="24"/>
        </w:rPr>
        <w:t>obtained the corresponding Chi-squared statistics and association plots</w:t>
      </w:r>
      <w:r w:rsidR="004A6CA8" w:rsidRPr="00577F4D">
        <w:rPr>
          <w:rFonts w:ascii="Times New Roman" w:hAnsi="Times New Roman" w:cs="Times New Roman"/>
          <w:sz w:val="24"/>
          <w:szCs w:val="24"/>
        </w:rPr>
        <w:t>:</w:t>
      </w:r>
    </w:p>
    <w:p w14:paraId="461BFC47" w14:textId="77777777" w:rsidR="00AF5618" w:rsidRPr="00AF5618" w:rsidRDefault="00AF5618" w:rsidP="00124F00">
      <w:pPr>
        <w:spacing w:line="240" w:lineRule="auto"/>
        <w:contextualSpacing/>
        <w:rPr>
          <w:rFonts w:ascii="Times New Roman" w:hAnsi="Times New Roman" w:cs="Times New Roman"/>
          <w:sz w:val="24"/>
          <w:szCs w:val="24"/>
        </w:rPr>
      </w:pPr>
    </w:p>
    <w:p w14:paraId="3AA9FB79" w14:textId="77777777" w:rsidR="004A6CA8" w:rsidRDefault="00554A0C" w:rsidP="00124F00">
      <w:pPr>
        <w:spacing w:line="240" w:lineRule="auto"/>
        <w:contextualSpacing/>
        <w:rPr>
          <w:rFonts w:ascii="Times New Roman" w:hAnsi="Times New Roman" w:cs="Times New Roman"/>
          <w:b/>
          <w:sz w:val="24"/>
          <w:szCs w:val="24"/>
        </w:rPr>
      </w:pPr>
      <w:r>
        <w:rPr>
          <w:noProof/>
        </w:rPr>
        <mc:AlternateContent>
          <mc:Choice Requires="wps">
            <w:drawing>
              <wp:anchor distT="0" distB="0" distL="114300" distR="114300" simplePos="0" relativeHeight="251667456" behindDoc="0" locked="0" layoutInCell="1" allowOverlap="1" wp14:anchorId="21BD05B5" wp14:editId="6B90C5CC">
                <wp:simplePos x="0" y="0"/>
                <wp:positionH relativeFrom="column">
                  <wp:posOffset>0</wp:posOffset>
                </wp:positionH>
                <wp:positionV relativeFrom="paragraph">
                  <wp:posOffset>2286000</wp:posOffset>
                </wp:positionV>
                <wp:extent cx="3086100" cy="342900"/>
                <wp:effectExtent l="0" t="0" r="12700" b="12700"/>
                <wp:wrapTight wrapText="bothSides">
                  <wp:wrapPolygon edited="0">
                    <wp:start x="0" y="0"/>
                    <wp:lineTo x="0" y="20800"/>
                    <wp:lineTo x="21511" y="20800"/>
                    <wp:lineTo x="21511" y="0"/>
                    <wp:lineTo x="0" y="0"/>
                  </wp:wrapPolygon>
                </wp:wrapTight>
                <wp:docPr id="8" name="Text Box 8"/>
                <wp:cNvGraphicFramePr/>
                <a:graphic xmlns:a="http://schemas.openxmlformats.org/drawingml/2006/main">
                  <a:graphicData uri="http://schemas.microsoft.com/office/word/2010/wordprocessingShape">
                    <wps:wsp>
                      <wps:cNvSpPr txBox="1"/>
                      <wps:spPr>
                        <a:xfrm>
                          <a:off x="0" y="0"/>
                          <a:ext cx="3086100" cy="34290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6AAC457B" w14:textId="77777777" w:rsidR="00651AE8" w:rsidRPr="004A6CA8" w:rsidRDefault="00651AE8" w:rsidP="004A6CA8">
                            <w:pPr>
                              <w:spacing w:line="240" w:lineRule="auto"/>
                              <w:ind w:left="720"/>
                              <w:rPr>
                                <w:rFonts w:ascii="Times New Roman" w:hAnsi="Times New Roman" w:cs="Times New Roman"/>
                                <w:sz w:val="20"/>
                                <w:szCs w:val="20"/>
                              </w:rPr>
                            </w:pPr>
                            <w:r w:rsidRPr="004A6CA8">
                              <w:rPr>
                                <w:rFonts w:ascii="Times New Roman" w:hAnsi="Times New Roman"/>
                                <w:sz w:val="20"/>
                                <w:szCs w:val="20"/>
                              </w:rPr>
                              <w:t xml:space="preserve">Figure </w:t>
                            </w:r>
                            <w:r w:rsidRPr="004A6CA8">
                              <w:rPr>
                                <w:rFonts w:ascii="Times New Roman" w:hAnsi="Times New Roman"/>
                                <w:sz w:val="20"/>
                                <w:szCs w:val="20"/>
                              </w:rPr>
                              <w:fldChar w:fldCharType="begin"/>
                            </w:r>
                            <w:r w:rsidRPr="004A6CA8">
                              <w:rPr>
                                <w:rFonts w:ascii="Times New Roman" w:hAnsi="Times New Roman"/>
                                <w:sz w:val="20"/>
                                <w:szCs w:val="20"/>
                              </w:rPr>
                              <w:instrText xml:space="preserve"> SEQ Figure \* ARABIC </w:instrText>
                            </w:r>
                            <w:r w:rsidRPr="004A6CA8">
                              <w:rPr>
                                <w:rFonts w:ascii="Times New Roman" w:hAnsi="Times New Roman"/>
                                <w:sz w:val="20"/>
                                <w:szCs w:val="20"/>
                              </w:rPr>
                              <w:fldChar w:fldCharType="separate"/>
                            </w:r>
                            <w:r w:rsidRPr="004A6CA8">
                              <w:rPr>
                                <w:rFonts w:ascii="Times New Roman" w:hAnsi="Times New Roman"/>
                                <w:noProof/>
                                <w:sz w:val="20"/>
                                <w:szCs w:val="20"/>
                              </w:rPr>
                              <w:t>5</w:t>
                            </w:r>
                            <w:r w:rsidRPr="004A6CA8">
                              <w:rPr>
                                <w:rFonts w:ascii="Times New Roman" w:hAnsi="Times New Roman"/>
                                <w:sz w:val="20"/>
                                <w:szCs w:val="20"/>
                              </w:rPr>
                              <w:fldChar w:fldCharType="end"/>
                            </w:r>
                            <w:r w:rsidRPr="004A6CA8">
                              <w:rPr>
                                <w:rFonts w:ascii="Times New Roman" w:hAnsi="Times New Roman"/>
                                <w:sz w:val="20"/>
                                <w:szCs w:val="20"/>
                              </w:rPr>
                              <w:t xml:space="preserve">: Association plot of Gata1-Gfi1b. </w:t>
                            </w:r>
                            <w:r w:rsidRPr="004A6CA8">
                              <w:rPr>
                                <w:rFonts w:ascii="Times New Roman" w:hAnsi="Times New Roman" w:cs="Times New Roman"/>
                                <w:sz w:val="20"/>
                                <w:szCs w:val="20"/>
                              </w:rPr>
                              <w:t>X-squared = 829.81, df = 1, p-value &lt; 2.2e-16</w:t>
                            </w:r>
                          </w:p>
                          <w:p w14:paraId="6DF25CF8" w14:textId="77777777" w:rsidR="00651AE8" w:rsidRPr="006F1A7F" w:rsidRDefault="00651AE8" w:rsidP="004A6CA8">
                            <w:pPr>
                              <w:pStyle w:val="Caption"/>
                              <w:rPr>
                                <w:rFonts w:eastAsia="Times New Roman" w:cs="Times New Roman"/>
                                <w:noProof/>
                                <w:color w:val="000000"/>
                                <w:sz w:val="22"/>
                                <w:szCs w:val="22"/>
                              </w:rPr>
                            </w:pPr>
                            <w: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29" type="#_x0000_t202" style="position:absolute;margin-left:0;margin-top:180pt;width:243pt;height:2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" stroked="f">
                <v:textbox inset="0,0,0,0">
                  <w:txbxContent>
                    <w:p w14:paraId="6AAC457B" w14:textId="77777777" w:rsidR="00651AE8" w:rsidRPr="004A6CA8" w:rsidRDefault="00651AE8" w:rsidP="004A6CA8">
                      <w:pPr>
                        <w:spacing w:line="240" w:lineRule="auto"/>
                        <w:ind w:left="720"/>
                        <w:rPr>
                          <w:rFonts w:ascii="Times New Roman" w:hAnsi="Times New Roman" w:cs="Times New Roman"/>
                          <w:sz w:val="20"/>
                          <w:szCs w:val="20"/>
                        </w:rPr>
                      </w:pPr>
                      <w:r w:rsidRPr="004A6CA8">
                        <w:rPr>
                          <w:rFonts w:ascii="Times New Roman" w:hAnsi="Times New Roman"/>
                          <w:sz w:val="20"/>
                          <w:szCs w:val="20"/>
                        </w:rPr>
                        <w:t xml:space="preserve">Figure </w:t>
                      </w:r>
                      <w:r w:rsidRPr="004A6CA8">
                        <w:rPr>
                          <w:rFonts w:ascii="Times New Roman" w:hAnsi="Times New Roman"/>
                          <w:sz w:val="20"/>
                          <w:szCs w:val="20"/>
                        </w:rPr>
                        <w:fldChar w:fldCharType="begin"/>
                      </w:r>
                      <w:r w:rsidRPr="004A6CA8">
                        <w:rPr>
                          <w:rFonts w:ascii="Times New Roman" w:hAnsi="Times New Roman"/>
                          <w:sz w:val="20"/>
                          <w:szCs w:val="20"/>
                        </w:rPr>
                        <w:instrText xml:space="preserve"> SEQ Figure \* ARABIC </w:instrText>
                      </w:r>
                      <w:r w:rsidRPr="004A6CA8">
                        <w:rPr>
                          <w:rFonts w:ascii="Times New Roman" w:hAnsi="Times New Roman"/>
                          <w:sz w:val="20"/>
                          <w:szCs w:val="20"/>
                        </w:rPr>
                        <w:fldChar w:fldCharType="separate"/>
                      </w:r>
                      <w:r w:rsidRPr="004A6CA8">
                        <w:rPr>
                          <w:rFonts w:ascii="Times New Roman" w:hAnsi="Times New Roman"/>
                          <w:noProof/>
                          <w:sz w:val="20"/>
                          <w:szCs w:val="20"/>
                        </w:rPr>
                        <w:t>5</w:t>
                      </w:r>
                      <w:r w:rsidRPr="004A6CA8">
                        <w:rPr>
                          <w:rFonts w:ascii="Times New Roman" w:hAnsi="Times New Roman"/>
                          <w:sz w:val="20"/>
                          <w:szCs w:val="20"/>
                        </w:rPr>
                        <w:fldChar w:fldCharType="end"/>
                      </w:r>
                      <w:r w:rsidRPr="004A6CA8">
                        <w:rPr>
                          <w:rFonts w:ascii="Times New Roman" w:hAnsi="Times New Roman"/>
                          <w:sz w:val="20"/>
                          <w:szCs w:val="20"/>
                        </w:rPr>
                        <w:t xml:space="preserve">: Association plot of Gata1-Gfi1b. </w:t>
                      </w:r>
                      <w:r w:rsidRPr="004A6CA8">
                        <w:rPr>
                          <w:rFonts w:ascii="Times New Roman" w:hAnsi="Times New Roman" w:cs="Times New Roman"/>
                          <w:sz w:val="20"/>
                          <w:szCs w:val="20"/>
                        </w:rPr>
                        <w:t>X-squared = 829.81, df = 1, p-value &lt; 2.2e-16</w:t>
                      </w:r>
                    </w:p>
                    <w:p w14:paraId="6DF25CF8" w14:textId="77777777" w:rsidR="00651AE8" w:rsidRPr="006F1A7F" w:rsidRDefault="00651AE8" w:rsidP="004A6CA8">
                      <w:pPr>
                        <w:pStyle w:val="Caption"/>
                        <w:rPr>
                          <w:rFonts w:eastAsia="Times New Roman" w:cs="Times New Roman"/>
                          <w:noProof/>
                          <w:color w:val="000000"/>
                          <w:sz w:val="22"/>
                          <w:szCs w:val="22"/>
                        </w:rPr>
                      </w:pPr>
                      <w:r>
                        <w:t xml:space="preserve"> </w:t>
                      </w:r>
                    </w:p>
                  </w:txbxContent>
                </v:textbox>
                <w10:wrap type="tight"/>
              </v:shape>
            </w:pict>
          </mc:Fallback>
        </mc:AlternateContent>
      </w:r>
      <w:r>
        <w:rPr>
          <w:noProof/>
        </w:rPr>
        <mc:AlternateContent>
          <mc:Choice Requires="wps">
            <w:drawing>
              <wp:anchor distT="0" distB="0" distL="114300" distR="114300" simplePos="0" relativeHeight="251670528" behindDoc="0" locked="0" layoutInCell="1" allowOverlap="1" wp14:anchorId="2C01032B" wp14:editId="3DE35D5E">
                <wp:simplePos x="0" y="0"/>
                <wp:positionH relativeFrom="column">
                  <wp:posOffset>3314700</wp:posOffset>
                </wp:positionH>
                <wp:positionV relativeFrom="paragraph">
                  <wp:posOffset>2254885</wp:posOffset>
                </wp:positionV>
                <wp:extent cx="3200400" cy="335915"/>
                <wp:effectExtent l="0" t="0" r="0" b="0"/>
                <wp:wrapTight wrapText="bothSides">
                  <wp:wrapPolygon edited="0">
                    <wp:start x="0" y="0"/>
                    <wp:lineTo x="0" y="19599"/>
                    <wp:lineTo x="21429" y="19599"/>
                    <wp:lineTo x="21429" y="0"/>
                    <wp:lineTo x="0" y="0"/>
                  </wp:wrapPolygon>
                </wp:wrapTight>
                <wp:docPr id="10" name="Text Box 10"/>
                <wp:cNvGraphicFramePr/>
                <a:graphic xmlns:a="http://schemas.openxmlformats.org/drawingml/2006/main">
                  <a:graphicData uri="http://schemas.microsoft.com/office/word/2010/wordprocessingShape">
                    <wps:wsp>
                      <wps:cNvSpPr txBox="1"/>
                      <wps:spPr>
                        <a:xfrm>
                          <a:off x="0" y="0"/>
                          <a:ext cx="3200400" cy="33591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4ED5CC0E" w14:textId="77777777" w:rsidR="00651AE8" w:rsidRPr="004A6CA8" w:rsidRDefault="00651AE8" w:rsidP="004A6CA8">
                            <w:pPr>
                              <w:ind w:left="720"/>
                              <w:rPr>
                                <w:rFonts w:ascii="Times New Roman" w:eastAsia="Times New Roman" w:hAnsi="Times New Roman" w:cs="Times New Roman"/>
                                <w:color w:val="auto"/>
                                <w:sz w:val="20"/>
                                <w:szCs w:val="20"/>
                              </w:rPr>
                            </w:pPr>
                            <w:r w:rsidRPr="004A6CA8">
                              <w:rPr>
                                <w:rFonts w:ascii="Times New Roman" w:hAnsi="Times New Roman"/>
                                <w:sz w:val="20"/>
                                <w:szCs w:val="20"/>
                              </w:rPr>
                              <w:t xml:space="preserve">Figure </w:t>
                            </w:r>
                            <w:r w:rsidRPr="004A6CA8">
                              <w:rPr>
                                <w:rFonts w:ascii="Times New Roman" w:hAnsi="Times New Roman"/>
                                <w:sz w:val="20"/>
                                <w:szCs w:val="20"/>
                              </w:rPr>
                              <w:fldChar w:fldCharType="begin"/>
                            </w:r>
                            <w:r w:rsidRPr="004A6CA8">
                              <w:rPr>
                                <w:rFonts w:ascii="Times New Roman" w:hAnsi="Times New Roman"/>
                                <w:sz w:val="20"/>
                                <w:szCs w:val="20"/>
                              </w:rPr>
                              <w:instrText xml:space="preserve"> SEQ Figure \* ARABIC </w:instrText>
                            </w:r>
                            <w:r w:rsidRPr="004A6CA8">
                              <w:rPr>
                                <w:rFonts w:ascii="Times New Roman" w:hAnsi="Times New Roman"/>
                                <w:sz w:val="20"/>
                                <w:szCs w:val="20"/>
                              </w:rPr>
                              <w:fldChar w:fldCharType="separate"/>
                            </w:r>
                            <w:r w:rsidRPr="004A6CA8">
                              <w:rPr>
                                <w:rFonts w:ascii="Times New Roman" w:hAnsi="Times New Roman"/>
                                <w:noProof/>
                                <w:sz w:val="20"/>
                                <w:szCs w:val="20"/>
                              </w:rPr>
                              <w:t>6</w:t>
                            </w:r>
                            <w:r w:rsidRPr="004A6CA8">
                              <w:rPr>
                                <w:rFonts w:ascii="Times New Roman" w:hAnsi="Times New Roman"/>
                                <w:sz w:val="20"/>
                                <w:szCs w:val="20"/>
                              </w:rPr>
                              <w:fldChar w:fldCharType="end"/>
                            </w:r>
                            <w:r w:rsidRPr="004A6CA8">
                              <w:rPr>
                                <w:rFonts w:ascii="Times New Roman" w:hAnsi="Times New Roman"/>
                                <w:sz w:val="20"/>
                                <w:szCs w:val="20"/>
                              </w:rPr>
                              <w:t xml:space="preserve">: Association plot of HoxB4-Sox7. </w:t>
                            </w:r>
                            <w:r w:rsidRPr="004A6CA8">
                              <w:rPr>
                                <w:rFonts w:ascii="Times New Roman" w:eastAsia="Times New Roman" w:hAnsi="Times New Roman" w:cs="Times New Roman"/>
                                <w:sz w:val="20"/>
                                <w:szCs w:val="20"/>
                              </w:rPr>
                              <w:t>X-squared = 366.73, df = 1, p-value &lt; 2.2e-16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10" o:spid="_x0000_s1030" type="#_x0000_t202" style="position:absolute;margin-left:261pt;margin-top:177.55pt;width:252pt;height:26.4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" stroked="f">
                <v:textbox style="mso-fit-shape-to-text:t" inset="0,0,0,0">
                  <w:txbxContent>
                    <w:p w14:paraId="4ED5CC0E" w14:textId="77777777" w:rsidR="00651AE8" w:rsidRPr="004A6CA8" w:rsidRDefault="00651AE8" w:rsidP="004A6CA8">
                      <w:pPr>
                        <w:ind w:left="720"/>
                        <w:rPr>
                          <w:rFonts w:ascii="Times New Roman" w:eastAsia="Times New Roman" w:hAnsi="Times New Roman" w:cs="Times New Roman"/>
                          <w:color w:val="auto"/>
                          <w:sz w:val="20"/>
                          <w:szCs w:val="20"/>
                        </w:rPr>
                      </w:pPr>
                      <w:r w:rsidRPr="004A6CA8">
                        <w:rPr>
                          <w:rFonts w:ascii="Times New Roman" w:hAnsi="Times New Roman"/>
                          <w:sz w:val="20"/>
                          <w:szCs w:val="20"/>
                        </w:rPr>
                        <w:t xml:space="preserve">Figure </w:t>
                      </w:r>
                      <w:r w:rsidRPr="004A6CA8">
                        <w:rPr>
                          <w:rFonts w:ascii="Times New Roman" w:hAnsi="Times New Roman"/>
                          <w:sz w:val="20"/>
                          <w:szCs w:val="20"/>
                        </w:rPr>
                        <w:fldChar w:fldCharType="begin"/>
                      </w:r>
                      <w:r w:rsidRPr="004A6CA8">
                        <w:rPr>
                          <w:rFonts w:ascii="Times New Roman" w:hAnsi="Times New Roman"/>
                          <w:sz w:val="20"/>
                          <w:szCs w:val="20"/>
                        </w:rPr>
                        <w:instrText xml:space="preserve"> SEQ Figure \* ARABIC </w:instrText>
                      </w:r>
                      <w:r w:rsidRPr="004A6CA8">
                        <w:rPr>
                          <w:rFonts w:ascii="Times New Roman" w:hAnsi="Times New Roman"/>
                          <w:sz w:val="20"/>
                          <w:szCs w:val="20"/>
                        </w:rPr>
                        <w:fldChar w:fldCharType="separate"/>
                      </w:r>
                      <w:r w:rsidRPr="004A6CA8">
                        <w:rPr>
                          <w:rFonts w:ascii="Times New Roman" w:hAnsi="Times New Roman"/>
                          <w:noProof/>
                          <w:sz w:val="20"/>
                          <w:szCs w:val="20"/>
                        </w:rPr>
                        <w:t>6</w:t>
                      </w:r>
                      <w:r w:rsidRPr="004A6CA8">
                        <w:rPr>
                          <w:rFonts w:ascii="Times New Roman" w:hAnsi="Times New Roman"/>
                          <w:sz w:val="20"/>
                          <w:szCs w:val="20"/>
                        </w:rPr>
                        <w:fldChar w:fldCharType="end"/>
                      </w:r>
                      <w:r w:rsidRPr="004A6CA8">
                        <w:rPr>
                          <w:rFonts w:ascii="Times New Roman" w:hAnsi="Times New Roman"/>
                          <w:sz w:val="20"/>
                          <w:szCs w:val="20"/>
                        </w:rPr>
                        <w:t xml:space="preserve">: Association plot of HoxB4-Sox7. </w:t>
                      </w:r>
                      <w:r w:rsidRPr="004A6CA8">
                        <w:rPr>
                          <w:rFonts w:ascii="Times New Roman" w:eastAsia="Times New Roman" w:hAnsi="Times New Roman" w:cs="Times New Roman"/>
                          <w:sz w:val="20"/>
                          <w:szCs w:val="20"/>
                        </w:rPr>
                        <w:t>X-squared = 366.73, df = 1, p-value &lt; 2.2e-16</w:t>
                      </w:r>
                    </w:p>
                  </w:txbxContent>
                </v:textbox>
                <w10:wrap type="tight"/>
              </v:shape>
            </w:pict>
          </mc:Fallback>
        </mc:AlternateContent>
      </w:r>
      <w:r w:rsidR="004A6CA8">
        <w:rPr>
          <w:rFonts w:eastAsia="Times New Roman" w:cs="Times New Roman"/>
          <w:noProof/>
        </w:rPr>
        <w:drawing>
          <wp:anchor distT="0" distB="0" distL="114300" distR="114300" simplePos="0" relativeHeight="251668480" behindDoc="0" locked="0" layoutInCell="1" allowOverlap="1" wp14:anchorId="5681A355" wp14:editId="4663D8F5">
            <wp:simplePos x="0" y="0"/>
            <wp:positionH relativeFrom="column">
              <wp:posOffset>3314700</wp:posOffset>
            </wp:positionH>
            <wp:positionV relativeFrom="paragraph">
              <wp:posOffset>0</wp:posOffset>
            </wp:positionV>
            <wp:extent cx="3086100" cy="2197735"/>
            <wp:effectExtent l="0" t="0" r="12700" b="12065"/>
            <wp:wrapTight wrapText="bothSides">
              <wp:wrapPolygon edited="0">
                <wp:start x="0" y="0"/>
                <wp:lineTo x="0" y="21469"/>
                <wp:lineTo x="21511" y="21469"/>
                <wp:lineTo x="21511" y="0"/>
                <wp:lineTo x="0" y="0"/>
              </wp:wrapPolygon>
            </wp:wrapTight>
            <wp:docPr id="13" name="Picture 13" descr="oxb4Sox7_ass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oxb4Sox7_assoc.png"/>
                    <pic:cNvPicPr>
                      <a:picLocks noChangeAspect="1" noChangeArrowheads="1"/>
                    </pic:cNvPicPr>
                  </pic:nvPicPr>
                  <pic:blipFill rotWithShape="1">
                    <a:blip r:embed="rId13">
                      <a:extLst>
                        <a:ext uri="{28A0092B-C50C-407E-A947-70E740481C1C}">
                          <a14:useLocalDpi xmlns:a14="http://schemas.microsoft.com/office/drawing/2010/main" val="0"/>
                        </a:ext>
                      </a:extLst>
                    </a:blip>
                    <a:srcRect t="6350" r="5292" b="4279"/>
                    <a:stretch/>
                  </pic:blipFill>
                  <pic:spPr bwMode="auto">
                    <a:xfrm>
                      <a:off x="0" y="0"/>
                      <a:ext cx="3086100" cy="21977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A6CA8">
        <w:rPr>
          <w:rFonts w:eastAsia="Times New Roman" w:cs="Times New Roman"/>
          <w:noProof/>
        </w:rPr>
        <w:drawing>
          <wp:anchor distT="0" distB="0" distL="114300" distR="114300" simplePos="0" relativeHeight="251665408" behindDoc="0" locked="0" layoutInCell="1" allowOverlap="1" wp14:anchorId="7F870A1D" wp14:editId="7A9BF5F0">
            <wp:simplePos x="0" y="0"/>
            <wp:positionH relativeFrom="column">
              <wp:posOffset>0</wp:posOffset>
            </wp:positionH>
            <wp:positionV relativeFrom="paragraph">
              <wp:posOffset>0</wp:posOffset>
            </wp:positionV>
            <wp:extent cx="3072130" cy="2190115"/>
            <wp:effectExtent l="0" t="0" r="1270" b="0"/>
            <wp:wrapTight wrapText="bothSides">
              <wp:wrapPolygon edited="0">
                <wp:start x="0" y="0"/>
                <wp:lineTo x="0" y="21293"/>
                <wp:lineTo x="21430" y="21293"/>
                <wp:lineTo x="21430" y="0"/>
                <wp:lineTo x="0" y="0"/>
              </wp:wrapPolygon>
            </wp:wrapTight>
            <wp:docPr id="11" name="Picture 11" descr="ata1Gfi1b_ass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ta1Gfi1b_assoc.png"/>
                    <pic:cNvPicPr>
                      <a:picLocks noChangeAspect="1" noChangeArrowheads="1"/>
                    </pic:cNvPicPr>
                  </pic:nvPicPr>
                  <pic:blipFill rotWithShape="1">
                    <a:blip r:embed="rId14">
                      <a:extLst>
                        <a:ext uri="{28A0092B-C50C-407E-A947-70E740481C1C}">
                          <a14:useLocalDpi xmlns:a14="http://schemas.microsoft.com/office/drawing/2010/main" val="0"/>
                        </a:ext>
                      </a:extLst>
                    </a:blip>
                    <a:srcRect t="6191" r="5823" b="4643"/>
                    <a:stretch/>
                  </pic:blipFill>
                  <pic:spPr bwMode="auto">
                    <a:xfrm>
                      <a:off x="0" y="0"/>
                      <a:ext cx="3072130" cy="219011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62115F8" w14:textId="04A33F64" w:rsidR="004A6CA8" w:rsidRDefault="00017AB0" w:rsidP="004A6CA8">
      <w:pPr>
        <w:spacing w:line="24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For the Gata1-Gfi1b pair, </w:t>
      </w:r>
      <w:r w:rsidR="004A6CA8" w:rsidRPr="004A6CA8">
        <w:rPr>
          <w:rFonts w:ascii="Times New Roman" w:hAnsi="Times New Roman" w:cs="Times New Roman"/>
          <w:sz w:val="24"/>
          <w:szCs w:val="24"/>
        </w:rPr>
        <w:t xml:space="preserve">we see that Gata1 and Gfi1b have more 0,0 and 1,1 associations than would be expected under the null distribution, with fewer </w:t>
      </w:r>
      <w:r>
        <w:rPr>
          <w:rFonts w:ascii="Times New Roman" w:hAnsi="Times New Roman" w:cs="Times New Roman"/>
          <w:sz w:val="24"/>
          <w:szCs w:val="24"/>
        </w:rPr>
        <w:t xml:space="preserve">1,0 and 0,1 associations, for any </w:t>
      </w:r>
      <w:r w:rsidR="004A6CA8" w:rsidRPr="004A6CA8">
        <w:rPr>
          <w:rFonts w:ascii="Times New Roman" w:hAnsi="Times New Roman" w:cs="Times New Roman"/>
          <w:sz w:val="24"/>
          <w:szCs w:val="24"/>
        </w:rPr>
        <w:t xml:space="preserve">given cell type. </w:t>
      </w:r>
      <w:r>
        <w:rPr>
          <w:rFonts w:ascii="Times New Roman" w:hAnsi="Times New Roman" w:cs="Times New Roman"/>
          <w:sz w:val="24"/>
          <w:szCs w:val="24"/>
        </w:rPr>
        <w:t xml:space="preserve">The p-value of the Chi-squared test is essentially 0, which indicates that they tend to be jointly activated and expressed, as model predictions confirm. </w:t>
      </w:r>
    </w:p>
    <w:p w14:paraId="5E5489BB" w14:textId="77777777" w:rsidR="00577F4D" w:rsidRPr="00554A0C" w:rsidRDefault="00577F4D" w:rsidP="004A6CA8">
      <w:pPr>
        <w:spacing w:line="240" w:lineRule="auto"/>
        <w:ind w:firstLine="720"/>
        <w:rPr>
          <w:rFonts w:ascii="Times New Roman" w:hAnsi="Times New Roman" w:cs="Times New Roman"/>
          <w:sz w:val="24"/>
          <w:szCs w:val="24"/>
        </w:rPr>
      </w:pPr>
    </w:p>
    <w:p w14:paraId="6C34C570" w14:textId="01A9E184" w:rsidR="00554A0C" w:rsidRDefault="005A753F" w:rsidP="00554A0C">
      <w:pPr>
        <w:spacing w:line="240" w:lineRule="auto"/>
        <w:ind w:firstLine="720"/>
        <w:rPr>
          <w:rFonts w:ascii="Times New Roman" w:hAnsi="Times New Roman" w:cs="Times New Roman"/>
          <w:sz w:val="24"/>
          <w:szCs w:val="24"/>
        </w:rPr>
      </w:pPr>
      <w:r>
        <w:rPr>
          <w:rFonts w:eastAsia="Times New Roman"/>
          <w:noProof/>
        </w:rPr>
        <w:drawing>
          <wp:anchor distT="0" distB="0" distL="114300" distR="114300" simplePos="0" relativeHeight="251674624" behindDoc="0" locked="0" layoutInCell="1" allowOverlap="1" wp14:anchorId="4C36FEAF" wp14:editId="6BDEECCE">
            <wp:simplePos x="0" y="0"/>
            <wp:positionH relativeFrom="column">
              <wp:posOffset>3086100</wp:posOffset>
            </wp:positionH>
            <wp:positionV relativeFrom="paragraph">
              <wp:posOffset>685800</wp:posOffset>
            </wp:positionV>
            <wp:extent cx="2986405" cy="2171700"/>
            <wp:effectExtent l="0" t="0" r="10795" b="12700"/>
            <wp:wrapTight wrapText="bothSides">
              <wp:wrapPolygon edited="0">
                <wp:start x="0" y="0"/>
                <wp:lineTo x="0" y="21474"/>
                <wp:lineTo x="21494" y="21474"/>
                <wp:lineTo x="21494" y="0"/>
                <wp:lineTo x="0" y="0"/>
              </wp:wrapPolygon>
            </wp:wrapTight>
            <wp:docPr id="18" name="Picture 18" descr="rgMyb_ass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rgMyb_assoc.png"/>
                    <pic:cNvPicPr>
                      <a:picLocks noChangeAspect="1" noChangeArrowheads="1"/>
                    </pic:cNvPicPr>
                  </pic:nvPicPr>
                  <pic:blipFill rotWithShape="1">
                    <a:blip r:embed="rId15">
                      <a:extLst>
                        <a:ext uri="{28A0092B-C50C-407E-A947-70E740481C1C}">
                          <a14:useLocalDpi xmlns:a14="http://schemas.microsoft.com/office/drawing/2010/main" val="0"/>
                        </a:ext>
                      </a:extLst>
                    </a:blip>
                    <a:srcRect t="5258" r="6211" b="4640"/>
                    <a:stretch/>
                  </pic:blipFill>
                  <pic:spPr bwMode="auto">
                    <a:xfrm>
                      <a:off x="0" y="0"/>
                      <a:ext cx="2986405" cy="21717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54A0C" w:rsidRPr="00554A0C">
        <w:rPr>
          <w:rFonts w:ascii="Times New Roman" w:hAnsi="Times New Roman" w:cs="Times New Roman"/>
          <w:sz w:val="24"/>
          <w:szCs w:val="24"/>
        </w:rPr>
        <w:t xml:space="preserve">We see a similar pattern in the HoxB4 and Sox7 </w:t>
      </w:r>
      <w:r w:rsidR="00017AB0">
        <w:rPr>
          <w:rFonts w:ascii="Times New Roman" w:hAnsi="Times New Roman" w:cs="Times New Roman"/>
          <w:sz w:val="24"/>
          <w:szCs w:val="24"/>
        </w:rPr>
        <w:t>pair</w:t>
      </w:r>
      <w:r w:rsidR="00554A0C" w:rsidRPr="00554A0C">
        <w:rPr>
          <w:rFonts w:ascii="Times New Roman" w:hAnsi="Times New Roman" w:cs="Times New Roman"/>
          <w:sz w:val="24"/>
          <w:szCs w:val="24"/>
        </w:rPr>
        <w:t xml:space="preserve">, in which the two genes have a high 0,0 and 1,1 association and </w:t>
      </w:r>
      <w:r w:rsidR="00017AB0">
        <w:rPr>
          <w:rFonts w:ascii="Times New Roman" w:hAnsi="Times New Roman" w:cs="Times New Roman"/>
          <w:sz w:val="24"/>
          <w:szCs w:val="24"/>
        </w:rPr>
        <w:t>a low 0,1 and 1,0 association. Here, t</w:t>
      </w:r>
      <w:r w:rsidR="00554A0C" w:rsidRPr="00554A0C">
        <w:rPr>
          <w:rFonts w:ascii="Times New Roman" w:hAnsi="Times New Roman" w:cs="Times New Roman"/>
          <w:sz w:val="24"/>
          <w:szCs w:val="24"/>
        </w:rPr>
        <w:t xml:space="preserve">he p-value </w:t>
      </w:r>
      <w:r w:rsidR="00017AB0">
        <w:rPr>
          <w:rFonts w:ascii="Times New Roman" w:hAnsi="Times New Roman" w:cs="Times New Roman"/>
          <w:sz w:val="24"/>
          <w:szCs w:val="24"/>
        </w:rPr>
        <w:t>also tends to 0,</w:t>
      </w:r>
      <w:r w:rsidR="00554A0C" w:rsidRPr="00554A0C">
        <w:rPr>
          <w:rFonts w:ascii="Times New Roman" w:hAnsi="Times New Roman" w:cs="Times New Roman"/>
          <w:sz w:val="24"/>
          <w:szCs w:val="24"/>
        </w:rPr>
        <w:t xml:space="preserve"> implying that the </w:t>
      </w:r>
      <w:r w:rsidR="00017AB0">
        <w:rPr>
          <w:rFonts w:ascii="Times New Roman" w:hAnsi="Times New Roman" w:cs="Times New Roman"/>
          <w:sz w:val="24"/>
          <w:szCs w:val="24"/>
        </w:rPr>
        <w:t xml:space="preserve">activation of the two genes </w:t>
      </w:r>
      <w:r w:rsidR="0055286C">
        <w:rPr>
          <w:rFonts w:ascii="Times New Roman" w:hAnsi="Times New Roman" w:cs="Times New Roman"/>
          <w:sz w:val="24"/>
          <w:szCs w:val="24"/>
        </w:rPr>
        <w:t>is</w:t>
      </w:r>
      <w:r w:rsidR="00017AB0">
        <w:rPr>
          <w:rFonts w:ascii="Times New Roman" w:hAnsi="Times New Roman" w:cs="Times New Roman"/>
          <w:sz w:val="24"/>
          <w:szCs w:val="24"/>
        </w:rPr>
        <w:t xml:space="preserve"> likely dependent or joint. </w:t>
      </w:r>
    </w:p>
    <w:p w14:paraId="3F875937" w14:textId="71CC3D61" w:rsidR="00554A0C" w:rsidRDefault="0055286C" w:rsidP="00554A0C">
      <w:pPr>
        <w:spacing w:line="240" w:lineRule="auto"/>
        <w:ind w:firstLine="720"/>
        <w:rPr>
          <w:rFonts w:ascii="Times New Roman" w:hAnsi="Times New Roman" w:cs="Times New Roman"/>
          <w:sz w:val="24"/>
          <w:szCs w:val="24"/>
        </w:rPr>
      </w:pPr>
      <w:r>
        <w:rPr>
          <w:noProof/>
        </w:rPr>
        <mc:AlternateContent>
          <mc:Choice Requires="wps">
            <w:drawing>
              <wp:anchor distT="0" distB="0" distL="114300" distR="114300" simplePos="0" relativeHeight="251676672" behindDoc="0" locked="0" layoutInCell="1" allowOverlap="1" wp14:anchorId="38190614" wp14:editId="2BDA18D7">
                <wp:simplePos x="0" y="0"/>
                <wp:positionH relativeFrom="column">
                  <wp:posOffset>3314700</wp:posOffset>
                </wp:positionH>
                <wp:positionV relativeFrom="paragraph">
                  <wp:posOffset>2331720</wp:posOffset>
                </wp:positionV>
                <wp:extent cx="2743200" cy="342900"/>
                <wp:effectExtent l="0" t="0" r="0" b="12700"/>
                <wp:wrapTight wrapText="bothSides">
                  <wp:wrapPolygon edited="0">
                    <wp:start x="0" y="0"/>
                    <wp:lineTo x="0" y="20800"/>
                    <wp:lineTo x="21400" y="20800"/>
                    <wp:lineTo x="21400" y="0"/>
                    <wp:lineTo x="0" y="0"/>
                  </wp:wrapPolygon>
                </wp:wrapTight>
                <wp:docPr id="14" name="Text Box 14"/>
                <wp:cNvGraphicFramePr/>
                <a:graphic xmlns:a="http://schemas.openxmlformats.org/drawingml/2006/main">
                  <a:graphicData uri="http://schemas.microsoft.com/office/word/2010/wordprocessingShape">
                    <wps:wsp>
                      <wps:cNvSpPr txBox="1"/>
                      <wps:spPr>
                        <a:xfrm>
                          <a:off x="0" y="0"/>
                          <a:ext cx="2743200" cy="34290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4C895BC1" w14:textId="77777777" w:rsidR="00651AE8" w:rsidRPr="00554A0C" w:rsidRDefault="00651AE8" w:rsidP="00554A0C">
                            <w:pPr>
                              <w:ind w:left="720"/>
                              <w:rPr>
                                <w:rFonts w:ascii="Times New Roman" w:eastAsia="Times New Roman" w:hAnsi="Times New Roman" w:cs="Times New Roman"/>
                                <w:color w:val="auto"/>
                                <w:sz w:val="20"/>
                                <w:szCs w:val="20"/>
                              </w:rPr>
                            </w:pPr>
                            <w:r w:rsidRPr="00554A0C">
                              <w:rPr>
                                <w:rFonts w:ascii="Times New Roman" w:hAnsi="Times New Roman" w:cs="Times New Roman"/>
                                <w:sz w:val="20"/>
                                <w:szCs w:val="20"/>
                              </w:rPr>
                              <w:t xml:space="preserve">Figure 8: Association plot of Erg-Myb. X-squared = 10.103, df = 1, p-value = </w:t>
                            </w:r>
                            <w:r w:rsidRPr="00554A0C">
                              <w:rPr>
                                <w:rFonts w:ascii="Times New Roman" w:eastAsia="Times New Roman" w:hAnsi="Times New Roman" w:cs="Times New Roman"/>
                                <w:sz w:val="20"/>
                                <w:szCs w:val="20"/>
                              </w:rPr>
                              <w:t>0.00148</w:t>
                            </w:r>
                          </w:p>
                          <w:p w14:paraId="4C91D39A" w14:textId="77777777" w:rsidR="00651AE8" w:rsidRPr="004A6CA8" w:rsidRDefault="00651AE8" w:rsidP="00554A0C">
                            <w:pPr>
                              <w:spacing w:line="240" w:lineRule="auto"/>
                              <w:ind w:left="720"/>
                              <w:rPr>
                                <w:rFonts w:ascii="Times New Roman" w:hAnsi="Times New Roman" w:cs="Times New Roman"/>
                                <w:sz w:val="20"/>
                                <w:szCs w:val="20"/>
                              </w:rPr>
                            </w:pPr>
                          </w:p>
                          <w:p w14:paraId="116FA8A5" w14:textId="77777777" w:rsidR="00651AE8" w:rsidRPr="006F1A7F" w:rsidRDefault="00651AE8" w:rsidP="00554A0C">
                            <w:pPr>
                              <w:pStyle w:val="Caption"/>
                              <w:rPr>
                                <w:rFonts w:eastAsia="Times New Roman" w:cs="Times New Roman"/>
                                <w:noProof/>
                                <w:color w:val="000000"/>
                                <w:sz w:val="22"/>
                                <w:szCs w:val="22"/>
                              </w:rPr>
                            </w:pPr>
                            <w: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31" type="#_x0000_t202" style="position:absolute;left:0;text-align:left;margin-left:261pt;margin-top:183.6pt;width:3in;height:2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" stroked="f">
                <v:textbox inset="0,0,0,0">
                  <w:txbxContent>
                    <w:p w14:paraId="4C895BC1" w14:textId="77777777" w:rsidR="00651AE8" w:rsidRPr="00554A0C" w:rsidRDefault="00651AE8" w:rsidP="00554A0C">
                      <w:pPr>
                        <w:ind w:left="720"/>
                        <w:rPr>
                          <w:rFonts w:ascii="Times New Roman" w:eastAsia="Times New Roman" w:hAnsi="Times New Roman" w:cs="Times New Roman"/>
                          <w:color w:val="auto"/>
                          <w:sz w:val="20"/>
                          <w:szCs w:val="20"/>
                        </w:rPr>
                      </w:pPr>
                      <w:r w:rsidRPr="00554A0C">
                        <w:rPr>
                          <w:rFonts w:ascii="Times New Roman" w:hAnsi="Times New Roman" w:cs="Times New Roman"/>
                          <w:sz w:val="20"/>
                          <w:szCs w:val="20"/>
                        </w:rPr>
                        <w:t xml:space="preserve">Figure 8: Association plot of Erg-Myb. X-squared = 10.103, df = 1, p-value = </w:t>
                      </w:r>
                      <w:r w:rsidRPr="00554A0C">
                        <w:rPr>
                          <w:rFonts w:ascii="Times New Roman" w:eastAsia="Times New Roman" w:hAnsi="Times New Roman" w:cs="Times New Roman"/>
                          <w:sz w:val="20"/>
                          <w:szCs w:val="20"/>
                        </w:rPr>
                        <w:t>0.00148</w:t>
                      </w:r>
                    </w:p>
                    <w:p w14:paraId="4C91D39A" w14:textId="77777777" w:rsidR="00651AE8" w:rsidRPr="004A6CA8" w:rsidRDefault="00651AE8" w:rsidP="00554A0C">
                      <w:pPr>
                        <w:spacing w:line="240" w:lineRule="auto"/>
                        <w:ind w:left="720"/>
                        <w:rPr>
                          <w:rFonts w:ascii="Times New Roman" w:hAnsi="Times New Roman" w:cs="Times New Roman"/>
                          <w:sz w:val="20"/>
                          <w:szCs w:val="20"/>
                        </w:rPr>
                      </w:pPr>
                    </w:p>
                    <w:p w14:paraId="116FA8A5" w14:textId="77777777" w:rsidR="00651AE8" w:rsidRPr="006F1A7F" w:rsidRDefault="00651AE8" w:rsidP="00554A0C">
                      <w:pPr>
                        <w:pStyle w:val="Caption"/>
                        <w:rPr>
                          <w:rFonts w:eastAsia="Times New Roman" w:cs="Times New Roman"/>
                          <w:noProof/>
                          <w:color w:val="000000"/>
                          <w:sz w:val="22"/>
                          <w:szCs w:val="22"/>
                        </w:rPr>
                      </w:pPr>
                      <w:r>
                        <w:t xml:space="preserve"> </w:t>
                      </w:r>
                    </w:p>
                  </w:txbxContent>
                </v:textbox>
                <w10:wrap type="tight"/>
              </v:shape>
            </w:pict>
          </mc:Fallback>
        </mc:AlternateContent>
      </w:r>
      <w:r>
        <w:rPr>
          <w:rFonts w:eastAsia="Times New Roman" w:cs="Times New Roman"/>
          <w:noProof/>
        </w:rPr>
        <w:drawing>
          <wp:anchor distT="0" distB="0" distL="114300" distR="114300" simplePos="0" relativeHeight="251671552" behindDoc="0" locked="0" layoutInCell="1" allowOverlap="1" wp14:anchorId="34C47A4C" wp14:editId="435B97C4">
            <wp:simplePos x="0" y="0"/>
            <wp:positionH relativeFrom="column">
              <wp:posOffset>-228600</wp:posOffset>
            </wp:positionH>
            <wp:positionV relativeFrom="paragraph">
              <wp:posOffset>160020</wp:posOffset>
            </wp:positionV>
            <wp:extent cx="3120390" cy="2277110"/>
            <wp:effectExtent l="0" t="0" r="3810" b="8890"/>
            <wp:wrapTight wrapText="bothSides">
              <wp:wrapPolygon edited="0">
                <wp:start x="0" y="0"/>
                <wp:lineTo x="0" y="21443"/>
                <wp:lineTo x="21451" y="21443"/>
                <wp:lineTo x="21451" y="0"/>
                <wp:lineTo x="0" y="0"/>
              </wp:wrapPolygon>
            </wp:wrapTight>
            <wp:docPr id="15" name="Picture 15" descr="otch1Ets1_ass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otch1Ets1_assoc.png"/>
                    <pic:cNvPicPr>
                      <a:picLocks noChangeAspect="1" noChangeArrowheads="1"/>
                    </pic:cNvPicPr>
                  </pic:nvPicPr>
                  <pic:blipFill rotWithShape="1">
                    <a:blip r:embed="rId16">
                      <a:extLst>
                        <a:ext uri="{28A0092B-C50C-407E-A947-70E740481C1C}">
                          <a14:useLocalDpi xmlns:a14="http://schemas.microsoft.com/office/drawing/2010/main" val="0"/>
                        </a:ext>
                      </a:extLst>
                    </a:blip>
                    <a:srcRect t="6137" r="6003" b="3239"/>
                    <a:stretch/>
                  </pic:blipFill>
                  <pic:spPr bwMode="auto">
                    <a:xfrm>
                      <a:off x="0" y="0"/>
                      <a:ext cx="3120390" cy="22771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54A0C">
        <w:rPr>
          <w:noProof/>
        </w:rPr>
        <mc:AlternateContent>
          <mc:Choice Requires="wps">
            <w:drawing>
              <wp:anchor distT="0" distB="0" distL="114300" distR="114300" simplePos="0" relativeHeight="251673600" behindDoc="0" locked="0" layoutInCell="1" allowOverlap="1" wp14:anchorId="45BE0F47" wp14:editId="4D6C9EDF">
                <wp:simplePos x="0" y="0"/>
                <wp:positionH relativeFrom="column">
                  <wp:posOffset>-342900</wp:posOffset>
                </wp:positionH>
                <wp:positionV relativeFrom="paragraph">
                  <wp:posOffset>2446655</wp:posOffset>
                </wp:positionV>
                <wp:extent cx="3086100" cy="342900"/>
                <wp:effectExtent l="0" t="0" r="12700" b="12700"/>
                <wp:wrapTight wrapText="bothSides">
                  <wp:wrapPolygon edited="0">
                    <wp:start x="0" y="0"/>
                    <wp:lineTo x="0" y="20800"/>
                    <wp:lineTo x="21511" y="20800"/>
                    <wp:lineTo x="21511" y="0"/>
                    <wp:lineTo x="0" y="0"/>
                  </wp:wrapPolygon>
                </wp:wrapTight>
                <wp:docPr id="12" name="Text Box 12"/>
                <wp:cNvGraphicFramePr/>
                <a:graphic xmlns:a="http://schemas.openxmlformats.org/drawingml/2006/main">
                  <a:graphicData uri="http://schemas.microsoft.com/office/word/2010/wordprocessingShape">
                    <wps:wsp>
                      <wps:cNvSpPr txBox="1"/>
                      <wps:spPr>
                        <a:xfrm>
                          <a:off x="0" y="0"/>
                          <a:ext cx="3086100" cy="34290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19DB0213" w14:textId="77777777" w:rsidR="00651AE8" w:rsidRPr="004A6CA8" w:rsidRDefault="00651AE8" w:rsidP="00554A0C">
                            <w:pPr>
                              <w:spacing w:line="240" w:lineRule="auto"/>
                              <w:ind w:left="720"/>
                              <w:rPr>
                                <w:rFonts w:ascii="Times New Roman" w:hAnsi="Times New Roman" w:cs="Times New Roman"/>
                                <w:sz w:val="20"/>
                                <w:szCs w:val="20"/>
                              </w:rPr>
                            </w:pPr>
                            <w:r w:rsidRPr="004A6CA8">
                              <w:rPr>
                                <w:rFonts w:ascii="Times New Roman" w:hAnsi="Times New Roman"/>
                                <w:sz w:val="20"/>
                                <w:szCs w:val="20"/>
                              </w:rPr>
                              <w:t xml:space="preserve">Figure </w:t>
                            </w:r>
                            <w:r>
                              <w:rPr>
                                <w:rFonts w:ascii="Times New Roman" w:hAnsi="Times New Roman"/>
                                <w:sz w:val="20"/>
                                <w:szCs w:val="20"/>
                              </w:rPr>
                              <w:t>7</w:t>
                            </w:r>
                            <w:r w:rsidRPr="004A6CA8">
                              <w:rPr>
                                <w:rFonts w:ascii="Times New Roman" w:hAnsi="Times New Roman"/>
                                <w:sz w:val="20"/>
                                <w:szCs w:val="20"/>
                              </w:rPr>
                              <w:t>:</w:t>
                            </w:r>
                            <w:r>
                              <w:rPr>
                                <w:rFonts w:ascii="Times New Roman" w:hAnsi="Times New Roman"/>
                                <w:sz w:val="20"/>
                                <w:szCs w:val="20"/>
                              </w:rPr>
                              <w:t xml:space="preserve"> Association plot of Notch1-Ets1</w:t>
                            </w:r>
                            <w:r w:rsidRPr="004A6CA8">
                              <w:rPr>
                                <w:rFonts w:ascii="Times New Roman" w:hAnsi="Times New Roman"/>
                                <w:sz w:val="20"/>
                                <w:szCs w:val="20"/>
                              </w:rPr>
                              <w:t xml:space="preserve">. </w:t>
                            </w:r>
                            <w:r>
                              <w:rPr>
                                <w:rFonts w:ascii="Times New Roman" w:hAnsi="Times New Roman" w:cs="Times New Roman"/>
                                <w:sz w:val="20"/>
                                <w:szCs w:val="20"/>
                              </w:rPr>
                              <w:t>X-squared = 552.47</w:t>
                            </w:r>
                            <w:r w:rsidRPr="004A6CA8">
                              <w:rPr>
                                <w:rFonts w:ascii="Times New Roman" w:hAnsi="Times New Roman" w:cs="Times New Roman"/>
                                <w:sz w:val="20"/>
                                <w:szCs w:val="20"/>
                              </w:rPr>
                              <w:t>, df = 1, p-value &lt; 2.2e-16</w:t>
                            </w:r>
                          </w:p>
                          <w:p w14:paraId="01EB43D6" w14:textId="77777777" w:rsidR="00651AE8" w:rsidRPr="006F1A7F" w:rsidRDefault="00651AE8" w:rsidP="00554A0C">
                            <w:pPr>
                              <w:pStyle w:val="Caption"/>
                              <w:rPr>
                                <w:rFonts w:eastAsia="Times New Roman" w:cs="Times New Roman"/>
                                <w:noProof/>
                                <w:color w:val="000000"/>
                                <w:sz w:val="22"/>
                                <w:szCs w:val="22"/>
                              </w:rPr>
                            </w:pPr>
                            <w: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32" type="#_x0000_t202" style="position:absolute;left:0;text-align:left;margin-left:-26.95pt;margin-top:192.65pt;width:243pt;height:2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" stroked="f">
                <v:textbox inset="0,0,0,0">
                  <w:txbxContent>
                    <w:p w14:paraId="19DB0213" w14:textId="77777777" w:rsidR="00651AE8" w:rsidRPr="004A6CA8" w:rsidRDefault="00651AE8" w:rsidP="00554A0C">
                      <w:pPr>
                        <w:spacing w:line="240" w:lineRule="auto"/>
                        <w:ind w:left="720"/>
                        <w:rPr>
                          <w:rFonts w:ascii="Times New Roman" w:hAnsi="Times New Roman" w:cs="Times New Roman"/>
                          <w:sz w:val="20"/>
                          <w:szCs w:val="20"/>
                        </w:rPr>
                      </w:pPr>
                      <w:r w:rsidRPr="004A6CA8">
                        <w:rPr>
                          <w:rFonts w:ascii="Times New Roman" w:hAnsi="Times New Roman"/>
                          <w:sz w:val="20"/>
                          <w:szCs w:val="20"/>
                        </w:rPr>
                        <w:t xml:space="preserve">Figure </w:t>
                      </w:r>
                      <w:r>
                        <w:rPr>
                          <w:rFonts w:ascii="Times New Roman" w:hAnsi="Times New Roman"/>
                          <w:sz w:val="20"/>
                          <w:szCs w:val="20"/>
                        </w:rPr>
                        <w:t>7</w:t>
                      </w:r>
                      <w:r w:rsidRPr="004A6CA8">
                        <w:rPr>
                          <w:rFonts w:ascii="Times New Roman" w:hAnsi="Times New Roman"/>
                          <w:sz w:val="20"/>
                          <w:szCs w:val="20"/>
                        </w:rPr>
                        <w:t>:</w:t>
                      </w:r>
                      <w:r>
                        <w:rPr>
                          <w:rFonts w:ascii="Times New Roman" w:hAnsi="Times New Roman"/>
                          <w:sz w:val="20"/>
                          <w:szCs w:val="20"/>
                        </w:rPr>
                        <w:t xml:space="preserve"> Association plot of Notch1-Ets1</w:t>
                      </w:r>
                      <w:r w:rsidRPr="004A6CA8">
                        <w:rPr>
                          <w:rFonts w:ascii="Times New Roman" w:hAnsi="Times New Roman"/>
                          <w:sz w:val="20"/>
                          <w:szCs w:val="20"/>
                        </w:rPr>
                        <w:t xml:space="preserve">. </w:t>
                      </w:r>
                      <w:r>
                        <w:rPr>
                          <w:rFonts w:ascii="Times New Roman" w:hAnsi="Times New Roman" w:cs="Times New Roman"/>
                          <w:sz w:val="20"/>
                          <w:szCs w:val="20"/>
                        </w:rPr>
                        <w:t>X-squared = 552.47</w:t>
                      </w:r>
                      <w:r w:rsidRPr="004A6CA8">
                        <w:rPr>
                          <w:rFonts w:ascii="Times New Roman" w:hAnsi="Times New Roman" w:cs="Times New Roman"/>
                          <w:sz w:val="20"/>
                          <w:szCs w:val="20"/>
                        </w:rPr>
                        <w:t>, df = 1, p-value &lt; 2.2e-16</w:t>
                      </w:r>
                    </w:p>
                    <w:p w14:paraId="01EB43D6" w14:textId="77777777" w:rsidR="00651AE8" w:rsidRPr="006F1A7F" w:rsidRDefault="00651AE8" w:rsidP="00554A0C">
                      <w:pPr>
                        <w:pStyle w:val="Caption"/>
                        <w:rPr>
                          <w:rFonts w:eastAsia="Times New Roman" w:cs="Times New Roman"/>
                          <w:noProof/>
                          <w:color w:val="000000"/>
                          <w:sz w:val="22"/>
                          <w:szCs w:val="22"/>
                        </w:rPr>
                      </w:pPr>
                      <w:r>
                        <w:t xml:space="preserve"> </w:t>
                      </w:r>
                    </w:p>
                  </w:txbxContent>
                </v:textbox>
                <w10:wrap type="tight"/>
              </v:shape>
            </w:pict>
          </mc:Fallback>
        </mc:AlternateContent>
      </w:r>
    </w:p>
    <w:p w14:paraId="467672D0" w14:textId="32CAAD55" w:rsidR="00554A0C" w:rsidRDefault="00554A0C" w:rsidP="00554A0C">
      <w:pPr>
        <w:keepNext/>
        <w:spacing w:line="240" w:lineRule="auto"/>
      </w:pPr>
    </w:p>
    <w:p w14:paraId="491F7B9D" w14:textId="77777777" w:rsidR="00554A0C" w:rsidRDefault="00554A0C" w:rsidP="00554A0C">
      <w:pPr>
        <w:rPr>
          <w:rFonts w:ascii="Times New Roman" w:hAnsi="Times New Roman"/>
          <w:sz w:val="20"/>
          <w:szCs w:val="20"/>
        </w:rPr>
      </w:pPr>
    </w:p>
    <w:p w14:paraId="4C707BEC" w14:textId="71E36717" w:rsidR="00577F4D" w:rsidRDefault="00577F4D" w:rsidP="00577F4D">
      <w:pPr>
        <w:spacing w:line="240" w:lineRule="auto"/>
        <w:ind w:firstLine="720"/>
        <w:rPr>
          <w:rFonts w:ascii="Times New Roman" w:hAnsi="Times New Roman" w:cs="Times New Roman"/>
          <w:sz w:val="24"/>
          <w:szCs w:val="24"/>
        </w:rPr>
      </w:pPr>
      <w:r w:rsidRPr="00577F4D">
        <w:rPr>
          <w:rFonts w:ascii="Times New Roman" w:hAnsi="Times New Roman" w:cs="Times New Roman"/>
          <w:sz w:val="24"/>
          <w:szCs w:val="24"/>
        </w:rPr>
        <w:t>We see a similar trend with the association plot between Notch1 and Ets1, showing a dependency between the expression levels of these two genes with both the plot and the small p-value. This plot has</w:t>
      </w:r>
      <w:r w:rsidR="006F486A">
        <w:rPr>
          <w:rFonts w:ascii="Times New Roman" w:hAnsi="Times New Roman" w:cs="Times New Roman"/>
          <w:sz w:val="24"/>
          <w:szCs w:val="24"/>
        </w:rPr>
        <w:t xml:space="preserve"> significantly</w:t>
      </w:r>
      <w:r w:rsidRPr="00577F4D">
        <w:rPr>
          <w:rFonts w:ascii="Times New Roman" w:hAnsi="Times New Roman" w:cs="Times New Roman"/>
          <w:sz w:val="24"/>
          <w:szCs w:val="24"/>
        </w:rPr>
        <w:t xml:space="preserve"> different widths for the 0,0 and 1,1 associations because </w:t>
      </w:r>
      <w:r w:rsidR="008520B7">
        <w:rPr>
          <w:rFonts w:ascii="Times New Roman" w:hAnsi="Times New Roman" w:cs="Times New Roman"/>
          <w:sz w:val="24"/>
          <w:szCs w:val="24"/>
        </w:rPr>
        <w:t xml:space="preserve">a dominating portion of the cells involved in the pair analysis has activated expression of Ets1, which results </w:t>
      </w:r>
      <w:r w:rsidR="004E3889">
        <w:rPr>
          <w:rFonts w:ascii="Times New Roman" w:hAnsi="Times New Roman" w:cs="Times New Roman"/>
          <w:sz w:val="24"/>
          <w:szCs w:val="24"/>
        </w:rPr>
        <w:t xml:space="preserve">in a greater expected number of 1,0 and 1,1 associations. However, because of a positive association between Ets1 and Notch1, 0,0 and 1,1 are slightly favored than what would have been expected. </w:t>
      </w:r>
    </w:p>
    <w:p w14:paraId="3BF6D697" w14:textId="77777777" w:rsidR="004E3889" w:rsidRPr="00577F4D" w:rsidRDefault="004E3889" w:rsidP="00577F4D">
      <w:pPr>
        <w:spacing w:line="240" w:lineRule="auto"/>
        <w:ind w:firstLine="720"/>
        <w:rPr>
          <w:rFonts w:ascii="Times New Roman" w:hAnsi="Times New Roman" w:cs="Times New Roman"/>
          <w:color w:val="auto"/>
          <w:sz w:val="24"/>
          <w:szCs w:val="24"/>
        </w:rPr>
      </w:pPr>
    </w:p>
    <w:p w14:paraId="124EF1AA" w14:textId="07496F5C" w:rsidR="00577F4D" w:rsidRDefault="00577F4D" w:rsidP="00577F4D">
      <w:pPr>
        <w:pStyle w:val="NormalWeb"/>
        <w:spacing w:before="0" w:beforeAutospacing="0" w:after="0" w:afterAutospacing="0"/>
        <w:rPr>
          <w:rFonts w:ascii="Times New Roman" w:hAnsi="Times New Roman"/>
          <w:color w:val="000000"/>
          <w:sz w:val="24"/>
          <w:szCs w:val="24"/>
        </w:rPr>
      </w:pPr>
      <w:r w:rsidRPr="00577F4D">
        <w:rPr>
          <w:rFonts w:ascii="Times New Roman" w:eastAsia="Times New Roman" w:hAnsi="Times New Roman"/>
          <w:sz w:val="24"/>
          <w:szCs w:val="24"/>
        </w:rPr>
        <w:tab/>
      </w:r>
      <w:r w:rsidR="006A3BCF">
        <w:rPr>
          <w:rFonts w:ascii="Times New Roman" w:eastAsia="Times New Roman" w:hAnsi="Times New Roman"/>
          <w:sz w:val="24"/>
          <w:szCs w:val="24"/>
        </w:rPr>
        <w:t xml:space="preserve">Finally, </w:t>
      </w:r>
      <w:r w:rsidR="006A3BCF">
        <w:rPr>
          <w:rFonts w:ascii="Times New Roman" w:hAnsi="Times New Roman"/>
          <w:color w:val="000000"/>
          <w:sz w:val="24"/>
          <w:szCs w:val="24"/>
        </w:rPr>
        <w:t>the</w:t>
      </w:r>
      <w:r w:rsidRPr="00577F4D">
        <w:rPr>
          <w:rFonts w:ascii="Times New Roman" w:hAnsi="Times New Roman"/>
          <w:color w:val="000000"/>
          <w:sz w:val="24"/>
          <w:szCs w:val="24"/>
        </w:rPr>
        <w:t xml:space="preserve"> association plot and the corresponding p-value reveal that the expression levels or Erg and Myb </w:t>
      </w:r>
      <w:r w:rsidR="00D12A4F">
        <w:rPr>
          <w:rFonts w:ascii="Times New Roman" w:hAnsi="Times New Roman"/>
          <w:color w:val="000000"/>
          <w:sz w:val="24"/>
          <w:szCs w:val="24"/>
        </w:rPr>
        <w:t xml:space="preserve">could be anti-associated, </w:t>
      </w:r>
      <w:r w:rsidRPr="00577F4D">
        <w:rPr>
          <w:rFonts w:ascii="Times New Roman" w:hAnsi="Times New Roman"/>
          <w:color w:val="000000"/>
          <w:sz w:val="24"/>
          <w:szCs w:val="24"/>
        </w:rPr>
        <w:t>as the plot shows higher 1,0 and 0,1 expression levels for the two genes than would we expected under the null hypothesis.</w:t>
      </w:r>
      <w:r w:rsidR="00D12A4F">
        <w:rPr>
          <w:rFonts w:ascii="Times New Roman" w:hAnsi="Times New Roman"/>
          <w:color w:val="000000"/>
          <w:sz w:val="24"/>
          <w:szCs w:val="24"/>
        </w:rPr>
        <w:t xml:space="preserve"> Moreover, the p-value is under the traditional significance level of 0.05</w:t>
      </w:r>
      <w:r w:rsidR="000A57E8">
        <w:rPr>
          <w:rFonts w:ascii="Times New Roman" w:hAnsi="Times New Roman"/>
          <w:color w:val="000000"/>
          <w:sz w:val="24"/>
          <w:szCs w:val="24"/>
        </w:rPr>
        <w:t>.</w:t>
      </w:r>
    </w:p>
    <w:p w14:paraId="7999D3EE" w14:textId="77777777" w:rsidR="00577F4D" w:rsidRPr="00577F4D" w:rsidRDefault="00577F4D" w:rsidP="00577F4D">
      <w:pPr>
        <w:pStyle w:val="NormalWeb"/>
        <w:spacing w:before="0" w:beforeAutospacing="0" w:after="0" w:afterAutospacing="0"/>
        <w:rPr>
          <w:rFonts w:ascii="Times New Roman" w:hAnsi="Times New Roman"/>
          <w:sz w:val="24"/>
          <w:szCs w:val="24"/>
        </w:rPr>
      </w:pPr>
    </w:p>
    <w:p w14:paraId="1D64551D" w14:textId="148779F7" w:rsidR="00577F4D" w:rsidRDefault="00D12A4F" w:rsidP="00577F4D">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Due to the multiple comparison problem, we adjust the p-values. The problem applies to this setting because there are </w:t>
      </w:r>
      <m:oMath>
        <m:r>
          <w:rPr>
            <w:rFonts w:ascii="Cambria Math" w:hAnsi="Cambria Math" w:cs="Times New Roman"/>
            <w:sz w:val="24"/>
            <w:szCs w:val="24"/>
          </w:rPr>
          <m:t>(</m:t>
        </m:r>
        <m:box>
          <m:boxPr>
            <m:ctrlPr>
              <w:rPr>
                <w:rFonts w:ascii="Cambria Math" w:hAnsi="Cambria Math" w:cs="Times New Roman"/>
                <w:i/>
                <w:sz w:val="24"/>
                <w:szCs w:val="24"/>
              </w:rPr>
            </m:ctrlPr>
          </m:boxPr>
          <m:e>
            <m:argPr>
              <m:argSz m:val="-1"/>
            </m:argPr>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31</m:t>
                  </m:r>
                </m:e>
              </m:mr>
              <m:mr>
                <m:e>
                  <m:r>
                    <w:rPr>
                      <w:rFonts w:ascii="Cambria Math" w:hAnsi="Cambria Math" w:cs="Times New Roman"/>
                      <w:sz w:val="24"/>
                      <w:szCs w:val="24"/>
                    </w:rPr>
                    <m:t>2</m:t>
                  </m:r>
                </m:e>
              </m:mr>
            </m:m>
          </m:e>
        </m:box>
      </m:oMath>
      <w:r>
        <w:rPr>
          <w:rFonts w:ascii="Times New Roman" w:hAnsi="Times New Roman" w:cs="Times New Roman"/>
          <w:sz w:val="24"/>
          <w:szCs w:val="24"/>
        </w:rPr>
        <w:t>)</w:t>
      </w:r>
      <w:r w:rsidRPr="00577F4D">
        <w:rPr>
          <w:rFonts w:ascii="Times New Roman" w:hAnsi="Times New Roman" w:cs="Times New Roman"/>
          <w:sz w:val="24"/>
          <w:szCs w:val="24"/>
        </w:rPr>
        <w:t xml:space="preserve"> </w:t>
      </w:r>
      <w:r>
        <w:rPr>
          <w:rFonts w:ascii="Times New Roman" w:hAnsi="Times New Roman" w:cs="Times New Roman"/>
          <w:sz w:val="24"/>
          <w:szCs w:val="24"/>
        </w:rPr>
        <w:t xml:space="preserve">or 465 </w:t>
      </w:r>
      <w:r w:rsidRPr="00577F4D">
        <w:rPr>
          <w:rFonts w:ascii="Times New Roman" w:hAnsi="Times New Roman" w:cs="Times New Roman"/>
          <w:sz w:val="24"/>
          <w:szCs w:val="24"/>
        </w:rPr>
        <w:t xml:space="preserve">possible </w:t>
      </w:r>
      <w:r>
        <w:rPr>
          <w:rFonts w:ascii="Times New Roman" w:hAnsi="Times New Roman" w:cs="Times New Roman"/>
          <w:sz w:val="24"/>
          <w:szCs w:val="24"/>
        </w:rPr>
        <w:t>pairs of genes. We use both the</w:t>
      </w:r>
      <w:r w:rsidR="00577F4D" w:rsidRPr="00577F4D">
        <w:rPr>
          <w:rFonts w:ascii="Times New Roman" w:hAnsi="Times New Roman" w:cs="Times New Roman"/>
          <w:sz w:val="24"/>
          <w:szCs w:val="24"/>
        </w:rPr>
        <w:t xml:space="preserve"> Bonferroni correction </w:t>
      </w:r>
      <w:r>
        <w:rPr>
          <w:rFonts w:ascii="Times New Roman" w:hAnsi="Times New Roman" w:cs="Times New Roman"/>
          <w:sz w:val="24"/>
          <w:szCs w:val="24"/>
        </w:rPr>
        <w:t>and the Holm method to inflate the p-values (or shrink the significance level)</w:t>
      </w:r>
      <w:r w:rsidR="00577F4D" w:rsidRPr="00577F4D">
        <w:rPr>
          <w:rFonts w:ascii="Times New Roman" w:hAnsi="Times New Roman" w:cs="Times New Roman"/>
          <w:sz w:val="24"/>
          <w:szCs w:val="24"/>
        </w:rPr>
        <w:t xml:space="preserve">. </w:t>
      </w:r>
      <w:r>
        <w:rPr>
          <w:rFonts w:ascii="Times New Roman" w:hAnsi="Times New Roman" w:cs="Times New Roman"/>
          <w:sz w:val="24"/>
          <w:szCs w:val="24"/>
        </w:rPr>
        <w:t xml:space="preserve">We use both methods simply for robustness purposes. Under both corrections, the tests of independence for </w:t>
      </w:r>
      <w:r w:rsidR="00577F4D" w:rsidRPr="00577F4D">
        <w:rPr>
          <w:rFonts w:ascii="Times New Roman" w:hAnsi="Times New Roman" w:cs="Times New Roman"/>
          <w:sz w:val="24"/>
          <w:szCs w:val="24"/>
        </w:rPr>
        <w:t xml:space="preserve">Gata1-Gfi1b, HoxB4-Sox7, and Notch1-Ets1 </w:t>
      </w:r>
      <w:r>
        <w:rPr>
          <w:rFonts w:ascii="Times New Roman" w:hAnsi="Times New Roman" w:cs="Times New Roman"/>
          <w:sz w:val="24"/>
          <w:szCs w:val="24"/>
        </w:rPr>
        <w:t xml:space="preserve">have </w:t>
      </w:r>
      <w:r w:rsidR="00577F4D" w:rsidRPr="00577F4D">
        <w:rPr>
          <w:rFonts w:ascii="Times New Roman" w:hAnsi="Times New Roman" w:cs="Times New Roman"/>
          <w:sz w:val="24"/>
          <w:szCs w:val="24"/>
        </w:rPr>
        <w:t xml:space="preserve">p-values well below </w:t>
      </w:r>
      <w:r>
        <w:rPr>
          <w:rFonts w:ascii="Times New Roman" w:hAnsi="Times New Roman" w:cs="Times New Roman"/>
          <w:sz w:val="24"/>
          <w:szCs w:val="24"/>
        </w:rPr>
        <w:t>the adjusted</w:t>
      </w:r>
      <w:r w:rsidR="00577F4D" w:rsidRPr="00577F4D">
        <w:rPr>
          <w:rFonts w:ascii="Times New Roman" w:hAnsi="Times New Roman" w:cs="Times New Roman"/>
          <w:sz w:val="24"/>
          <w:szCs w:val="24"/>
        </w:rPr>
        <w:t xml:space="preserve"> threshold</w:t>
      </w:r>
      <w:r>
        <w:rPr>
          <w:rFonts w:ascii="Times New Roman" w:hAnsi="Times New Roman" w:cs="Times New Roman"/>
          <w:sz w:val="24"/>
          <w:szCs w:val="24"/>
        </w:rPr>
        <w:t>s,</w:t>
      </w:r>
      <w:r w:rsidR="00577F4D" w:rsidRPr="00577F4D">
        <w:rPr>
          <w:rFonts w:ascii="Times New Roman" w:hAnsi="Times New Roman" w:cs="Times New Roman"/>
          <w:sz w:val="24"/>
          <w:szCs w:val="24"/>
        </w:rPr>
        <w:t xml:space="preserve"> </w:t>
      </w:r>
      <w:r w:rsidR="00B50422">
        <w:rPr>
          <w:rFonts w:ascii="Times New Roman" w:hAnsi="Times New Roman" w:cs="Times New Roman"/>
          <w:sz w:val="24"/>
          <w:szCs w:val="24"/>
        </w:rPr>
        <w:t>indicating</w:t>
      </w:r>
      <w:r w:rsidR="00577F4D" w:rsidRPr="00577F4D">
        <w:rPr>
          <w:rFonts w:ascii="Times New Roman" w:hAnsi="Times New Roman" w:cs="Times New Roman"/>
          <w:sz w:val="24"/>
          <w:szCs w:val="24"/>
        </w:rPr>
        <w:t xml:space="preserve"> that we </w:t>
      </w:r>
      <w:r w:rsidR="00B50422">
        <w:rPr>
          <w:rFonts w:ascii="Times New Roman" w:hAnsi="Times New Roman" w:cs="Times New Roman"/>
          <w:sz w:val="24"/>
          <w:szCs w:val="24"/>
        </w:rPr>
        <w:t>can</w:t>
      </w:r>
      <w:r w:rsidR="00577F4D" w:rsidRPr="00577F4D">
        <w:rPr>
          <w:rFonts w:ascii="Times New Roman" w:hAnsi="Times New Roman" w:cs="Times New Roman"/>
          <w:sz w:val="24"/>
          <w:szCs w:val="24"/>
        </w:rPr>
        <w:t xml:space="preserve"> reject the null hypothesis that these pairs of genes were expressed independently from one another. However, Erg-Myb had a p-value</w:t>
      </w:r>
      <w:r w:rsidR="00FB46F0">
        <w:rPr>
          <w:rFonts w:ascii="Times New Roman" w:hAnsi="Times New Roman" w:cs="Times New Roman"/>
          <w:sz w:val="24"/>
          <w:szCs w:val="24"/>
        </w:rPr>
        <w:t xml:space="preserve"> well</w:t>
      </w:r>
      <w:r w:rsidR="00577F4D" w:rsidRPr="00577F4D">
        <w:rPr>
          <w:rFonts w:ascii="Times New Roman" w:hAnsi="Times New Roman" w:cs="Times New Roman"/>
          <w:sz w:val="24"/>
          <w:szCs w:val="24"/>
        </w:rPr>
        <w:t xml:space="preserve"> above the </w:t>
      </w:r>
      <w:r w:rsidR="00FB46F0">
        <w:rPr>
          <w:rFonts w:ascii="Times New Roman" w:hAnsi="Times New Roman" w:cs="Times New Roman"/>
          <w:sz w:val="24"/>
          <w:szCs w:val="24"/>
        </w:rPr>
        <w:t xml:space="preserve">new </w:t>
      </w:r>
      <w:r w:rsidR="00577F4D" w:rsidRPr="00577F4D">
        <w:rPr>
          <w:rFonts w:ascii="Times New Roman" w:hAnsi="Times New Roman" w:cs="Times New Roman"/>
          <w:sz w:val="24"/>
          <w:szCs w:val="24"/>
        </w:rPr>
        <w:lastRenderedPageBreak/>
        <w:t>threshold</w:t>
      </w:r>
      <w:r w:rsidR="00FB46F0">
        <w:rPr>
          <w:rFonts w:ascii="Times New Roman" w:hAnsi="Times New Roman" w:cs="Times New Roman"/>
          <w:sz w:val="24"/>
          <w:szCs w:val="24"/>
        </w:rPr>
        <w:t>s,</w:t>
      </w:r>
      <w:r w:rsidR="00577F4D" w:rsidRPr="00577F4D">
        <w:rPr>
          <w:rFonts w:ascii="Times New Roman" w:hAnsi="Times New Roman" w:cs="Times New Roman"/>
          <w:sz w:val="24"/>
          <w:szCs w:val="24"/>
        </w:rPr>
        <w:t xml:space="preserve"> meaning we </w:t>
      </w:r>
      <w:r w:rsidR="00FB46F0">
        <w:rPr>
          <w:rFonts w:ascii="Times New Roman" w:hAnsi="Times New Roman" w:cs="Times New Roman"/>
          <w:sz w:val="24"/>
          <w:szCs w:val="24"/>
        </w:rPr>
        <w:t>cannot</w:t>
      </w:r>
      <w:r w:rsidR="00577F4D" w:rsidRPr="00577F4D">
        <w:rPr>
          <w:rFonts w:ascii="Times New Roman" w:hAnsi="Times New Roman" w:cs="Times New Roman"/>
          <w:sz w:val="24"/>
          <w:szCs w:val="24"/>
        </w:rPr>
        <w:t xml:space="preserve"> reject the null hypothesis. As a result, </w:t>
      </w:r>
      <w:r w:rsidR="00FB46F0">
        <w:rPr>
          <w:rFonts w:ascii="Times New Roman" w:hAnsi="Times New Roman" w:cs="Times New Roman"/>
          <w:sz w:val="24"/>
          <w:szCs w:val="24"/>
        </w:rPr>
        <w:t xml:space="preserve">not only do the genes have nearly 0 as a correlation in expression levels across time, the genes are activated independently. </w:t>
      </w:r>
    </w:p>
    <w:p w14:paraId="2D21F28F" w14:textId="77777777" w:rsidR="00577F4D" w:rsidRDefault="00577F4D" w:rsidP="00577F4D">
      <w:pPr>
        <w:spacing w:line="240" w:lineRule="auto"/>
        <w:ind w:firstLine="720"/>
        <w:rPr>
          <w:rFonts w:ascii="Times New Roman" w:hAnsi="Times New Roman" w:cs="Times New Roman"/>
          <w:sz w:val="24"/>
          <w:szCs w:val="24"/>
        </w:rPr>
      </w:pPr>
    </w:p>
    <w:p w14:paraId="160A7724" w14:textId="7ADD95B0" w:rsidR="001D1587" w:rsidRDefault="00FB46F0" w:rsidP="00FA2152">
      <w:pPr>
        <w:spacing w:line="240" w:lineRule="auto"/>
        <w:ind w:firstLine="720"/>
        <w:rPr>
          <w:rFonts w:ascii="Times New Roman" w:hAnsi="Times New Roman" w:cs="Times New Roman"/>
          <w:color w:val="auto"/>
          <w:sz w:val="24"/>
          <w:szCs w:val="24"/>
        </w:rPr>
      </w:pPr>
      <w:r>
        <w:rPr>
          <w:rFonts w:ascii="Times New Roman" w:hAnsi="Times New Roman" w:cs="Times New Roman"/>
          <w:sz w:val="24"/>
          <w:szCs w:val="24"/>
        </w:rPr>
        <w:t>We use</w:t>
      </w:r>
      <w:r w:rsidR="00577F4D" w:rsidRPr="00577F4D">
        <w:rPr>
          <w:rFonts w:ascii="Times New Roman" w:hAnsi="Times New Roman" w:cs="Times New Roman"/>
          <w:sz w:val="24"/>
          <w:szCs w:val="24"/>
        </w:rPr>
        <w:t xml:space="preserve"> the bo</w:t>
      </w:r>
      <w:r w:rsidR="006F486A">
        <w:rPr>
          <w:rFonts w:ascii="Times New Roman" w:hAnsi="Times New Roman" w:cs="Times New Roman"/>
          <w:sz w:val="24"/>
          <w:szCs w:val="24"/>
        </w:rPr>
        <w:t>otstrap method to estimate the distribution of the c</w:t>
      </w:r>
      <w:r w:rsidR="00577F4D" w:rsidRPr="00577F4D">
        <w:rPr>
          <w:rFonts w:ascii="Times New Roman" w:hAnsi="Times New Roman" w:cs="Times New Roman"/>
          <w:sz w:val="24"/>
          <w:szCs w:val="24"/>
        </w:rPr>
        <w:t xml:space="preserve">orrelations </w:t>
      </w:r>
      <w:r w:rsidR="006F486A">
        <w:rPr>
          <w:rFonts w:ascii="Times New Roman" w:hAnsi="Times New Roman" w:cs="Times New Roman"/>
          <w:sz w:val="24"/>
          <w:szCs w:val="24"/>
        </w:rPr>
        <w:t xml:space="preserve">of the selected pairs of genes. </w:t>
      </w:r>
      <w:r w:rsidR="00B856AF">
        <w:rPr>
          <w:rFonts w:ascii="Times New Roman" w:hAnsi="Times New Roman" w:cs="Times New Roman"/>
          <w:sz w:val="24"/>
          <w:szCs w:val="24"/>
        </w:rPr>
        <w:t>We find the bootstrapped correla</w:t>
      </w:r>
      <w:r w:rsidR="005467EF">
        <w:rPr>
          <w:rFonts w:ascii="Times New Roman" w:hAnsi="Times New Roman" w:cs="Times New Roman"/>
          <w:sz w:val="24"/>
          <w:szCs w:val="24"/>
        </w:rPr>
        <w:t xml:space="preserve">tion for Gata1-Gfi1b to be 0.77; HoxB4-Sox7, 0.50; Notch1-Ets1, 0.69; and Erg-Myb, -0.007. The first three correlations are significant at the level adjusted for the multiple comparison problem, whereas the fourth correlation is not significant even at the traditional level of 0.05. </w:t>
      </w:r>
      <w:r w:rsidR="00533356">
        <w:rPr>
          <w:rFonts w:ascii="Times New Roman" w:hAnsi="Times New Roman" w:cs="Times New Roman"/>
          <w:sz w:val="24"/>
          <w:szCs w:val="24"/>
        </w:rPr>
        <w:t xml:space="preserve">These numbers indicate that </w:t>
      </w:r>
      <w:r w:rsidR="000C5619">
        <w:rPr>
          <w:rFonts w:ascii="Times New Roman" w:hAnsi="Times New Roman" w:cs="Times New Roman"/>
          <w:sz w:val="24"/>
          <w:szCs w:val="24"/>
        </w:rPr>
        <w:t xml:space="preserve">not only are the first three pairs positively associated with respect to activation, they are highly correlated with respect to levels of expression. </w:t>
      </w:r>
      <w:r w:rsidR="000E5758">
        <w:rPr>
          <w:rFonts w:ascii="Times New Roman" w:hAnsi="Times New Roman" w:cs="Times New Roman"/>
          <w:sz w:val="24"/>
          <w:szCs w:val="24"/>
        </w:rPr>
        <w:t xml:space="preserve">On the other hand, the final pair is neither associated with respect to activation nor correlated with respect to expression. </w:t>
      </w:r>
      <w:r w:rsidR="00FA2152">
        <w:rPr>
          <w:rFonts w:ascii="Times New Roman" w:hAnsi="Times New Roman" w:cs="Times New Roman"/>
          <w:color w:val="auto"/>
          <w:sz w:val="24"/>
          <w:szCs w:val="24"/>
        </w:rPr>
        <w:t xml:space="preserve">Again, the results of this analysis validate the model predictions of which genes are activated and expressed jointly. </w:t>
      </w:r>
    </w:p>
    <w:p w14:paraId="2A8963AA" w14:textId="77777777" w:rsidR="001D1587" w:rsidRDefault="001D1587" w:rsidP="001D1587">
      <w:pPr>
        <w:spacing w:line="240" w:lineRule="auto"/>
        <w:rPr>
          <w:rFonts w:ascii="Times New Roman" w:hAnsi="Times New Roman" w:cs="Times New Roman"/>
          <w:color w:val="auto"/>
          <w:sz w:val="24"/>
          <w:szCs w:val="24"/>
        </w:rPr>
      </w:pPr>
    </w:p>
    <w:p w14:paraId="73C14473" w14:textId="77777777" w:rsidR="001D1587" w:rsidRDefault="001D1587" w:rsidP="001D1587">
      <w:pPr>
        <w:spacing w:line="240" w:lineRule="auto"/>
        <w:rPr>
          <w:rFonts w:ascii="Times New Roman" w:hAnsi="Times New Roman" w:cs="Times New Roman"/>
          <w:color w:val="auto"/>
          <w:sz w:val="24"/>
          <w:szCs w:val="24"/>
          <w:u w:val="single"/>
        </w:rPr>
      </w:pPr>
      <w:r>
        <w:rPr>
          <w:rFonts w:ascii="Times New Roman" w:hAnsi="Times New Roman" w:cs="Times New Roman"/>
          <w:color w:val="auto"/>
          <w:sz w:val="24"/>
          <w:szCs w:val="24"/>
          <w:u w:val="single"/>
        </w:rPr>
        <w:t>Wilcoxon Signed-Rank Test</w:t>
      </w:r>
    </w:p>
    <w:p w14:paraId="38E6B88B" w14:textId="77777777" w:rsidR="007D05D4" w:rsidRDefault="007D05D4" w:rsidP="00124F00">
      <w:pPr>
        <w:spacing w:line="240" w:lineRule="auto"/>
        <w:contextualSpacing/>
        <w:rPr>
          <w:rFonts w:ascii="Times New Roman" w:hAnsi="Times New Roman" w:cs="Times New Roman"/>
          <w:color w:val="FF0000"/>
          <w:sz w:val="24"/>
          <w:szCs w:val="24"/>
        </w:rPr>
      </w:pPr>
    </w:p>
    <w:p w14:paraId="3F4428F8" w14:textId="14FF84DE" w:rsidR="004A6CA8" w:rsidRDefault="007D05D4" w:rsidP="007D05D4">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We use the Wilcoxon signed-rank test to estimate the quantitative difference in expression of specific genes across time periods (and thus cell types). For example, for gene Sox17, we use the Wilcoxon signed-rank test to compare the expression levels in PS and NP, NP and HF, HF and 4SGA, HF and 4SFGA, and 4SGA and 4SFGA. </w:t>
      </w:r>
      <w:r w:rsidR="00577692">
        <w:rPr>
          <w:rFonts w:ascii="Times New Roman" w:hAnsi="Times New Roman" w:cs="Times New Roman"/>
          <w:sz w:val="24"/>
          <w:szCs w:val="24"/>
        </w:rPr>
        <w:t xml:space="preserve">Thus, for each gene, we used the Wilcoxon signed-rank test 5 times. With 5 tests for each of 46 genes, we ran 230 tests overall, which factors into the p-value adjustment due to the multiple comparison problem. </w:t>
      </w:r>
    </w:p>
    <w:p w14:paraId="4907E1D3" w14:textId="77777777" w:rsidR="00B22695" w:rsidRDefault="00B22695" w:rsidP="007D05D4">
      <w:pPr>
        <w:spacing w:line="240" w:lineRule="auto"/>
        <w:ind w:firstLine="720"/>
        <w:contextualSpacing/>
        <w:rPr>
          <w:rFonts w:ascii="Times New Roman" w:hAnsi="Times New Roman" w:cs="Times New Roman"/>
          <w:sz w:val="24"/>
          <w:szCs w:val="24"/>
        </w:rPr>
      </w:pPr>
    </w:p>
    <w:p w14:paraId="65113A04" w14:textId="4AB55DE0" w:rsidR="00C027B9" w:rsidRDefault="00572159" w:rsidP="00C027B9">
      <w:pPr>
        <w:keepNext/>
        <w:spacing w:line="240" w:lineRule="auto"/>
        <w:contextualSpacing/>
      </w:pPr>
      <w:r>
        <w:rPr>
          <w:rFonts w:ascii="Helvetica" w:hAnsi="Helvetica" w:cs="Helvetica"/>
          <w:noProof/>
          <w:color w:val="auto"/>
          <w:sz w:val="24"/>
          <w:szCs w:val="24"/>
        </w:rPr>
        <w:drawing>
          <wp:inline distT="0" distB="0" distL="0" distR="0" wp14:anchorId="34CAA963" wp14:editId="2F36A4BF">
            <wp:extent cx="4686300" cy="4686300"/>
            <wp:effectExtent l="0" t="0" r="12700" b="12700"/>
            <wp:docPr id="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86792" cy="4686792"/>
                    </a:xfrm>
                    <a:prstGeom prst="rect">
                      <a:avLst/>
                    </a:prstGeom>
                    <a:noFill/>
                    <a:ln>
                      <a:noFill/>
                    </a:ln>
                  </pic:spPr>
                </pic:pic>
              </a:graphicData>
            </a:graphic>
          </wp:inline>
        </w:drawing>
      </w:r>
      <w:r w:rsidRPr="00572159">
        <w:rPr>
          <w:rFonts w:ascii="Helvetica" w:hAnsi="Helvetica" w:cs="Helvetica"/>
          <w:noProof/>
          <w:color w:val="auto"/>
          <w:sz w:val="24"/>
          <w:szCs w:val="24"/>
        </w:rPr>
        <w:t xml:space="preserve"> </w:t>
      </w:r>
    </w:p>
    <w:p w14:paraId="4E6F2588" w14:textId="4CE7669A" w:rsidR="00B22695" w:rsidRPr="00C027B9" w:rsidRDefault="00C027B9" w:rsidP="00C027B9">
      <w:pPr>
        <w:pStyle w:val="Caption"/>
        <w:rPr>
          <w:rFonts w:ascii="Times" w:hAnsi="Times"/>
          <w:b w:val="0"/>
          <w:color w:val="000000" w:themeColor="text1"/>
          <w:sz w:val="20"/>
          <w:szCs w:val="20"/>
        </w:rPr>
      </w:pPr>
      <w:r w:rsidRPr="00C027B9">
        <w:rPr>
          <w:rFonts w:ascii="Times" w:hAnsi="Times"/>
          <w:b w:val="0"/>
          <w:color w:val="000000" w:themeColor="text1"/>
          <w:sz w:val="20"/>
          <w:szCs w:val="20"/>
        </w:rPr>
        <w:t xml:space="preserve">Figure </w:t>
      </w:r>
      <w:r w:rsidRPr="00C027B9">
        <w:rPr>
          <w:rFonts w:ascii="Times" w:hAnsi="Times"/>
          <w:b w:val="0"/>
          <w:color w:val="000000" w:themeColor="text1"/>
          <w:sz w:val="20"/>
          <w:szCs w:val="20"/>
        </w:rPr>
        <w:fldChar w:fldCharType="begin"/>
      </w:r>
      <w:r w:rsidRPr="00C027B9">
        <w:rPr>
          <w:rFonts w:ascii="Times" w:hAnsi="Times"/>
          <w:b w:val="0"/>
          <w:color w:val="000000" w:themeColor="text1"/>
          <w:sz w:val="20"/>
          <w:szCs w:val="20"/>
        </w:rPr>
        <w:instrText xml:space="preserve"> SEQ Figure \* ARABIC </w:instrText>
      </w:r>
      <w:r w:rsidRPr="00C027B9">
        <w:rPr>
          <w:rFonts w:ascii="Times" w:hAnsi="Times"/>
          <w:b w:val="0"/>
          <w:color w:val="000000" w:themeColor="text1"/>
          <w:sz w:val="20"/>
          <w:szCs w:val="20"/>
        </w:rPr>
        <w:fldChar w:fldCharType="separate"/>
      </w:r>
      <w:r w:rsidR="003D1A1A">
        <w:rPr>
          <w:rFonts w:ascii="Times" w:hAnsi="Times"/>
          <w:b w:val="0"/>
          <w:noProof/>
          <w:color w:val="000000" w:themeColor="text1"/>
          <w:sz w:val="20"/>
          <w:szCs w:val="20"/>
        </w:rPr>
        <w:t>6</w:t>
      </w:r>
      <w:r w:rsidRPr="00C027B9">
        <w:rPr>
          <w:rFonts w:ascii="Times" w:hAnsi="Times"/>
          <w:b w:val="0"/>
          <w:color w:val="000000" w:themeColor="text1"/>
          <w:sz w:val="20"/>
          <w:szCs w:val="20"/>
        </w:rPr>
        <w:fldChar w:fldCharType="end"/>
      </w:r>
      <w:r>
        <w:rPr>
          <w:rFonts w:ascii="Times" w:hAnsi="Times"/>
          <w:b w:val="0"/>
          <w:color w:val="000000" w:themeColor="text1"/>
          <w:sz w:val="20"/>
          <w:szCs w:val="20"/>
        </w:rPr>
        <w:t xml:space="preserve">: </w:t>
      </w:r>
      <w:r w:rsidRPr="00C027B9">
        <w:rPr>
          <w:rFonts w:ascii="Times" w:hAnsi="Times"/>
          <w:b w:val="0"/>
          <w:color w:val="000000" w:themeColor="text1"/>
          <w:sz w:val="20"/>
          <w:szCs w:val="20"/>
        </w:rPr>
        <w:t>Heatmap of Wilcoxon signed-rank location differences.</w:t>
      </w:r>
      <w:r>
        <w:rPr>
          <w:rFonts w:ascii="Times" w:hAnsi="Times"/>
          <w:b w:val="0"/>
          <w:color w:val="000000" w:themeColor="text1"/>
          <w:sz w:val="20"/>
          <w:szCs w:val="20"/>
        </w:rPr>
        <w:t xml:space="preserve"> </w:t>
      </w:r>
    </w:p>
    <w:p w14:paraId="6464DD74" w14:textId="75ECFE50" w:rsidR="006C3721" w:rsidRDefault="00572159" w:rsidP="00E467A4">
      <w:pPr>
        <w:spacing w:line="240" w:lineRule="auto"/>
        <w:contextualSpacing/>
        <w:rPr>
          <w:rFonts w:ascii="Times New Roman" w:hAnsi="Times New Roman" w:cs="Times New Roman"/>
          <w:sz w:val="24"/>
          <w:szCs w:val="24"/>
        </w:rPr>
      </w:pPr>
      <w:r>
        <w:rPr>
          <w:rFonts w:ascii="Times New Roman" w:hAnsi="Times New Roman" w:cs="Times New Roman"/>
          <w:sz w:val="24"/>
          <w:szCs w:val="24"/>
        </w:rPr>
        <w:lastRenderedPageBreak/>
        <w:tab/>
      </w:r>
      <w:r w:rsidR="00F82049">
        <w:rPr>
          <w:rFonts w:ascii="Times New Roman" w:hAnsi="Times New Roman" w:cs="Times New Roman"/>
          <w:sz w:val="24"/>
          <w:szCs w:val="24"/>
        </w:rPr>
        <w:t xml:space="preserve"> </w:t>
      </w:r>
    </w:p>
    <w:p w14:paraId="3FA4D4FB" w14:textId="77777777" w:rsidR="003D1A1A" w:rsidRDefault="003D1A1A" w:rsidP="00124F00">
      <w:pPr>
        <w:spacing w:line="240" w:lineRule="auto"/>
        <w:contextualSpacing/>
        <w:rPr>
          <w:rFonts w:ascii="Times New Roman" w:hAnsi="Times New Roman" w:cs="Times New Roman"/>
          <w:sz w:val="24"/>
          <w:szCs w:val="24"/>
        </w:rPr>
      </w:pPr>
    </w:p>
    <w:p w14:paraId="3A1822F8" w14:textId="77777777" w:rsidR="003D1A1A" w:rsidRDefault="003D1A1A" w:rsidP="003D1A1A">
      <w:pPr>
        <w:keepNext/>
        <w:spacing w:line="240" w:lineRule="auto"/>
        <w:contextualSpacing/>
      </w:pPr>
      <w:r>
        <w:rPr>
          <w:rFonts w:ascii="Times New Roman" w:hAnsi="Times New Roman" w:cs="Times New Roman"/>
          <w:noProof/>
          <w:sz w:val="24"/>
          <w:szCs w:val="24"/>
        </w:rPr>
        <w:drawing>
          <wp:inline distT="0" distB="0" distL="0" distR="0" wp14:anchorId="3C84372E" wp14:editId="0A78837A">
            <wp:extent cx="4800600" cy="4800600"/>
            <wp:effectExtent l="0" t="0" r="0" b="0"/>
            <wp:docPr id="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00788" cy="4800788"/>
                    </a:xfrm>
                    <a:prstGeom prst="rect">
                      <a:avLst/>
                    </a:prstGeom>
                    <a:noFill/>
                    <a:ln>
                      <a:noFill/>
                    </a:ln>
                  </pic:spPr>
                </pic:pic>
              </a:graphicData>
            </a:graphic>
          </wp:inline>
        </w:drawing>
      </w:r>
    </w:p>
    <w:p w14:paraId="6D147BF9" w14:textId="1FE532A2" w:rsidR="00572159" w:rsidRDefault="003D1A1A" w:rsidP="00E467A4">
      <w:pPr>
        <w:pStyle w:val="Caption"/>
        <w:rPr>
          <w:rFonts w:ascii="Times" w:hAnsi="Times"/>
          <w:b w:val="0"/>
          <w:color w:val="000000" w:themeColor="text1"/>
          <w:sz w:val="20"/>
          <w:szCs w:val="20"/>
        </w:rPr>
      </w:pPr>
      <w:r w:rsidRPr="00D22BF8">
        <w:rPr>
          <w:rFonts w:ascii="Times" w:hAnsi="Times"/>
          <w:b w:val="0"/>
          <w:color w:val="000000" w:themeColor="text1"/>
          <w:sz w:val="20"/>
          <w:szCs w:val="20"/>
        </w:rPr>
        <w:t xml:space="preserve">Figure </w:t>
      </w:r>
      <w:r w:rsidRPr="00D22BF8">
        <w:rPr>
          <w:rFonts w:ascii="Times" w:hAnsi="Times"/>
          <w:b w:val="0"/>
          <w:color w:val="000000" w:themeColor="text1"/>
          <w:sz w:val="20"/>
          <w:szCs w:val="20"/>
        </w:rPr>
        <w:fldChar w:fldCharType="begin"/>
      </w:r>
      <w:r w:rsidRPr="00D22BF8">
        <w:rPr>
          <w:rFonts w:ascii="Times" w:hAnsi="Times"/>
          <w:b w:val="0"/>
          <w:color w:val="000000" w:themeColor="text1"/>
          <w:sz w:val="20"/>
          <w:szCs w:val="20"/>
        </w:rPr>
        <w:instrText xml:space="preserve"> SEQ Figure \* ARABIC </w:instrText>
      </w:r>
      <w:r w:rsidRPr="00D22BF8">
        <w:rPr>
          <w:rFonts w:ascii="Times" w:hAnsi="Times"/>
          <w:b w:val="0"/>
          <w:color w:val="000000" w:themeColor="text1"/>
          <w:sz w:val="20"/>
          <w:szCs w:val="20"/>
        </w:rPr>
        <w:fldChar w:fldCharType="separate"/>
      </w:r>
      <w:r w:rsidRPr="00D22BF8">
        <w:rPr>
          <w:rFonts w:ascii="Times" w:hAnsi="Times"/>
          <w:b w:val="0"/>
          <w:noProof/>
          <w:color w:val="000000" w:themeColor="text1"/>
          <w:sz w:val="20"/>
          <w:szCs w:val="20"/>
        </w:rPr>
        <w:t>7</w:t>
      </w:r>
      <w:r w:rsidRPr="00D22BF8">
        <w:rPr>
          <w:rFonts w:ascii="Times" w:hAnsi="Times"/>
          <w:b w:val="0"/>
          <w:color w:val="000000" w:themeColor="text1"/>
          <w:sz w:val="20"/>
          <w:szCs w:val="20"/>
        </w:rPr>
        <w:fldChar w:fldCharType="end"/>
      </w:r>
      <w:r w:rsidRPr="00D22BF8">
        <w:rPr>
          <w:rFonts w:ascii="Times" w:hAnsi="Times"/>
          <w:b w:val="0"/>
          <w:color w:val="000000" w:themeColor="text1"/>
          <w:sz w:val="20"/>
          <w:szCs w:val="20"/>
        </w:rPr>
        <w:t xml:space="preserve"> Heatmap of Wilcoxon signed-rank p-values. Red boxes represent differences in gene expression that were statistically significant at the level 0.05/230, which was determined using the conservative Bonferroni correction.</w:t>
      </w:r>
    </w:p>
    <w:p w14:paraId="062E9D69" w14:textId="77777777" w:rsidR="00E467A4" w:rsidRDefault="00E467A4" w:rsidP="00E467A4">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We make several observations. First, similar to how the earlier correspondence analysis demonstrated that PS, NP, and HF cells had relatively similar activation patterns and were thus clustered together on the plot, our signed-rank analysis demonstrates little change in genetic expression levels between PS and NP and NP and HF. However, the vast majority of the changes occur when differentiating into either endothelial progenitors (4G or 4SGA) or erythroid progenitors (4GF or 4SFGA), similar to how the cell type clusters were starkly isolated from the others in the correspondence analysis plot. This indicates that only small changes (which are statistically significant) drive hematopoietic development during early stages relative to later stages.</w:t>
      </w:r>
    </w:p>
    <w:p w14:paraId="455988CE" w14:textId="77777777" w:rsidR="00E467A4" w:rsidRDefault="00E467A4" w:rsidP="00E467A4">
      <w:pPr>
        <w:spacing w:line="240" w:lineRule="auto"/>
        <w:contextualSpacing/>
        <w:rPr>
          <w:rFonts w:ascii="Times New Roman" w:hAnsi="Times New Roman" w:cs="Times New Roman"/>
          <w:sz w:val="24"/>
          <w:szCs w:val="24"/>
        </w:rPr>
      </w:pPr>
    </w:p>
    <w:p w14:paraId="16E22181" w14:textId="1A5CD181" w:rsidR="00E467A4" w:rsidRDefault="00E467A4" w:rsidP="00E467A4">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t xml:space="preserve">Second, the Wilcoxon analysis confirms model predictions of which cell types exhibit increased expression of which genes. For instance, the transition from HF to 4G, the endothelial progenitor, is marked by increases in the Ets family (Ets, Etv, and Erg) and the cadherins </w:t>
      </w:r>
      <w:r>
        <w:rPr>
          <w:rFonts w:ascii="Times New Roman" w:hAnsi="Times New Roman" w:cs="Times New Roman"/>
          <w:sz w:val="24"/>
          <w:szCs w:val="24"/>
        </w:rPr>
        <w:lastRenderedPageBreak/>
        <w:t>(responsible for proteins that bind endothelial tissue together)</w:t>
      </w:r>
      <w:r w:rsidR="005A619E">
        <w:rPr>
          <w:rStyle w:val="FootnoteReference"/>
          <w:rFonts w:ascii="Times New Roman" w:hAnsi="Times New Roman" w:cs="Times New Roman"/>
          <w:sz w:val="24"/>
          <w:szCs w:val="24"/>
        </w:rPr>
        <w:footnoteReference w:id="16"/>
      </w:r>
      <w:r>
        <w:rPr>
          <w:rFonts w:ascii="Times New Roman" w:hAnsi="Times New Roman" w:cs="Times New Roman"/>
          <w:sz w:val="24"/>
          <w:szCs w:val="24"/>
        </w:rPr>
        <w:t>, as well as HoxB4, Notch1, and the Sox factors. Not only that, but erythroid genes are suppressed, including the zinc finger erythroid proteins of Gata1, Nfe2, and Gfi1b, as well as HbbbH1, which is responsible for hemoglobin (a mainstay in mature red blood cells),</w:t>
      </w:r>
      <w:r w:rsidR="005A619E">
        <w:rPr>
          <w:rStyle w:val="FootnoteReference"/>
          <w:rFonts w:ascii="Times New Roman" w:hAnsi="Times New Roman" w:cs="Times New Roman"/>
          <w:sz w:val="24"/>
          <w:szCs w:val="24"/>
        </w:rPr>
        <w:footnoteReference w:id="17"/>
      </w:r>
      <w:r>
        <w:rPr>
          <w:rFonts w:ascii="Times New Roman" w:hAnsi="Times New Roman" w:cs="Times New Roman"/>
          <w:sz w:val="24"/>
          <w:szCs w:val="24"/>
        </w:rPr>
        <w:t xml:space="preserve"> and Ikaros, which is critical to proper erythroid development in mice.</w:t>
      </w:r>
      <w:r w:rsidR="005A619E">
        <w:rPr>
          <w:rStyle w:val="FootnoteReference"/>
          <w:rFonts w:ascii="Times New Roman" w:hAnsi="Times New Roman" w:cs="Times New Roman"/>
          <w:sz w:val="24"/>
          <w:szCs w:val="24"/>
        </w:rPr>
        <w:footnoteReference w:id="18"/>
      </w:r>
      <w:r>
        <w:rPr>
          <w:rFonts w:ascii="Times New Roman" w:hAnsi="Times New Roman" w:cs="Times New Roman"/>
          <w:sz w:val="24"/>
          <w:szCs w:val="24"/>
        </w:rPr>
        <w:t xml:space="preserve"> The differences between expression levels across 4G and 4GF – endothelial and erythroid progenitors – highlights this difference by directly indicating which genes are directly responsible for (or a result of) differentiation into endothelial as opposed to erythroid progenitors. </w:t>
      </w:r>
    </w:p>
    <w:p w14:paraId="7C2BFD18" w14:textId="77777777" w:rsidR="00E467A4" w:rsidRDefault="00E467A4" w:rsidP="00E467A4">
      <w:pPr>
        <w:spacing w:line="240" w:lineRule="auto"/>
        <w:contextualSpacing/>
        <w:rPr>
          <w:rFonts w:ascii="Times New Roman" w:hAnsi="Times New Roman" w:cs="Times New Roman"/>
          <w:sz w:val="24"/>
          <w:szCs w:val="24"/>
        </w:rPr>
      </w:pPr>
    </w:p>
    <w:p w14:paraId="3E997A81" w14:textId="77777777" w:rsidR="00E467A4" w:rsidRDefault="00E467A4" w:rsidP="00E467A4">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t xml:space="preserve">Third, and most importantly, the Wilcoxon signed-rank analysis indicates that whereas endothelial progenitors (4G) require and reflect dramatic increases and decreases in the expression of particular genes, erythroid progenitors (4GF) appear to merely continue similar expression levels as the previous cell types, particularly HF. In other words, differentiation into endothelial progenitors requires a course correction of sorts, where suppression of erythroid genes and overexpression of endothelial genes must occur. On the other hand, differentiation into erythroid progenitors does not occur due to drastic changes in gene expression levels. Combined with the correspondence analysis from above, which indicates that drastic changes in gene activation patterns are responsible for erythroid differentiation, we observe that gene activation patterns and gene expression levels tell two different stories with respect to hematopoietic differentiation. In this scenario, gene activation patterns are more important than gene expression levels in understanding which genes are driving differentiation, whereas gene expression levels reflect the intensity of transcription activity in a particular branch of the process. </w:t>
      </w:r>
    </w:p>
    <w:p w14:paraId="36D43629" w14:textId="77777777" w:rsidR="00E467A4" w:rsidRPr="00E467A4" w:rsidRDefault="00E467A4" w:rsidP="00E467A4"/>
    <w:p w14:paraId="1C53B5C8" w14:textId="77777777" w:rsidR="005939C0" w:rsidRDefault="005939C0" w:rsidP="005939C0">
      <w:pPr>
        <w:spacing w:line="240" w:lineRule="auto"/>
        <w:contextualSpacing/>
        <w:rPr>
          <w:rFonts w:ascii="Times New Roman" w:hAnsi="Times New Roman" w:cs="Times New Roman"/>
          <w:b/>
          <w:sz w:val="24"/>
          <w:szCs w:val="24"/>
        </w:rPr>
      </w:pPr>
      <w:r>
        <w:rPr>
          <w:rFonts w:ascii="Times New Roman" w:hAnsi="Times New Roman" w:cs="Times New Roman"/>
          <w:b/>
          <w:sz w:val="24"/>
          <w:szCs w:val="24"/>
        </w:rPr>
        <w:t>IV</w:t>
      </w:r>
      <w:r w:rsidRPr="00124F00">
        <w:rPr>
          <w:rFonts w:ascii="Times New Roman" w:hAnsi="Times New Roman" w:cs="Times New Roman"/>
          <w:b/>
          <w:sz w:val="24"/>
          <w:szCs w:val="24"/>
        </w:rPr>
        <w:t xml:space="preserve">. </w:t>
      </w:r>
      <w:r>
        <w:rPr>
          <w:rFonts w:ascii="Times New Roman" w:hAnsi="Times New Roman" w:cs="Times New Roman"/>
          <w:b/>
          <w:sz w:val="24"/>
          <w:szCs w:val="24"/>
        </w:rPr>
        <w:t xml:space="preserve">Conclusions and </w:t>
      </w:r>
      <w:r w:rsidRPr="00124F00">
        <w:rPr>
          <w:rFonts w:ascii="Times New Roman" w:hAnsi="Times New Roman" w:cs="Times New Roman"/>
          <w:b/>
          <w:sz w:val="24"/>
          <w:szCs w:val="24"/>
        </w:rPr>
        <w:t>Future Work</w:t>
      </w:r>
    </w:p>
    <w:p w14:paraId="52716EC8" w14:textId="77777777" w:rsidR="005939C0" w:rsidRDefault="005939C0" w:rsidP="005939C0">
      <w:pPr>
        <w:spacing w:line="240" w:lineRule="auto"/>
        <w:contextualSpacing/>
        <w:rPr>
          <w:rFonts w:ascii="Times New Roman" w:hAnsi="Times New Roman" w:cs="Times New Roman"/>
          <w:b/>
          <w:sz w:val="24"/>
          <w:szCs w:val="24"/>
        </w:rPr>
      </w:pPr>
    </w:p>
    <w:p w14:paraId="64B3CBAE" w14:textId="4960198C" w:rsidR="005939C0" w:rsidRPr="004D7284" w:rsidRDefault="005939C0" w:rsidP="005939C0">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t xml:space="preserve">Overall, our analysis confirms model predictions with respect to which genes are critical for hematopoietic differentiation. Tests of homogeneity indicate which genetic activations contribute the most to heterogeneity across time and cell types, and tests of independence indicate particular pairs of genes that are co-activated. Bootstrapped correlations indicate that co-activation and correlated expression levels tend to go together, meaning that co-activated genes may also be co-regulated. Finally, Wilcoxon location analysis indicates changes in the intensity of transcription activity for particular genes when moving through time or changing cell types. For the purposes of this analysis, we already knew which genes were of theoretical importance for hematopoietic differentiation. However, because the analysis did not find any particular outliers, this analysis of genetic data indicates that basic, fundamental nonparametric tests of embryonic data that is cross-sectional (different genes) and longitudinal (different time periods) can at the very least suggest which </w:t>
      </w:r>
      <w:r w:rsidR="00E467A4">
        <w:rPr>
          <w:rFonts w:ascii="Times New Roman" w:hAnsi="Times New Roman" w:cs="Times New Roman"/>
          <w:sz w:val="24"/>
          <w:szCs w:val="24"/>
        </w:rPr>
        <w:t xml:space="preserve">genes may merit further study using traditional biological research. </w:t>
      </w:r>
    </w:p>
    <w:p w14:paraId="4887CE06" w14:textId="77777777" w:rsidR="00C74B55" w:rsidRPr="00C5478F" w:rsidRDefault="00C74B55" w:rsidP="00C5478F">
      <w:pPr>
        <w:spacing w:line="240" w:lineRule="auto"/>
        <w:rPr>
          <w:rFonts w:ascii="Times New Roman" w:hAnsi="Times New Roman" w:cs="Times New Roman"/>
          <w:sz w:val="24"/>
          <w:szCs w:val="24"/>
        </w:rPr>
      </w:pPr>
    </w:p>
    <w:p w14:paraId="703A4F48" w14:textId="77777777" w:rsidR="005A619E" w:rsidRDefault="005A619E" w:rsidP="001B02D0">
      <w:pPr>
        <w:spacing w:line="240" w:lineRule="auto"/>
        <w:contextualSpacing/>
        <w:rPr>
          <w:rFonts w:ascii="Times New Roman" w:hAnsi="Times New Roman" w:cs="Times New Roman"/>
          <w:b/>
          <w:sz w:val="24"/>
          <w:szCs w:val="24"/>
        </w:rPr>
      </w:pPr>
    </w:p>
    <w:p w14:paraId="10C52643" w14:textId="77777777" w:rsidR="0014693C" w:rsidRDefault="0014693C" w:rsidP="001B02D0">
      <w:pPr>
        <w:spacing w:line="240" w:lineRule="auto"/>
        <w:contextualSpacing/>
        <w:rPr>
          <w:rFonts w:ascii="Times New Roman" w:hAnsi="Times New Roman" w:cs="Times New Roman"/>
          <w:b/>
          <w:sz w:val="24"/>
          <w:szCs w:val="24"/>
        </w:rPr>
      </w:pPr>
    </w:p>
    <w:p w14:paraId="765995B4" w14:textId="77777777" w:rsidR="0014693C" w:rsidRDefault="0014693C" w:rsidP="001B02D0">
      <w:pPr>
        <w:spacing w:line="240" w:lineRule="auto"/>
        <w:contextualSpacing/>
        <w:rPr>
          <w:rFonts w:ascii="Times New Roman" w:hAnsi="Times New Roman" w:cs="Times New Roman"/>
          <w:b/>
          <w:sz w:val="24"/>
          <w:szCs w:val="24"/>
        </w:rPr>
      </w:pPr>
    </w:p>
    <w:p w14:paraId="65D11186" w14:textId="77777777" w:rsidR="0014693C" w:rsidRDefault="0014693C" w:rsidP="001B02D0">
      <w:pPr>
        <w:spacing w:line="240" w:lineRule="auto"/>
        <w:contextualSpacing/>
        <w:rPr>
          <w:rFonts w:ascii="Times New Roman" w:hAnsi="Times New Roman" w:cs="Times New Roman"/>
          <w:b/>
          <w:sz w:val="24"/>
          <w:szCs w:val="24"/>
        </w:rPr>
      </w:pPr>
    </w:p>
    <w:p w14:paraId="79FB2B39" w14:textId="77777777" w:rsidR="00B2227B" w:rsidRDefault="001D1587" w:rsidP="001B02D0">
      <w:pPr>
        <w:spacing w:line="240" w:lineRule="auto"/>
        <w:contextualSpacing/>
        <w:rPr>
          <w:rFonts w:ascii="Times New Roman" w:hAnsi="Times New Roman" w:cs="Times New Roman"/>
          <w:b/>
          <w:sz w:val="24"/>
          <w:szCs w:val="24"/>
        </w:rPr>
      </w:pPr>
      <w:bookmarkStart w:id="0" w:name="_GoBack"/>
      <w:bookmarkEnd w:id="0"/>
      <w:r>
        <w:rPr>
          <w:rFonts w:ascii="Times New Roman" w:hAnsi="Times New Roman" w:cs="Times New Roman"/>
          <w:b/>
          <w:sz w:val="24"/>
          <w:szCs w:val="24"/>
        </w:rPr>
        <w:t>V</w:t>
      </w:r>
      <w:r w:rsidR="001B02D0" w:rsidRPr="001B02D0">
        <w:rPr>
          <w:rFonts w:ascii="Times New Roman" w:hAnsi="Times New Roman" w:cs="Times New Roman"/>
          <w:b/>
          <w:sz w:val="24"/>
          <w:szCs w:val="24"/>
        </w:rPr>
        <w:t>. Works Cited</w:t>
      </w:r>
    </w:p>
    <w:p w14:paraId="324B16FF" w14:textId="40BB65B9" w:rsidR="001B02D0" w:rsidRDefault="001B02D0" w:rsidP="001B02D0">
      <w:pPr>
        <w:spacing w:line="240" w:lineRule="auto"/>
        <w:contextualSpacing/>
        <w:rPr>
          <w:rFonts w:ascii="Times New Roman" w:hAnsi="Times New Roman" w:cs="Times New Roman"/>
          <w:b/>
          <w:sz w:val="24"/>
          <w:szCs w:val="24"/>
        </w:rPr>
      </w:pPr>
    </w:p>
    <w:p w14:paraId="6D52412B" w14:textId="77777777" w:rsidR="0014693C" w:rsidRPr="0014693C" w:rsidRDefault="005A619E" w:rsidP="0014693C">
      <w:pPr>
        <w:pStyle w:val="Bibliography"/>
        <w:rPr>
          <w:rFonts w:ascii="Times New Roman" w:hAnsi="Times New Roman" w:cs="Times New Roman"/>
          <w:sz w:val="20"/>
        </w:rPr>
      </w:pPr>
      <w:r w:rsidRPr="005A619E">
        <w:rPr>
          <w:rFonts w:ascii="Times New Roman" w:hAnsi="Times New Roman" w:cs="Times New Roman"/>
          <w:b/>
          <w:sz w:val="20"/>
          <w:szCs w:val="20"/>
        </w:rPr>
        <w:fldChar w:fldCharType="begin"/>
      </w:r>
      <w:r w:rsidRPr="005A619E">
        <w:rPr>
          <w:rFonts w:ascii="Times New Roman" w:hAnsi="Times New Roman" w:cs="Times New Roman"/>
          <w:b/>
          <w:sz w:val="20"/>
          <w:szCs w:val="20"/>
        </w:rPr>
        <w:instrText xml:space="preserve"> ADDIN ZOTERO_BIBL {"custom":[]} CSL_BIBLIOGRAPHY </w:instrText>
      </w:r>
      <w:r w:rsidRPr="005A619E">
        <w:rPr>
          <w:rFonts w:ascii="Times New Roman" w:hAnsi="Times New Roman" w:cs="Times New Roman"/>
          <w:b/>
          <w:sz w:val="20"/>
          <w:szCs w:val="20"/>
        </w:rPr>
        <w:fldChar w:fldCharType="separate"/>
      </w:r>
      <w:r w:rsidR="0014693C" w:rsidRPr="0014693C">
        <w:rPr>
          <w:rFonts w:ascii="Times New Roman" w:hAnsi="Times New Roman" w:cs="Times New Roman"/>
          <w:sz w:val="20"/>
        </w:rPr>
        <w:t xml:space="preserve">Baron, M. H., J. Isern, and S. T. Fraser. “The Embryonic Origins of Erythropoiesis in Mammals.” </w:t>
      </w:r>
      <w:r w:rsidR="0014693C" w:rsidRPr="0014693C">
        <w:rPr>
          <w:rFonts w:ascii="Times New Roman" w:hAnsi="Times New Roman" w:cs="Times New Roman"/>
          <w:i/>
          <w:iCs/>
          <w:sz w:val="20"/>
        </w:rPr>
        <w:t>Blood</w:t>
      </w:r>
      <w:r w:rsidR="0014693C" w:rsidRPr="0014693C">
        <w:rPr>
          <w:rFonts w:ascii="Times New Roman" w:hAnsi="Times New Roman" w:cs="Times New Roman"/>
          <w:sz w:val="20"/>
        </w:rPr>
        <w:t xml:space="preserve"> 119, no. 21 (May 24, 2012): 4828–37. doi:10.1182/blood-2012-01-153486.</w:t>
      </w:r>
    </w:p>
    <w:p w14:paraId="079AF07B" w14:textId="77777777" w:rsidR="0014693C" w:rsidRPr="0014693C" w:rsidRDefault="0014693C" w:rsidP="0014693C">
      <w:pPr>
        <w:pStyle w:val="Bibliography"/>
        <w:rPr>
          <w:rFonts w:ascii="Times New Roman" w:hAnsi="Times New Roman" w:cs="Times New Roman"/>
          <w:sz w:val="20"/>
        </w:rPr>
      </w:pPr>
      <w:r w:rsidRPr="0014693C">
        <w:rPr>
          <w:rFonts w:ascii="Times New Roman" w:hAnsi="Times New Roman" w:cs="Times New Roman"/>
          <w:sz w:val="20"/>
        </w:rPr>
        <w:t xml:space="preserve">Buonamici, Silvia, Soumen Chakraborty, Vitalyi Senyuk, and Giuseppina Nucifora. “The Role of EVI1 in Normal and Leukemic Cells.” </w:t>
      </w:r>
      <w:r w:rsidRPr="0014693C">
        <w:rPr>
          <w:rFonts w:ascii="Times New Roman" w:hAnsi="Times New Roman" w:cs="Times New Roman"/>
          <w:i/>
          <w:iCs/>
          <w:sz w:val="20"/>
        </w:rPr>
        <w:t>Blood Cells, Molecules &amp; Diseases</w:t>
      </w:r>
      <w:r w:rsidRPr="0014693C">
        <w:rPr>
          <w:rFonts w:ascii="Times New Roman" w:hAnsi="Times New Roman" w:cs="Times New Roman"/>
          <w:sz w:val="20"/>
        </w:rPr>
        <w:t xml:space="preserve"> 31, no. 2 (October 2003): 206–12.</w:t>
      </w:r>
    </w:p>
    <w:p w14:paraId="5E085AD9" w14:textId="77777777" w:rsidR="0014693C" w:rsidRPr="0014693C" w:rsidRDefault="0014693C" w:rsidP="0014693C">
      <w:pPr>
        <w:pStyle w:val="Bibliography"/>
        <w:rPr>
          <w:rFonts w:ascii="Times New Roman" w:hAnsi="Times New Roman" w:cs="Times New Roman"/>
          <w:sz w:val="20"/>
        </w:rPr>
      </w:pPr>
      <w:r w:rsidRPr="0014693C">
        <w:rPr>
          <w:rFonts w:ascii="Times New Roman" w:hAnsi="Times New Roman" w:cs="Times New Roman"/>
          <w:sz w:val="20"/>
        </w:rPr>
        <w:t xml:space="preserve">Corada, M., F. Liao, M. Lindgren, M. G. Lampugnani, F. Breviario, R. Frank, W. A. Muller, D. J. Hicklin, P. Bohlen, and E. Dejana. “Monoclonal Antibodies Directed to Different Regions of Vascular Endothelial Cadherin Extracellular Domain Affect Adhesion and Clustering of the Protein and Modulate Endothelial Permeability.” </w:t>
      </w:r>
      <w:r w:rsidRPr="0014693C">
        <w:rPr>
          <w:rFonts w:ascii="Times New Roman" w:hAnsi="Times New Roman" w:cs="Times New Roman"/>
          <w:i/>
          <w:iCs/>
          <w:sz w:val="20"/>
        </w:rPr>
        <w:t>Blood</w:t>
      </w:r>
      <w:r w:rsidRPr="0014693C">
        <w:rPr>
          <w:rFonts w:ascii="Times New Roman" w:hAnsi="Times New Roman" w:cs="Times New Roman"/>
          <w:sz w:val="20"/>
        </w:rPr>
        <w:t xml:space="preserve"> 97, no. 6 (March 15, 2001): 1679–84.</w:t>
      </w:r>
    </w:p>
    <w:p w14:paraId="01923192" w14:textId="77777777" w:rsidR="0014693C" w:rsidRPr="0014693C" w:rsidRDefault="0014693C" w:rsidP="0014693C">
      <w:pPr>
        <w:pStyle w:val="Bibliography"/>
        <w:rPr>
          <w:rFonts w:ascii="Times New Roman" w:hAnsi="Times New Roman" w:cs="Times New Roman"/>
          <w:sz w:val="20"/>
        </w:rPr>
      </w:pPr>
      <w:r w:rsidRPr="0014693C">
        <w:rPr>
          <w:rFonts w:ascii="Times New Roman" w:hAnsi="Times New Roman" w:cs="Times New Roman"/>
          <w:sz w:val="20"/>
        </w:rPr>
        <w:t xml:space="preserve">Goni, Ramon, Patricia Garcia, and Sylvain Foissac. “The qPCR Data Statistical Analysis.” </w:t>
      </w:r>
      <w:r w:rsidRPr="0014693C">
        <w:rPr>
          <w:rFonts w:ascii="Times New Roman" w:hAnsi="Times New Roman" w:cs="Times New Roman"/>
          <w:i/>
          <w:iCs/>
          <w:sz w:val="20"/>
        </w:rPr>
        <w:t>Integromics</w:t>
      </w:r>
      <w:r w:rsidRPr="0014693C">
        <w:rPr>
          <w:rFonts w:ascii="Times New Roman" w:hAnsi="Times New Roman" w:cs="Times New Roman"/>
          <w:sz w:val="20"/>
        </w:rPr>
        <w:t>, September 2009.</w:t>
      </w:r>
    </w:p>
    <w:p w14:paraId="60844F61" w14:textId="77777777" w:rsidR="0014693C" w:rsidRPr="0014693C" w:rsidRDefault="0014693C" w:rsidP="0014693C">
      <w:pPr>
        <w:pStyle w:val="Bibliography"/>
        <w:rPr>
          <w:rFonts w:ascii="Times New Roman" w:hAnsi="Times New Roman" w:cs="Times New Roman"/>
          <w:sz w:val="20"/>
        </w:rPr>
      </w:pPr>
      <w:r w:rsidRPr="0014693C">
        <w:rPr>
          <w:rFonts w:ascii="Times New Roman" w:hAnsi="Times New Roman" w:cs="Times New Roman"/>
          <w:sz w:val="20"/>
        </w:rPr>
        <w:t xml:space="preserve">Guo, Guoji, Mikael Huss, Guo Qing Tong, Chaoyang Wang, Li Li Sun, Neil D. Clarke, and Paul Robson. “Resolution of Cell Fate Decisions Revealed by Single-Cell Gene Expression Analysis from Zygote to Blastocyst.” </w:t>
      </w:r>
      <w:r w:rsidRPr="0014693C">
        <w:rPr>
          <w:rFonts w:ascii="Times New Roman" w:hAnsi="Times New Roman" w:cs="Times New Roman"/>
          <w:i/>
          <w:iCs/>
          <w:sz w:val="20"/>
        </w:rPr>
        <w:t>Developmental Cell</w:t>
      </w:r>
      <w:r w:rsidRPr="0014693C">
        <w:rPr>
          <w:rFonts w:ascii="Times New Roman" w:hAnsi="Times New Roman" w:cs="Times New Roman"/>
          <w:sz w:val="20"/>
        </w:rPr>
        <w:t xml:space="preserve"> 18, no. 4 (April 2010): 675–85. doi:10.1016/j.devcel.2010.02.012.</w:t>
      </w:r>
    </w:p>
    <w:p w14:paraId="4EE635EC" w14:textId="77777777" w:rsidR="0014693C" w:rsidRPr="0014693C" w:rsidRDefault="0014693C" w:rsidP="0014693C">
      <w:pPr>
        <w:pStyle w:val="Bibliography"/>
        <w:rPr>
          <w:rFonts w:ascii="Times New Roman" w:hAnsi="Times New Roman" w:cs="Times New Roman"/>
          <w:sz w:val="20"/>
        </w:rPr>
      </w:pPr>
      <w:r w:rsidRPr="0014693C">
        <w:rPr>
          <w:rFonts w:ascii="Times New Roman" w:hAnsi="Times New Roman" w:cs="Times New Roman"/>
          <w:sz w:val="20"/>
        </w:rPr>
        <w:t xml:space="preserve">Hug, B. A., R. L. Wesselschmidt, S. Fiering, M. A. Bender, E. Epner, M. Groudine, and T. J. Ley. “Analysis of Mice Containing a Targeted Deletion of Beta-Globin Locus Control Region 5’ Hypersensitive Site 3.” </w:t>
      </w:r>
      <w:r w:rsidRPr="0014693C">
        <w:rPr>
          <w:rFonts w:ascii="Times New Roman" w:hAnsi="Times New Roman" w:cs="Times New Roman"/>
          <w:i/>
          <w:iCs/>
          <w:sz w:val="20"/>
        </w:rPr>
        <w:t>Molecular and Cellular Biology</w:t>
      </w:r>
      <w:r w:rsidRPr="0014693C">
        <w:rPr>
          <w:rFonts w:ascii="Times New Roman" w:hAnsi="Times New Roman" w:cs="Times New Roman"/>
          <w:sz w:val="20"/>
        </w:rPr>
        <w:t xml:space="preserve"> 16, no. 6 (June 1996): 2906–12.</w:t>
      </w:r>
    </w:p>
    <w:p w14:paraId="70AF836F" w14:textId="77777777" w:rsidR="0014693C" w:rsidRPr="0014693C" w:rsidRDefault="0014693C" w:rsidP="0014693C">
      <w:pPr>
        <w:pStyle w:val="Bibliography"/>
        <w:rPr>
          <w:rFonts w:ascii="Times New Roman" w:hAnsi="Times New Roman" w:cs="Times New Roman"/>
          <w:sz w:val="20"/>
        </w:rPr>
      </w:pPr>
      <w:r w:rsidRPr="0014693C">
        <w:rPr>
          <w:rFonts w:ascii="Times New Roman" w:hAnsi="Times New Roman" w:cs="Times New Roman"/>
          <w:sz w:val="20"/>
        </w:rPr>
        <w:t xml:space="preserve">Limbourg, F. P. “Essential Role of Endothelial Notch1 in Angiogenesis.” </w:t>
      </w:r>
      <w:r w:rsidRPr="0014693C">
        <w:rPr>
          <w:rFonts w:ascii="Times New Roman" w:hAnsi="Times New Roman" w:cs="Times New Roman"/>
          <w:i/>
          <w:iCs/>
          <w:sz w:val="20"/>
        </w:rPr>
        <w:t>Circulation</w:t>
      </w:r>
      <w:r w:rsidRPr="0014693C">
        <w:rPr>
          <w:rFonts w:ascii="Times New Roman" w:hAnsi="Times New Roman" w:cs="Times New Roman"/>
          <w:sz w:val="20"/>
        </w:rPr>
        <w:t xml:space="preserve"> 111, no. 14 (April 12, 2005): 1826–32. doi:10.1161/01.CIR.0000160870.93058.DD.</w:t>
      </w:r>
    </w:p>
    <w:p w14:paraId="18523E53" w14:textId="77777777" w:rsidR="0014693C" w:rsidRPr="0014693C" w:rsidRDefault="0014693C" w:rsidP="0014693C">
      <w:pPr>
        <w:pStyle w:val="Bibliography"/>
        <w:rPr>
          <w:rFonts w:ascii="Times New Roman" w:hAnsi="Times New Roman" w:cs="Times New Roman"/>
          <w:sz w:val="20"/>
        </w:rPr>
      </w:pPr>
      <w:r w:rsidRPr="0014693C">
        <w:rPr>
          <w:rFonts w:ascii="Times New Roman" w:hAnsi="Times New Roman" w:cs="Times New Roman"/>
          <w:sz w:val="20"/>
        </w:rPr>
        <w:t xml:space="preserve">Mahajan, Maya M., Betty Cheng, Ashley I. Beyer, Usha S. Mulvaney, Matt B. Wilkinson, Marina E. Fomin, and Marcus O. Muench. “A Quantitative Assessment of the Content of Hematopoietic Stem Cells in Mouse and Human Endosteal-Bone Marrow: A Simple and Rapid Method for the Isolation of Mouse Central Bone Marrow.” </w:t>
      </w:r>
      <w:r w:rsidRPr="0014693C">
        <w:rPr>
          <w:rFonts w:ascii="Times New Roman" w:hAnsi="Times New Roman" w:cs="Times New Roman"/>
          <w:i/>
          <w:iCs/>
          <w:sz w:val="20"/>
        </w:rPr>
        <w:t>BMC Hematology</w:t>
      </w:r>
      <w:r w:rsidRPr="0014693C">
        <w:rPr>
          <w:rFonts w:ascii="Times New Roman" w:hAnsi="Times New Roman" w:cs="Times New Roman"/>
          <w:sz w:val="20"/>
        </w:rPr>
        <w:t xml:space="preserve"> 15, no. 1 (December 2015). doi:10.1186/s12878-015-0031-7.</w:t>
      </w:r>
    </w:p>
    <w:p w14:paraId="262DB984" w14:textId="77777777" w:rsidR="0014693C" w:rsidRPr="0014693C" w:rsidRDefault="0014693C" w:rsidP="0014693C">
      <w:pPr>
        <w:pStyle w:val="Bibliography"/>
        <w:rPr>
          <w:rFonts w:ascii="Times New Roman" w:hAnsi="Times New Roman" w:cs="Times New Roman"/>
          <w:sz w:val="20"/>
        </w:rPr>
      </w:pPr>
      <w:r w:rsidRPr="0014693C">
        <w:rPr>
          <w:rFonts w:ascii="Times New Roman" w:hAnsi="Times New Roman" w:cs="Times New Roman"/>
          <w:sz w:val="20"/>
        </w:rPr>
        <w:t xml:space="preserve">Moignard, Victoria, Iain C. Macaulay, Gemma Swiers, Florian Buettner, Judith Schütte, Fernando J. Calero-Nieto, Sarah Kinston, et al. “Characterization of Transcriptional Networks in Blood Stem and Progenitor Cells Using High-Throughput Single-Cell Gene Expression Analysis.” </w:t>
      </w:r>
      <w:r w:rsidRPr="0014693C">
        <w:rPr>
          <w:rFonts w:ascii="Times New Roman" w:hAnsi="Times New Roman" w:cs="Times New Roman"/>
          <w:i/>
          <w:iCs/>
          <w:sz w:val="20"/>
        </w:rPr>
        <w:t>Nature Cell Biology</w:t>
      </w:r>
      <w:r w:rsidRPr="0014693C">
        <w:rPr>
          <w:rFonts w:ascii="Times New Roman" w:hAnsi="Times New Roman" w:cs="Times New Roman"/>
          <w:sz w:val="20"/>
        </w:rPr>
        <w:t xml:space="preserve"> 15, no. 4 (March 24, 2013): 363–72. doi:10.1038/ncb2709.</w:t>
      </w:r>
    </w:p>
    <w:p w14:paraId="4332BBBE" w14:textId="77777777" w:rsidR="0014693C" w:rsidRPr="0014693C" w:rsidRDefault="0014693C" w:rsidP="0014693C">
      <w:pPr>
        <w:pStyle w:val="Bibliography"/>
        <w:rPr>
          <w:rFonts w:ascii="Times New Roman" w:hAnsi="Times New Roman" w:cs="Times New Roman"/>
          <w:sz w:val="20"/>
        </w:rPr>
      </w:pPr>
      <w:r w:rsidRPr="0014693C">
        <w:rPr>
          <w:rFonts w:ascii="Times New Roman" w:hAnsi="Times New Roman" w:cs="Times New Roman"/>
          <w:sz w:val="20"/>
        </w:rPr>
        <w:t xml:space="preserve">Moignard, Victoria, Steven Woodhouse, Laleh Haghverdi, Andrew J Lilly, Yosuke Tanaka, Adam C Wilkinson, Florian Buettner, et al. “Decoding the Regulatory Network of Early Blood Development from Single-Cell Gene Expression Measurements.” </w:t>
      </w:r>
      <w:r w:rsidRPr="0014693C">
        <w:rPr>
          <w:rFonts w:ascii="Times New Roman" w:hAnsi="Times New Roman" w:cs="Times New Roman"/>
          <w:i/>
          <w:iCs/>
          <w:sz w:val="20"/>
        </w:rPr>
        <w:t>Nature Biotechnology</w:t>
      </w:r>
      <w:r w:rsidRPr="0014693C">
        <w:rPr>
          <w:rFonts w:ascii="Times New Roman" w:hAnsi="Times New Roman" w:cs="Times New Roman"/>
          <w:sz w:val="20"/>
        </w:rPr>
        <w:t xml:space="preserve"> 33, no. 3 (February 9, 2015): 269–76. doi:10.1038/nbt.3154.</w:t>
      </w:r>
    </w:p>
    <w:p w14:paraId="0C594A1C" w14:textId="77777777" w:rsidR="0014693C" w:rsidRPr="0014693C" w:rsidRDefault="0014693C" w:rsidP="0014693C">
      <w:pPr>
        <w:pStyle w:val="Bibliography"/>
        <w:rPr>
          <w:rFonts w:ascii="Times New Roman" w:hAnsi="Times New Roman" w:cs="Times New Roman"/>
          <w:sz w:val="20"/>
        </w:rPr>
      </w:pPr>
      <w:r w:rsidRPr="0014693C">
        <w:rPr>
          <w:rFonts w:ascii="Times New Roman" w:hAnsi="Times New Roman" w:cs="Times New Roman"/>
          <w:sz w:val="20"/>
        </w:rPr>
        <w:t xml:space="preserve">Osawa, Mitsujiro, Tomoyuki Yamaguchi, Yukio Nakamura, Shin Kaneko, Masafumi Onodera, Ken-Ichi Sawada, Armin Jegalian, Hong Wu, Hiromitsu Nakauchi, and Atsushi Iwama. “Erythroid Expansion Mediated by the Gfi-1B Zinc Finger Protein: Role in Normal Hematopoiesis.” </w:t>
      </w:r>
      <w:r w:rsidRPr="0014693C">
        <w:rPr>
          <w:rFonts w:ascii="Times New Roman" w:hAnsi="Times New Roman" w:cs="Times New Roman"/>
          <w:i/>
          <w:iCs/>
          <w:sz w:val="20"/>
        </w:rPr>
        <w:t>Blood</w:t>
      </w:r>
      <w:r w:rsidRPr="0014693C">
        <w:rPr>
          <w:rFonts w:ascii="Times New Roman" w:hAnsi="Times New Roman" w:cs="Times New Roman"/>
          <w:sz w:val="20"/>
        </w:rPr>
        <w:t xml:space="preserve"> 100, no. 8 (October 15, 2002): 2769–77. doi:10.1182/blood-2002-01-0182.</w:t>
      </w:r>
    </w:p>
    <w:p w14:paraId="587CBEBB" w14:textId="77777777" w:rsidR="0014693C" w:rsidRPr="0014693C" w:rsidRDefault="0014693C" w:rsidP="0014693C">
      <w:pPr>
        <w:pStyle w:val="Bibliography"/>
        <w:rPr>
          <w:rFonts w:ascii="Times New Roman" w:hAnsi="Times New Roman" w:cs="Times New Roman"/>
          <w:sz w:val="20"/>
        </w:rPr>
      </w:pPr>
      <w:r w:rsidRPr="0014693C">
        <w:rPr>
          <w:rFonts w:ascii="Times New Roman" w:hAnsi="Times New Roman" w:cs="Times New Roman"/>
          <w:sz w:val="20"/>
        </w:rPr>
        <w:t xml:space="preserve">Papathanasiou, Peter, Andrew C. Perkins, Bradley S. Cobb, Roger Ferrini, Rupa Sridharan, Gerard F. Hoyne, Keats A. Nelms, Stephen T. Smale, and Christopher C. Goodnow. “Widespread Failure of Hematolymphoid Differentiation Caused by a Recessive Niche-Filling Allele of the Ikaros Transcription Factor.” </w:t>
      </w:r>
      <w:r w:rsidRPr="0014693C">
        <w:rPr>
          <w:rFonts w:ascii="Times New Roman" w:hAnsi="Times New Roman" w:cs="Times New Roman"/>
          <w:i/>
          <w:iCs/>
          <w:sz w:val="20"/>
        </w:rPr>
        <w:t>Immunity</w:t>
      </w:r>
      <w:r w:rsidRPr="0014693C">
        <w:rPr>
          <w:rFonts w:ascii="Times New Roman" w:hAnsi="Times New Roman" w:cs="Times New Roman"/>
          <w:sz w:val="20"/>
        </w:rPr>
        <w:t xml:space="preserve"> 19, no. 1 (July 2003): 131–44.</w:t>
      </w:r>
    </w:p>
    <w:p w14:paraId="44ADEC5E" w14:textId="77777777" w:rsidR="0014693C" w:rsidRPr="0014693C" w:rsidRDefault="0014693C" w:rsidP="0014693C">
      <w:pPr>
        <w:pStyle w:val="Bibliography"/>
        <w:rPr>
          <w:rFonts w:ascii="Times New Roman" w:hAnsi="Times New Roman" w:cs="Times New Roman"/>
          <w:sz w:val="20"/>
        </w:rPr>
      </w:pPr>
      <w:r w:rsidRPr="0014693C">
        <w:rPr>
          <w:rFonts w:ascii="Times New Roman" w:hAnsi="Times New Roman" w:cs="Times New Roman"/>
          <w:sz w:val="20"/>
        </w:rPr>
        <w:t xml:space="preserve">Pina, Cristina, Cristina Fugazza, Alex J. Tipping, John Brown, Shamit Soneji, Jose Teles, Carsten Peterson, and Tariq Enver. “Inferring Rules of Lineage Commitment in Haematopoiesis.” </w:t>
      </w:r>
      <w:r w:rsidRPr="0014693C">
        <w:rPr>
          <w:rFonts w:ascii="Times New Roman" w:hAnsi="Times New Roman" w:cs="Times New Roman"/>
          <w:i/>
          <w:iCs/>
          <w:sz w:val="20"/>
        </w:rPr>
        <w:t>Nature Cell Biology</w:t>
      </w:r>
      <w:r w:rsidRPr="0014693C">
        <w:rPr>
          <w:rFonts w:ascii="Times New Roman" w:hAnsi="Times New Roman" w:cs="Times New Roman"/>
          <w:sz w:val="20"/>
        </w:rPr>
        <w:t xml:space="preserve"> 14, no. 3 (February 19, 2012): 287–94. doi:10.1038/ncb2442.</w:t>
      </w:r>
    </w:p>
    <w:p w14:paraId="5F51A338" w14:textId="77777777" w:rsidR="0014693C" w:rsidRPr="0014693C" w:rsidRDefault="0014693C" w:rsidP="0014693C">
      <w:pPr>
        <w:pStyle w:val="Bibliography"/>
        <w:rPr>
          <w:rFonts w:ascii="Times New Roman" w:hAnsi="Times New Roman" w:cs="Times New Roman"/>
          <w:sz w:val="20"/>
        </w:rPr>
      </w:pPr>
      <w:r w:rsidRPr="0014693C">
        <w:rPr>
          <w:rFonts w:ascii="Times New Roman" w:hAnsi="Times New Roman" w:cs="Times New Roman"/>
          <w:sz w:val="20"/>
        </w:rPr>
        <w:t xml:space="preserve">Smyth, Gordon K. “Linear Models and Empirical Bayes Methods for Assessing Differential Expression in Microarray Experiments.” </w:t>
      </w:r>
      <w:r w:rsidRPr="0014693C">
        <w:rPr>
          <w:rFonts w:ascii="Times New Roman" w:hAnsi="Times New Roman" w:cs="Times New Roman"/>
          <w:i/>
          <w:iCs/>
          <w:sz w:val="20"/>
        </w:rPr>
        <w:t>Statistical Applications in Genetics and Molecular Biology</w:t>
      </w:r>
      <w:r w:rsidRPr="0014693C">
        <w:rPr>
          <w:rFonts w:ascii="Times New Roman" w:hAnsi="Times New Roman" w:cs="Times New Roman"/>
          <w:sz w:val="20"/>
        </w:rPr>
        <w:t xml:space="preserve"> 3, no. 1 (January 12, 2004): 1–25. doi:10.2202/1544-6115.1027.</w:t>
      </w:r>
    </w:p>
    <w:p w14:paraId="59EF89B6" w14:textId="77777777" w:rsidR="0014693C" w:rsidRPr="0014693C" w:rsidRDefault="0014693C" w:rsidP="0014693C">
      <w:pPr>
        <w:pStyle w:val="Bibliography"/>
        <w:rPr>
          <w:rFonts w:ascii="Times New Roman" w:hAnsi="Times New Roman" w:cs="Times New Roman"/>
          <w:sz w:val="20"/>
        </w:rPr>
      </w:pPr>
      <w:r w:rsidRPr="0014693C">
        <w:rPr>
          <w:rFonts w:ascii="Times New Roman" w:hAnsi="Times New Roman" w:cs="Times New Roman"/>
          <w:sz w:val="20"/>
        </w:rPr>
        <w:t xml:space="preserve">Xue, Zhigang, Kevin Huang, Chaochao Cai, Lingbo Cai, Chun-yan Jiang, Yun Feng, Zhenshan Liu, et al. “Genetic Programs in Human and Mouse Early Embryos Revealed by Single-Cell RNA Sequencing.” </w:t>
      </w:r>
      <w:r w:rsidRPr="0014693C">
        <w:rPr>
          <w:rFonts w:ascii="Times New Roman" w:hAnsi="Times New Roman" w:cs="Times New Roman"/>
          <w:i/>
          <w:iCs/>
          <w:sz w:val="20"/>
        </w:rPr>
        <w:t>Nature</w:t>
      </w:r>
      <w:r w:rsidRPr="0014693C">
        <w:rPr>
          <w:rFonts w:ascii="Times New Roman" w:hAnsi="Times New Roman" w:cs="Times New Roman"/>
          <w:sz w:val="20"/>
        </w:rPr>
        <w:t xml:space="preserve"> 500, no. 7464 (July 28, 2013): 593–97. doi:10.1038/nature12364.</w:t>
      </w:r>
    </w:p>
    <w:p w14:paraId="5582FA4F" w14:textId="77777777" w:rsidR="0014693C" w:rsidRPr="0014693C" w:rsidRDefault="0014693C" w:rsidP="0014693C">
      <w:pPr>
        <w:pStyle w:val="Bibliography"/>
        <w:rPr>
          <w:rFonts w:ascii="Times New Roman" w:hAnsi="Times New Roman" w:cs="Times New Roman"/>
          <w:sz w:val="20"/>
        </w:rPr>
      </w:pPr>
      <w:r w:rsidRPr="0014693C">
        <w:rPr>
          <w:rFonts w:ascii="Times New Roman" w:hAnsi="Times New Roman" w:cs="Times New Roman"/>
          <w:sz w:val="20"/>
        </w:rPr>
        <w:t xml:space="preserve">Yan, Liying, Mingyu Yang, Hongshan Guo, Lu Yang, Jun Wu, Rong Li, Ping Liu, et al. “Single-Cell RNA-Seq Profiling of Human Preimplantation Embryos and Embryonic Stem Cells.” </w:t>
      </w:r>
      <w:r w:rsidRPr="0014693C">
        <w:rPr>
          <w:rFonts w:ascii="Times New Roman" w:hAnsi="Times New Roman" w:cs="Times New Roman"/>
          <w:i/>
          <w:iCs/>
          <w:sz w:val="20"/>
        </w:rPr>
        <w:t>Nature Structural &amp; Molecular Biology</w:t>
      </w:r>
      <w:r w:rsidRPr="0014693C">
        <w:rPr>
          <w:rFonts w:ascii="Times New Roman" w:hAnsi="Times New Roman" w:cs="Times New Roman"/>
          <w:sz w:val="20"/>
        </w:rPr>
        <w:t xml:space="preserve"> 20, no. 9 (August 11, 2013): 1131–39. doi:10.1038/nsmb.2660.</w:t>
      </w:r>
    </w:p>
    <w:p w14:paraId="08007EA3" w14:textId="6BBDD08A" w:rsidR="005A619E" w:rsidRPr="001B02D0" w:rsidRDefault="005A619E" w:rsidP="001B02D0">
      <w:pPr>
        <w:spacing w:line="240" w:lineRule="auto"/>
        <w:contextualSpacing/>
        <w:rPr>
          <w:rFonts w:ascii="Times New Roman" w:hAnsi="Times New Roman" w:cs="Times New Roman"/>
          <w:b/>
          <w:sz w:val="24"/>
          <w:szCs w:val="24"/>
        </w:rPr>
      </w:pPr>
      <w:r w:rsidRPr="005A619E">
        <w:rPr>
          <w:rFonts w:ascii="Times New Roman" w:hAnsi="Times New Roman" w:cs="Times New Roman"/>
          <w:b/>
          <w:sz w:val="20"/>
          <w:szCs w:val="20"/>
        </w:rPr>
        <w:fldChar w:fldCharType="end"/>
      </w:r>
    </w:p>
    <w:sectPr w:rsidR="005A619E" w:rsidRPr="001B02D0">
      <w:headerReference w:type="default" r:id="rId19"/>
      <w:footerReference w:type="even" r:id="rId20"/>
      <w:footerReference w:type="default" r:id="rId2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26D6A4" w14:textId="77777777" w:rsidR="00651AE8" w:rsidRDefault="00651AE8">
      <w:pPr>
        <w:spacing w:line="240" w:lineRule="auto"/>
      </w:pPr>
      <w:r>
        <w:separator/>
      </w:r>
    </w:p>
  </w:endnote>
  <w:endnote w:type="continuationSeparator" w:id="0">
    <w:p w14:paraId="711465E2" w14:textId="77777777" w:rsidR="00651AE8" w:rsidRDefault="00651AE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Nova Mono">
    <w:charset w:val="00"/>
    <w:family w:val="auto"/>
    <w:pitch w:val="default"/>
  </w:font>
  <w:font w:name="Helvetica">
    <w:panose1 w:val="00000000000000000000"/>
    <w:charset w:val="00"/>
    <w:family w:val="auto"/>
    <w:pitch w:val="variable"/>
    <w:sig w:usb0="E00002FF" w:usb1="5000785B" w:usb2="00000000" w:usb3="00000000" w:csb0="000001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BFDEBC" w14:textId="77777777" w:rsidR="00651AE8" w:rsidRDefault="00651AE8" w:rsidP="0045531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FD09D60" w14:textId="77777777" w:rsidR="00651AE8" w:rsidRDefault="00651AE8" w:rsidP="001D1587">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AF0EE5" w14:textId="77777777" w:rsidR="00651AE8" w:rsidRPr="001D1587" w:rsidRDefault="00651AE8" w:rsidP="00455319">
    <w:pPr>
      <w:pStyle w:val="Footer"/>
      <w:framePr w:wrap="around" w:vAnchor="text" w:hAnchor="margin" w:xAlign="right" w:y="1"/>
      <w:rPr>
        <w:rStyle w:val="PageNumber"/>
        <w:rFonts w:ascii="Times New Roman" w:hAnsi="Times New Roman" w:cs="Times New Roman"/>
        <w:sz w:val="24"/>
        <w:szCs w:val="24"/>
      </w:rPr>
    </w:pPr>
    <w:r w:rsidRPr="001D1587">
      <w:rPr>
        <w:rStyle w:val="PageNumber"/>
        <w:rFonts w:ascii="Times New Roman" w:hAnsi="Times New Roman" w:cs="Times New Roman"/>
        <w:sz w:val="24"/>
        <w:szCs w:val="24"/>
      </w:rPr>
      <w:fldChar w:fldCharType="begin"/>
    </w:r>
    <w:r w:rsidRPr="001D1587">
      <w:rPr>
        <w:rStyle w:val="PageNumber"/>
        <w:rFonts w:ascii="Times New Roman" w:hAnsi="Times New Roman" w:cs="Times New Roman"/>
        <w:sz w:val="24"/>
        <w:szCs w:val="24"/>
      </w:rPr>
      <w:instrText xml:space="preserve">PAGE  </w:instrText>
    </w:r>
    <w:r w:rsidRPr="001D1587">
      <w:rPr>
        <w:rStyle w:val="PageNumber"/>
        <w:rFonts w:ascii="Times New Roman" w:hAnsi="Times New Roman" w:cs="Times New Roman"/>
        <w:sz w:val="24"/>
        <w:szCs w:val="24"/>
      </w:rPr>
      <w:fldChar w:fldCharType="separate"/>
    </w:r>
    <w:r w:rsidR="0014693C">
      <w:rPr>
        <w:rStyle w:val="PageNumber"/>
        <w:rFonts w:ascii="Times New Roman" w:hAnsi="Times New Roman" w:cs="Times New Roman"/>
        <w:noProof/>
        <w:sz w:val="24"/>
        <w:szCs w:val="24"/>
      </w:rPr>
      <w:t>14</w:t>
    </w:r>
    <w:r w:rsidRPr="001D1587">
      <w:rPr>
        <w:rStyle w:val="PageNumber"/>
        <w:rFonts w:ascii="Times New Roman" w:hAnsi="Times New Roman" w:cs="Times New Roman"/>
        <w:sz w:val="24"/>
        <w:szCs w:val="24"/>
      </w:rPr>
      <w:fldChar w:fldCharType="end"/>
    </w:r>
  </w:p>
  <w:p w14:paraId="16DB3857" w14:textId="77777777" w:rsidR="00651AE8" w:rsidRDefault="00651AE8" w:rsidP="001D1587">
    <w:pPr>
      <w:pStyle w:val="Footer"/>
      <w:ind w:right="360"/>
    </w:pPr>
    <w:r>
      <w:tab/>
    </w: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4CF512" w14:textId="77777777" w:rsidR="00651AE8" w:rsidRDefault="00651AE8">
      <w:pPr>
        <w:spacing w:line="240" w:lineRule="auto"/>
      </w:pPr>
      <w:r>
        <w:separator/>
      </w:r>
    </w:p>
  </w:footnote>
  <w:footnote w:type="continuationSeparator" w:id="0">
    <w:p w14:paraId="5B30326E" w14:textId="77777777" w:rsidR="00651AE8" w:rsidRDefault="00651AE8">
      <w:pPr>
        <w:spacing w:line="240" w:lineRule="auto"/>
      </w:pPr>
      <w:r>
        <w:continuationSeparator/>
      </w:r>
    </w:p>
  </w:footnote>
  <w:footnote w:id="1">
    <w:p w14:paraId="0E476950" w14:textId="45EC2BBE" w:rsidR="00651AE8" w:rsidRPr="0014693C" w:rsidRDefault="00651AE8">
      <w:pPr>
        <w:pStyle w:val="FootnoteText"/>
        <w:rPr>
          <w:rFonts w:ascii="Cambria" w:hAnsi="Cambria" w:cs="Times New Roman"/>
          <w:sz w:val="16"/>
          <w:szCs w:val="16"/>
        </w:rPr>
      </w:pPr>
      <w:r w:rsidRPr="0014693C">
        <w:rPr>
          <w:rStyle w:val="FootnoteReference"/>
          <w:rFonts w:ascii="Cambria" w:hAnsi="Cambria" w:cs="Times New Roman"/>
          <w:sz w:val="16"/>
          <w:szCs w:val="16"/>
        </w:rPr>
        <w:footnoteRef/>
      </w:r>
      <w:r w:rsidRPr="0014693C">
        <w:rPr>
          <w:rFonts w:ascii="Cambria" w:hAnsi="Cambria" w:cs="Times New Roman"/>
          <w:sz w:val="16"/>
          <w:szCs w:val="16"/>
        </w:rPr>
        <w:t xml:space="preserve"> </w:t>
      </w:r>
      <w:r w:rsidRPr="0014693C">
        <w:rPr>
          <w:rFonts w:ascii="Cambria" w:hAnsi="Cambria" w:cs="Times New Roman"/>
          <w:sz w:val="16"/>
          <w:szCs w:val="16"/>
        </w:rPr>
        <w:fldChar w:fldCharType="begin"/>
      </w:r>
      <w:r w:rsidRPr="0014693C">
        <w:rPr>
          <w:rFonts w:ascii="Cambria" w:hAnsi="Cambria" w:cs="Times New Roman"/>
          <w:sz w:val="16"/>
          <w:szCs w:val="16"/>
        </w:rPr>
        <w:instrText xml:space="preserve"> ADDIN ZOTERO_ITEM CSL_CITATION {"citationID":"M8gY50bM","properties":{"formattedCitation":"{\\rtf Xue et al., \\uc0\\u8220{}Genetic Programs in Human and Mouse Early Embryos Revealed by Single-Cell RNA Sequencing.\\uc0\\u8221{}}","plainCitation":"Xue et al., “Genetic Programs in Human and Mouse Early Embryos Revealed by Single-Cell RNA Sequencing.”"},"citationItems":[{"id":745,"uris":["http://zotero.org/users/2760700/items/P4RA35V6"],"uri":["http://zotero.org/users/2760700/items/P4RA35V6"],"itemData":{"id":745,"type":"article-journal","title":"Genetic programs in human and mouse early embryos revealed by single-cell RNA sequencing","container-title":"Nature","page":"593-597","volume":"500","issue":"7464","source":"CrossRef","DOI":"10.1038/nature12364","ISSN":"0028-0836, 1476-4687","author":[{"family":"Xue","given":"Zhigang"},{"family":"Huang","given":"Kevin"},{"family":"Cai","given":"Chaochao"},{"family":"Cai","given":"Lingbo"},{"family":"Jiang","given":"Chun-yan"},{"family":"Feng","given":"Yun"},{"family":"Liu","given":"Zhenshan"},{"family":"Zeng","given":"Qiao"},{"family":"Cheng","given":"Liming"},{"family":"Sun","given":"Yi E."},{"family":"Liu","given":"Jia-yin"},{"family":"Horvath","given":"Steve"},{"family":"Fan","given":"Guoping"}],"issued":{"date-parts":[["2013",7,28]]}}}],"schema":"https://github.com/citation-style-language/schema/raw/master/csl-citation.json"} </w:instrText>
      </w:r>
      <w:r w:rsidRPr="0014693C">
        <w:rPr>
          <w:rFonts w:ascii="Cambria" w:hAnsi="Cambria" w:cs="Times New Roman"/>
          <w:sz w:val="16"/>
          <w:szCs w:val="16"/>
        </w:rPr>
        <w:fldChar w:fldCharType="separate"/>
      </w:r>
      <w:r w:rsidRPr="0014693C">
        <w:rPr>
          <w:rFonts w:ascii="Cambria" w:hAnsi="Cambria" w:cs="Times New Roman"/>
          <w:sz w:val="16"/>
          <w:szCs w:val="16"/>
        </w:rPr>
        <w:t>Xue et al., “Genetic Programs in Human and Mouse Early Embryos Revealed by Single-Cell RNA Sequencing.”</w:t>
      </w:r>
      <w:r w:rsidRPr="0014693C">
        <w:rPr>
          <w:rFonts w:ascii="Cambria" w:hAnsi="Cambria" w:cs="Times New Roman"/>
          <w:sz w:val="16"/>
          <w:szCs w:val="16"/>
        </w:rPr>
        <w:fldChar w:fldCharType="end"/>
      </w:r>
    </w:p>
  </w:footnote>
  <w:footnote w:id="2">
    <w:p w14:paraId="649FE74B" w14:textId="303CD036" w:rsidR="00651AE8" w:rsidRPr="0014693C" w:rsidRDefault="00651AE8">
      <w:pPr>
        <w:pStyle w:val="FootnoteText"/>
        <w:rPr>
          <w:rFonts w:ascii="Cambria" w:hAnsi="Cambria" w:cs="Times New Roman"/>
          <w:sz w:val="16"/>
          <w:szCs w:val="16"/>
        </w:rPr>
      </w:pPr>
      <w:r w:rsidRPr="0014693C">
        <w:rPr>
          <w:rStyle w:val="FootnoteReference"/>
          <w:rFonts w:ascii="Cambria" w:hAnsi="Cambria" w:cs="Times New Roman"/>
          <w:sz w:val="16"/>
          <w:szCs w:val="16"/>
        </w:rPr>
        <w:footnoteRef/>
      </w:r>
      <w:r w:rsidRPr="0014693C">
        <w:rPr>
          <w:rFonts w:ascii="Cambria" w:hAnsi="Cambria" w:cs="Times New Roman"/>
          <w:sz w:val="16"/>
          <w:szCs w:val="16"/>
        </w:rPr>
        <w:t xml:space="preserve"> </w:t>
      </w:r>
      <w:r w:rsidRPr="0014693C">
        <w:rPr>
          <w:rFonts w:ascii="Cambria" w:hAnsi="Cambria" w:cs="Times New Roman"/>
          <w:sz w:val="16"/>
          <w:szCs w:val="16"/>
        </w:rPr>
        <w:fldChar w:fldCharType="begin"/>
      </w:r>
      <w:r w:rsidRPr="0014693C">
        <w:rPr>
          <w:rFonts w:ascii="Cambria" w:hAnsi="Cambria" w:cs="Times New Roman"/>
          <w:sz w:val="16"/>
          <w:szCs w:val="16"/>
        </w:rPr>
        <w:instrText xml:space="preserve"> ADDIN ZOTERO_ITEM CSL_CITATION {"citationID":"KGfgMDgT","properties":{"formattedCitation":"{\\rtf Guo et al., \\uc0\\u8220{}Resolution of Cell Fate Decisions Revealed by Single-Cell Gene Expression Analysis from Zygote to Blastocyst.\\uc0\\u8221{}}","plainCitation":"Guo et al., “Resolution of Cell Fate Decisions Revealed by Single-Cell Gene Expression Analysis from Zygote to Blastocyst.”"},"citationItems":[{"id":743,"uris":["http://zotero.org/users/2760700/items/6VR2ZVU6"],"uri":["http://zotero.org/users/2760700/items/6VR2ZVU6"],"itemData":{"id":743,"type":"article-journal","title":"Resolution of Cell Fate Decisions Revealed by Single-Cell Gene Expression Analysis from Zygote to Blastocyst","container-title":"Developmental Cell","page":"675-685","volume":"18","issue":"4","source":"CrossRef","DOI":"10.1016/j.devcel.2010.02.012","ISSN":"15345807","language":"en","author":[{"family":"Guo","given":"Guoji"},{"family":"Huss","given":"Mikael"},{"family":"Tong","given":"Guo Qing"},{"family":"Wang","given":"Chaoyang"},{"family":"Li Sun","given":"Li"},{"family":"Clarke","given":"Neil D."},{"family":"Robson","given":"Paul"}],"issued":{"date-parts":[["2010",4]]}}}],"schema":"https://github.com/citation-style-language/schema/raw/master/csl-citation.json"} </w:instrText>
      </w:r>
      <w:r w:rsidRPr="0014693C">
        <w:rPr>
          <w:rFonts w:ascii="Cambria" w:hAnsi="Cambria" w:cs="Times New Roman"/>
          <w:sz w:val="16"/>
          <w:szCs w:val="16"/>
        </w:rPr>
        <w:fldChar w:fldCharType="separate"/>
      </w:r>
      <w:r w:rsidRPr="0014693C">
        <w:rPr>
          <w:rFonts w:ascii="Cambria" w:hAnsi="Cambria" w:cs="Times New Roman"/>
          <w:sz w:val="16"/>
          <w:szCs w:val="16"/>
        </w:rPr>
        <w:t>Guo et al., “Resolution of Cell Fate Decisions Revealed by Single-Cell Gene Expression Analysis from Zygote to Blastocyst.”</w:t>
      </w:r>
      <w:r w:rsidRPr="0014693C">
        <w:rPr>
          <w:rFonts w:ascii="Cambria" w:hAnsi="Cambria" w:cs="Times New Roman"/>
          <w:sz w:val="16"/>
          <w:szCs w:val="16"/>
        </w:rPr>
        <w:fldChar w:fldCharType="end"/>
      </w:r>
    </w:p>
  </w:footnote>
  <w:footnote w:id="3">
    <w:p w14:paraId="65792227" w14:textId="133744A4" w:rsidR="00651AE8" w:rsidRPr="0014693C" w:rsidRDefault="00651AE8">
      <w:pPr>
        <w:pStyle w:val="FootnoteText"/>
        <w:rPr>
          <w:rFonts w:ascii="Cambria" w:hAnsi="Cambria" w:cs="Times New Roman"/>
          <w:sz w:val="16"/>
          <w:szCs w:val="16"/>
        </w:rPr>
      </w:pPr>
      <w:r w:rsidRPr="0014693C">
        <w:rPr>
          <w:rStyle w:val="FootnoteReference"/>
          <w:rFonts w:ascii="Cambria" w:hAnsi="Cambria" w:cs="Times New Roman"/>
          <w:sz w:val="16"/>
          <w:szCs w:val="16"/>
        </w:rPr>
        <w:footnoteRef/>
      </w:r>
      <w:r w:rsidRPr="0014693C">
        <w:rPr>
          <w:rFonts w:ascii="Cambria" w:hAnsi="Cambria" w:cs="Times New Roman"/>
          <w:sz w:val="16"/>
          <w:szCs w:val="16"/>
        </w:rPr>
        <w:t xml:space="preserve"> </w:t>
      </w:r>
      <w:r w:rsidRPr="0014693C">
        <w:rPr>
          <w:rFonts w:ascii="Cambria" w:hAnsi="Cambria" w:cs="Times New Roman"/>
          <w:sz w:val="16"/>
          <w:szCs w:val="16"/>
        </w:rPr>
        <w:fldChar w:fldCharType="begin"/>
      </w:r>
      <w:r w:rsidRPr="0014693C">
        <w:rPr>
          <w:rFonts w:ascii="Cambria" w:hAnsi="Cambria" w:cs="Times New Roman"/>
          <w:sz w:val="16"/>
          <w:szCs w:val="16"/>
        </w:rPr>
        <w:instrText xml:space="preserve"> ADDIN ZOTERO_ITEM CSL_CITATION {"citationID":"RTeQeDXW","properties":{"formattedCitation":"{\\rtf Yan et al., \\uc0\\u8220{}Single-Cell RNA-Seq Profiling of Human Preimplantation Embryos and Embryonic Stem Cells.\\uc0\\u8221{}}","plainCitation":"Yan et al., “Single-Cell RNA-Seq Profiling of Human Preimplantation Embryos and Embryonic Stem Cells.”"},"citationItems":[{"id":744,"uris":["http://zotero.org/users/2760700/items/M7UBZJFE"],"uri":["http://zotero.org/users/2760700/items/M7UBZJFE"],"itemData":{"id":744,"type":"article-journal","title":"Single-cell RNA-Seq profiling of human preimplantation embryos and embryonic stem cells","container-title":"Nature Structural &amp; Molecular Biology","page":"1131-1139","volume":"20","issue":"9","source":"CrossRef","DOI":"10.1038/nsmb.2660","ISSN":"1545-9993, 1545-9985","author":[{"family":"Yan","given":"Liying"},{"family":"Yang","given":"Mingyu"},{"family":"Guo","given":"Hongshan"},{"family":"Yang","given":"Lu"},{"family":"Wu","given":"Jun"},{"family":"Li","given":"Rong"},{"family":"Liu","given":"Ping"},{"family":"Lian","given":"Ying"},{"family":"Zheng","given":"Xiaoying"},{"family":"Yan","given":"Jie"},{"family":"Huang","given":"Jin"},{"family":"Li","given":"Ming"},{"family":"Wu","given":"Xinglong"},{"family":"Wen","given":"Lu"},{"family":"Lao","given":"Kaiqin"},{"family":"Li","given":"Ruiqiang"},{"family":"Qiao","given":"Jie"},{"family":"Tang","given":"Fuchou"}],"issued":{"date-parts":[["2013",8,11]]}}}],"schema":"https://github.com/citation-style-language/schema/raw/master/csl-citation.json"} </w:instrText>
      </w:r>
      <w:r w:rsidRPr="0014693C">
        <w:rPr>
          <w:rFonts w:ascii="Cambria" w:hAnsi="Cambria" w:cs="Times New Roman"/>
          <w:sz w:val="16"/>
          <w:szCs w:val="16"/>
        </w:rPr>
        <w:fldChar w:fldCharType="separate"/>
      </w:r>
      <w:r w:rsidRPr="0014693C">
        <w:rPr>
          <w:rFonts w:ascii="Cambria" w:hAnsi="Cambria" w:cs="Times New Roman"/>
          <w:sz w:val="16"/>
          <w:szCs w:val="16"/>
        </w:rPr>
        <w:t>Yan et al., “Single-Cell RNA-Seq Profiling of Human Preimplantation Embryos and Embryonic Stem Cells.”</w:t>
      </w:r>
      <w:r w:rsidRPr="0014693C">
        <w:rPr>
          <w:rFonts w:ascii="Cambria" w:hAnsi="Cambria" w:cs="Times New Roman"/>
          <w:sz w:val="16"/>
          <w:szCs w:val="16"/>
        </w:rPr>
        <w:fldChar w:fldCharType="end"/>
      </w:r>
    </w:p>
  </w:footnote>
  <w:footnote w:id="4">
    <w:p w14:paraId="7320204F" w14:textId="1EDA2B41" w:rsidR="00651AE8" w:rsidRPr="0014693C" w:rsidRDefault="00651AE8">
      <w:pPr>
        <w:pStyle w:val="FootnoteText"/>
        <w:rPr>
          <w:rFonts w:ascii="Cambria" w:hAnsi="Cambria" w:cs="Times New Roman"/>
          <w:sz w:val="16"/>
          <w:szCs w:val="16"/>
        </w:rPr>
      </w:pPr>
      <w:r w:rsidRPr="0014693C">
        <w:rPr>
          <w:rStyle w:val="FootnoteReference"/>
          <w:rFonts w:ascii="Cambria" w:hAnsi="Cambria" w:cs="Times New Roman"/>
          <w:sz w:val="16"/>
          <w:szCs w:val="16"/>
        </w:rPr>
        <w:footnoteRef/>
      </w:r>
      <w:r w:rsidRPr="0014693C">
        <w:rPr>
          <w:rFonts w:ascii="Cambria" w:hAnsi="Cambria" w:cs="Times New Roman"/>
          <w:sz w:val="16"/>
          <w:szCs w:val="16"/>
        </w:rPr>
        <w:t xml:space="preserve"> </w:t>
      </w:r>
      <w:r w:rsidRPr="0014693C">
        <w:rPr>
          <w:rFonts w:ascii="Cambria" w:hAnsi="Cambria" w:cs="Times New Roman"/>
          <w:sz w:val="16"/>
          <w:szCs w:val="16"/>
        </w:rPr>
        <w:fldChar w:fldCharType="begin"/>
      </w:r>
      <w:r w:rsidRPr="0014693C">
        <w:rPr>
          <w:rFonts w:ascii="Cambria" w:hAnsi="Cambria" w:cs="Times New Roman"/>
          <w:sz w:val="16"/>
          <w:szCs w:val="16"/>
        </w:rPr>
        <w:instrText xml:space="preserve"> ADDIN ZOTERO_ITEM CSL_CITATION {"citationID":"23FFz0qm","properties":{"formattedCitation":"{\\rtf Mahajan et al., \\uc0\\u8220{}A Quantitative Assessment of the Content of Hematopoietic Stem Cells in Mouse and Human Endosteal-Bone Marrow.\\uc0\\u8221{}}","plainCitation":"Mahajan et al., “A Quantitative Assessment of the Content of Hematopoietic Stem Cells in Mouse and Human Endosteal-Bone Marrow.”"},"citationItems":[{"id":739,"uris":["http://zotero.org/users/2760700/items/7FPGF5QR"],"uri":["http://zotero.org/users/2760700/items/7FPGF5QR"],"itemData":{"id":739,"type":"article-journal","title":"A quantitative assessment of the content of hematopoietic stem cells in mouse and human endosteal-bone marrow: a simple and rapid method for the isolation of mouse central bone marrow","container-title":"BMC Hematology","volume":"15","issue":"1","source":"CrossRef","URL":"http://www.biomedcentral.com/2052-1839/15/9","DOI":"10.1186/s12878-015-0031-7","ISSN":"2052-1839","shortTitle":"A quantitative assessment of the content of hematopoietic stem cells in mouse and human endosteal-bone marrow","language":"en","author":[{"family":"Mahajan","given":"Maya M."},{"family":"Cheng","given":"Betty"},{"family":"Beyer","given":"Ashley I."},{"family":"Mulvaney","given":"Usha S."},{"family":"Wilkinson","given":"Matt B."},{"family":"Fomin","given":"Marina E."},{"family":"Muench","given":"Marcus O."}],"issued":{"date-parts":[["2015",12]]},"accessed":{"date-parts":[["2016",4,29]]}}}],"schema":"https://github.com/citation-style-language/schema/raw/master/csl-citation.json"} </w:instrText>
      </w:r>
      <w:r w:rsidRPr="0014693C">
        <w:rPr>
          <w:rFonts w:ascii="Cambria" w:hAnsi="Cambria" w:cs="Times New Roman"/>
          <w:sz w:val="16"/>
          <w:szCs w:val="16"/>
        </w:rPr>
        <w:fldChar w:fldCharType="separate"/>
      </w:r>
      <w:r w:rsidRPr="0014693C">
        <w:rPr>
          <w:rFonts w:ascii="Cambria" w:hAnsi="Cambria" w:cs="Times New Roman"/>
          <w:sz w:val="16"/>
          <w:szCs w:val="16"/>
        </w:rPr>
        <w:t>Mahajan et al., “A Quantitative Assessment of the Content of Hematopoietic Stem Cells in Mouse and Human Endosteal-Bone Marrow.”</w:t>
      </w:r>
      <w:r w:rsidRPr="0014693C">
        <w:rPr>
          <w:rFonts w:ascii="Cambria" w:hAnsi="Cambria" w:cs="Times New Roman"/>
          <w:sz w:val="16"/>
          <w:szCs w:val="16"/>
        </w:rPr>
        <w:fldChar w:fldCharType="end"/>
      </w:r>
    </w:p>
  </w:footnote>
  <w:footnote w:id="5">
    <w:p w14:paraId="3284775A" w14:textId="279AEC92" w:rsidR="00651AE8" w:rsidRPr="0014693C" w:rsidRDefault="00651AE8">
      <w:pPr>
        <w:pStyle w:val="FootnoteText"/>
        <w:rPr>
          <w:rFonts w:ascii="Cambria" w:hAnsi="Cambria" w:cs="Times New Roman"/>
          <w:sz w:val="16"/>
          <w:szCs w:val="16"/>
        </w:rPr>
      </w:pPr>
      <w:r w:rsidRPr="0014693C">
        <w:rPr>
          <w:rStyle w:val="FootnoteReference"/>
          <w:rFonts w:ascii="Cambria" w:hAnsi="Cambria" w:cs="Times New Roman"/>
          <w:sz w:val="16"/>
          <w:szCs w:val="16"/>
        </w:rPr>
        <w:footnoteRef/>
      </w:r>
      <w:r w:rsidRPr="0014693C">
        <w:rPr>
          <w:rFonts w:ascii="Cambria" w:hAnsi="Cambria" w:cs="Times New Roman"/>
          <w:sz w:val="16"/>
          <w:szCs w:val="16"/>
        </w:rPr>
        <w:t xml:space="preserve"> </w:t>
      </w:r>
      <w:r w:rsidRPr="0014693C">
        <w:rPr>
          <w:rFonts w:ascii="Cambria" w:hAnsi="Cambria" w:cs="Times New Roman"/>
          <w:sz w:val="16"/>
          <w:szCs w:val="16"/>
        </w:rPr>
        <w:fldChar w:fldCharType="begin"/>
      </w:r>
      <w:r w:rsidRPr="0014693C">
        <w:rPr>
          <w:rFonts w:ascii="Cambria" w:hAnsi="Cambria" w:cs="Times New Roman"/>
          <w:sz w:val="16"/>
          <w:szCs w:val="16"/>
        </w:rPr>
        <w:instrText xml:space="preserve"> ADDIN ZOTERO_ITEM CSL_CITATION {"citationID":"kDV8X2EC","properties":{"formattedCitation":"{\\rtf Pina et al., \\uc0\\u8220{}Inferring Rules of Lineage Commitment in Haematopoiesis.\\uc0\\u8221{}}","plainCitation":"Pina et al., “Inferring Rules of Lineage Commitment in Haematopoiesis.”"},"citationItems":[{"id":746,"uris":["http://zotero.org/users/2760700/items/N8QW9I8M"],"uri":["http://zotero.org/users/2760700/items/N8QW9I8M"],"itemData":{"id":746,"type":"article-journal","title":"Inferring rules of lineage commitment in haematopoiesis","container-title":"Nature Cell Biology","page":"287-294","volume":"14","issue":"3","source":"CrossRef","DOI":"10.1038/ncb2442","ISSN":"1465-7392, 1476-4679","author":[{"family":"Pina","given":"Cristina"},{"family":"Fugazza","given":"Cristina"},{"family":"Tipping","given":"Alex J."},{"family":"Brown","given":"John"},{"family":"Soneji","given":"Shamit"},{"family":"Teles","given":"Jose"},{"family":"Peterson","given":"Carsten"},{"family":"Enver","given":"Tariq"}],"issued":{"date-parts":[["2012",2,19]]}}}],"schema":"https://github.com/citation-style-language/schema/raw/master/csl-citation.json"} </w:instrText>
      </w:r>
      <w:r w:rsidRPr="0014693C">
        <w:rPr>
          <w:rFonts w:ascii="Cambria" w:hAnsi="Cambria" w:cs="Times New Roman"/>
          <w:sz w:val="16"/>
          <w:szCs w:val="16"/>
        </w:rPr>
        <w:fldChar w:fldCharType="separate"/>
      </w:r>
      <w:r w:rsidRPr="0014693C">
        <w:rPr>
          <w:rFonts w:ascii="Cambria" w:hAnsi="Cambria" w:cs="Times New Roman"/>
          <w:sz w:val="16"/>
          <w:szCs w:val="16"/>
        </w:rPr>
        <w:t>Pina et al., “Inferring Rules of Lineage Commitment in Haematopoiesis.”</w:t>
      </w:r>
      <w:r w:rsidRPr="0014693C">
        <w:rPr>
          <w:rFonts w:ascii="Cambria" w:hAnsi="Cambria" w:cs="Times New Roman"/>
          <w:sz w:val="16"/>
          <w:szCs w:val="16"/>
        </w:rPr>
        <w:fldChar w:fldCharType="end"/>
      </w:r>
    </w:p>
  </w:footnote>
  <w:footnote w:id="6">
    <w:p w14:paraId="1EE38CE4" w14:textId="1B5E07EF" w:rsidR="00651AE8" w:rsidRPr="0014693C" w:rsidRDefault="00651AE8">
      <w:pPr>
        <w:pStyle w:val="FootnoteText"/>
        <w:rPr>
          <w:rFonts w:ascii="Cambria" w:hAnsi="Cambria" w:cs="Times New Roman"/>
          <w:sz w:val="16"/>
          <w:szCs w:val="16"/>
        </w:rPr>
      </w:pPr>
      <w:r w:rsidRPr="0014693C">
        <w:rPr>
          <w:rStyle w:val="FootnoteReference"/>
          <w:rFonts w:ascii="Cambria" w:hAnsi="Cambria" w:cs="Times New Roman"/>
          <w:sz w:val="16"/>
          <w:szCs w:val="16"/>
        </w:rPr>
        <w:footnoteRef/>
      </w:r>
      <w:r w:rsidRPr="0014693C">
        <w:rPr>
          <w:rFonts w:ascii="Cambria" w:hAnsi="Cambria" w:cs="Times New Roman"/>
          <w:sz w:val="16"/>
          <w:szCs w:val="16"/>
        </w:rPr>
        <w:t xml:space="preserve"> </w:t>
      </w:r>
      <w:r w:rsidRPr="0014693C">
        <w:rPr>
          <w:rFonts w:ascii="Cambria" w:hAnsi="Cambria" w:cs="Times New Roman"/>
          <w:sz w:val="16"/>
          <w:szCs w:val="16"/>
        </w:rPr>
        <w:fldChar w:fldCharType="begin"/>
      </w:r>
      <w:r w:rsidRPr="0014693C">
        <w:rPr>
          <w:rFonts w:ascii="Cambria" w:hAnsi="Cambria" w:cs="Times New Roman"/>
          <w:sz w:val="16"/>
          <w:szCs w:val="16"/>
        </w:rPr>
        <w:instrText xml:space="preserve"> ADDIN ZOTERO_ITEM CSL_CITATION {"citationID":"DAF64Szx","properties":{"formattedCitation":"{\\rtf Moignard et al., \\uc0\\u8220{}Characterization of Transcriptional Networks in Blood Stem and Progenitor Cells Using High-Throughput Single-Cell Gene Expression Analysis.\\uc0\\u8221{}}","plainCitation":"Moignard et al., “Characterization of Transcriptional Networks in Blood Stem and Progenitor Cells Using High-Throughput Single-Cell Gene Expression Analysis.”"},"citationItems":[{"id":747,"uris":["http://zotero.org/users/2760700/items/UWIPHFPC"],"uri":["http://zotero.org/users/2760700/items/UWIPHFPC"],"itemData":{"id":747,"type":"article-journal","title":"Characterization of transcriptional networks in blood stem and progenitor cells using high-throughput single-cell gene expression analysis","container-title":"Nature Cell Biology","page":"363-372","volume":"15","issue":"4","source":"CrossRef","DOI":"10.1038/ncb2709","ISSN":"1465-7392, 1476-4679","author":[{"family":"Moignard","given":"Victoria"},{"family":"Macaulay","given":"Iain C."},{"family":"Swiers","given":"Gemma"},{"family":"Buettner","given":"Florian"},{"family":"Schütte","given":"Judith"},{"family":"Calero-Nieto","given":"Fernando J."},{"family":"Kinston","given":"Sarah"},{"family":"Joshi","given":"Anagha"},{"family":"Hannah","given":"Rebecca"},{"family":"Theis","given":"Fabian J."},{"family":"Jacobsen","given":"Sten Eirik"},{"family":"Bruijn","given":"Marella F.","non-dropping-particle":"de"},{"family":"Göttgens","given":"Berthold"}],"issued":{"date-parts":[["2013",3,24]]}}}],"schema":"https://github.com/citation-style-language/schema/raw/master/csl-citation.json"} </w:instrText>
      </w:r>
      <w:r w:rsidRPr="0014693C">
        <w:rPr>
          <w:rFonts w:ascii="Cambria" w:hAnsi="Cambria" w:cs="Times New Roman"/>
          <w:sz w:val="16"/>
          <w:szCs w:val="16"/>
        </w:rPr>
        <w:fldChar w:fldCharType="separate"/>
      </w:r>
      <w:r w:rsidRPr="0014693C">
        <w:rPr>
          <w:rFonts w:ascii="Cambria" w:hAnsi="Cambria" w:cs="Times New Roman"/>
          <w:sz w:val="16"/>
          <w:szCs w:val="16"/>
        </w:rPr>
        <w:t>Moignard et al., “Characterization of Transcriptional Networks in Blood Stem and Progenitor Cells Using High-Throughput Single-Cell Gene Expression Analysis.”</w:t>
      </w:r>
      <w:r w:rsidRPr="0014693C">
        <w:rPr>
          <w:rFonts w:ascii="Cambria" w:hAnsi="Cambria" w:cs="Times New Roman"/>
          <w:sz w:val="16"/>
          <w:szCs w:val="16"/>
        </w:rPr>
        <w:fldChar w:fldCharType="end"/>
      </w:r>
    </w:p>
  </w:footnote>
  <w:footnote w:id="7">
    <w:p w14:paraId="1AA0CE76" w14:textId="43FF5AF1" w:rsidR="00651AE8" w:rsidRPr="0014693C" w:rsidRDefault="00651AE8">
      <w:pPr>
        <w:pStyle w:val="FootnoteText"/>
        <w:rPr>
          <w:rFonts w:ascii="Cambria" w:hAnsi="Cambria" w:cs="Times New Roman"/>
          <w:sz w:val="16"/>
          <w:szCs w:val="16"/>
        </w:rPr>
      </w:pPr>
      <w:r w:rsidRPr="0014693C">
        <w:rPr>
          <w:rStyle w:val="FootnoteReference"/>
          <w:rFonts w:ascii="Cambria" w:hAnsi="Cambria" w:cs="Times New Roman"/>
          <w:sz w:val="16"/>
          <w:szCs w:val="16"/>
        </w:rPr>
        <w:footnoteRef/>
      </w:r>
      <w:r w:rsidRPr="0014693C">
        <w:rPr>
          <w:rFonts w:ascii="Cambria" w:hAnsi="Cambria" w:cs="Times New Roman"/>
          <w:sz w:val="16"/>
          <w:szCs w:val="16"/>
        </w:rPr>
        <w:t xml:space="preserve"> </w:t>
      </w:r>
      <w:r w:rsidRPr="0014693C">
        <w:rPr>
          <w:rFonts w:ascii="Cambria" w:hAnsi="Cambria" w:cs="Times New Roman"/>
          <w:sz w:val="16"/>
          <w:szCs w:val="16"/>
        </w:rPr>
        <w:fldChar w:fldCharType="begin"/>
      </w:r>
      <w:r w:rsidRPr="0014693C">
        <w:rPr>
          <w:rFonts w:ascii="Cambria" w:hAnsi="Cambria" w:cs="Times New Roman"/>
          <w:sz w:val="16"/>
          <w:szCs w:val="16"/>
        </w:rPr>
        <w:instrText xml:space="preserve"> ADDIN ZOTERO_ITEM CSL_CITATION {"citationID":"pV609iY5","properties":{"formattedCitation":"{\\rtf Baron, Isern, and Fraser, \\uc0\\u8220{}The Embryonic Origins of Erythropoiesis in Mammals.\\uc0\\u8221{}}","plainCitation":"Baron, Isern, and Fraser, “The Embryonic Origins of Erythropoiesis in Mammals.”"},"citationItems":[{"id":742,"uris":["http://zotero.org/users/2760700/items/XQD37WAW"],"uri":["http://zotero.org/users/2760700/items/XQD37WAW"],"itemData":{"id":742,"type":"article-journal","title":"The embryonic origins of erythropoiesis in mammals","container-title":"Blood","page":"4828-4837","volume":"119","issue":"21","source":"CrossRef","DOI":"10.1182/blood-2012-01-153486","ISSN":"0006-4971, 1528-0020","language":"en","author":[{"family":"Baron","given":"M. H."},{"family":"Isern","given":"J."},{"family":"Fraser","given":"S. T."}],"issued":{"date-parts":[["2012",5,24]]}}}],"schema":"https://github.com/citation-style-language/schema/raw/master/csl-citation.json"} </w:instrText>
      </w:r>
      <w:r w:rsidRPr="0014693C">
        <w:rPr>
          <w:rFonts w:ascii="Cambria" w:hAnsi="Cambria" w:cs="Times New Roman"/>
          <w:sz w:val="16"/>
          <w:szCs w:val="16"/>
        </w:rPr>
        <w:fldChar w:fldCharType="separate"/>
      </w:r>
      <w:r w:rsidRPr="0014693C">
        <w:rPr>
          <w:rFonts w:ascii="Cambria" w:hAnsi="Cambria" w:cs="Times New Roman"/>
          <w:sz w:val="16"/>
          <w:szCs w:val="16"/>
        </w:rPr>
        <w:t>Baron, Isern, and Fraser, “The Embryonic Origins of Erythropoiesis in Mammals.”</w:t>
      </w:r>
      <w:r w:rsidRPr="0014693C">
        <w:rPr>
          <w:rFonts w:ascii="Cambria" w:hAnsi="Cambria" w:cs="Times New Roman"/>
          <w:sz w:val="16"/>
          <w:szCs w:val="16"/>
        </w:rPr>
        <w:fldChar w:fldCharType="end"/>
      </w:r>
    </w:p>
  </w:footnote>
  <w:footnote w:id="8">
    <w:p w14:paraId="261D5139" w14:textId="24CD20E9" w:rsidR="00651AE8" w:rsidRPr="0014693C" w:rsidRDefault="00651AE8">
      <w:pPr>
        <w:pStyle w:val="FootnoteText"/>
        <w:rPr>
          <w:rFonts w:ascii="Cambria" w:hAnsi="Cambria"/>
        </w:rPr>
      </w:pPr>
      <w:r w:rsidRPr="0014693C">
        <w:rPr>
          <w:rStyle w:val="FootnoteReference"/>
          <w:rFonts w:ascii="Cambria" w:hAnsi="Cambria" w:cs="Times New Roman"/>
          <w:sz w:val="16"/>
          <w:szCs w:val="16"/>
        </w:rPr>
        <w:footnoteRef/>
      </w:r>
      <w:r w:rsidRPr="0014693C">
        <w:rPr>
          <w:rFonts w:ascii="Cambria" w:hAnsi="Cambria" w:cs="Times New Roman"/>
          <w:sz w:val="16"/>
          <w:szCs w:val="16"/>
        </w:rPr>
        <w:t xml:space="preserve"> </w:t>
      </w:r>
      <w:r w:rsidRPr="0014693C">
        <w:rPr>
          <w:rFonts w:ascii="Cambria" w:hAnsi="Cambria" w:cs="Times New Roman"/>
          <w:sz w:val="16"/>
          <w:szCs w:val="16"/>
        </w:rPr>
        <w:fldChar w:fldCharType="begin"/>
      </w:r>
      <w:r w:rsidRPr="0014693C">
        <w:rPr>
          <w:rFonts w:ascii="Cambria" w:hAnsi="Cambria" w:cs="Times New Roman"/>
          <w:sz w:val="16"/>
          <w:szCs w:val="16"/>
        </w:rPr>
        <w:instrText xml:space="preserve"> ADDIN ZOTERO_ITEM CSL_CITATION {"citationID":"fZBNBrEO","properties":{"formattedCitation":"{\\rtf Moignard et al., \\uc0\\u8220{}Decoding the Regulatory Network of Early Blood Development from Single-Cell Gene Expression Measurements.\\uc0\\u8221{}}","plainCitation":"Moignard et al., “Decoding the Regulatory Network of Early Blood Development from Single-Cell Gene Expression Measurements.”"},"citationItems":[{"id":222,"uris":["http://zotero.org/users/2760700/items/MNEX4TAN"],"uri":["http://zotero.org/users/2760700/items/MNEX4TAN"],"itemData":{"id":222,"type":"article-journal","title":"Decoding the regulatory network of early blood development from single-cell gene expression measurements","container-title":"Nature Biotechnology","page":"269-276","volume":"33","issue":"3","source":"CrossRef","DOI":"10.1038/nbt.3154","ISSN":"1087-0156, 1546-1696","author":[{"family":"Moignard","given":"Victoria"},{"family":"Woodhouse","given":"Steven"},{"family":"Haghverdi","given":"Laleh"},{"family":"Lilly","given":"Andrew J"},{"family":"Tanaka","given":"Yosuke"},{"family":"Wilkinson","given":"Adam C"},{"family":"Buettner","given":"Florian"},{"family":"Macaulay","given":"Iain C"},{"family":"Jawaid","given":"Wajid"},{"family":"Diamanti","given":"Evangelia"},{"family":"Nishikawa","given":"Shin-Ichi"},{"family":"Piterman","given":"Nir"},{"family":"Kouskoff","given":"Valerie"},{"family":"Theis","given":"Fabian J"},{"family":"Fisher","given":"Jasmin"},{"family":"Göttgens","given":"Berthold"}],"issued":{"date-parts":[["2015",2,9]]}}}],"schema":"https://github.com/citation-style-language/schema/raw/master/csl-citation.json"} </w:instrText>
      </w:r>
      <w:r w:rsidRPr="0014693C">
        <w:rPr>
          <w:rFonts w:ascii="Cambria" w:hAnsi="Cambria" w:cs="Times New Roman"/>
          <w:sz w:val="16"/>
          <w:szCs w:val="16"/>
        </w:rPr>
        <w:fldChar w:fldCharType="separate"/>
      </w:r>
      <w:r w:rsidRPr="0014693C">
        <w:rPr>
          <w:rFonts w:ascii="Cambria" w:hAnsi="Cambria" w:cs="Times New Roman"/>
          <w:sz w:val="16"/>
          <w:szCs w:val="16"/>
        </w:rPr>
        <w:t>Moignard et al., “Decoding the Regulatory Network of Early Blood Development from Single-Cell Gene Expression Measurements.”</w:t>
      </w:r>
      <w:r w:rsidRPr="0014693C">
        <w:rPr>
          <w:rFonts w:ascii="Cambria" w:hAnsi="Cambria" w:cs="Times New Roman"/>
          <w:sz w:val="16"/>
          <w:szCs w:val="16"/>
        </w:rPr>
        <w:fldChar w:fldCharType="end"/>
      </w:r>
    </w:p>
  </w:footnote>
  <w:footnote w:id="9">
    <w:p w14:paraId="4DC1AEB4" w14:textId="6A521C04" w:rsidR="00651AE8" w:rsidRPr="0014693C" w:rsidRDefault="00651AE8">
      <w:pPr>
        <w:pStyle w:val="FootnoteText"/>
        <w:rPr>
          <w:rFonts w:ascii="Cambria" w:hAnsi="Cambria" w:cs="Times New Roman"/>
          <w:sz w:val="16"/>
          <w:szCs w:val="16"/>
        </w:rPr>
      </w:pPr>
      <w:r w:rsidRPr="0014693C">
        <w:rPr>
          <w:rStyle w:val="FootnoteReference"/>
          <w:rFonts w:ascii="Cambria" w:hAnsi="Cambria" w:cs="Times New Roman"/>
          <w:sz w:val="16"/>
          <w:szCs w:val="16"/>
        </w:rPr>
        <w:footnoteRef/>
      </w:r>
      <w:r w:rsidRPr="0014693C">
        <w:rPr>
          <w:rFonts w:ascii="Cambria" w:hAnsi="Cambria" w:cs="Times New Roman"/>
          <w:sz w:val="16"/>
          <w:szCs w:val="16"/>
        </w:rPr>
        <w:t xml:space="preserve"> </w:t>
      </w:r>
      <w:r w:rsidRPr="0014693C">
        <w:rPr>
          <w:rFonts w:ascii="Cambria" w:hAnsi="Cambria" w:cs="Times New Roman"/>
          <w:sz w:val="16"/>
          <w:szCs w:val="16"/>
        </w:rPr>
        <w:fldChar w:fldCharType="begin"/>
      </w:r>
      <w:r w:rsidRPr="0014693C">
        <w:rPr>
          <w:rFonts w:ascii="Cambria" w:hAnsi="Cambria" w:cs="Times New Roman"/>
          <w:sz w:val="16"/>
          <w:szCs w:val="16"/>
        </w:rPr>
        <w:instrText xml:space="preserve"> ADDIN ZOTERO_ITEM CSL_CITATION {"citationID":"qH5X6Rwt","properties":{"formattedCitation":"{\\rtf Smyth, \\uc0\\u8220{}Linear Models and Empirical Bayes Methods for Assessing Differential Expression in Microarray Experiments.\\uc0\\u8221{}}","plainCitation":"Smyth, “Linear Models and Empirical Bayes Methods for Assessing Differential Expression in Microarray Experiments.”"},"citationItems":[{"id":749,"uris":["http://zotero.org/users/2760700/items/UV4ECE8E"],"uri":["http://zotero.org/users/2760700/items/UV4ECE8E"],"itemData":{"id":749,"type":"article-journal","title":"Linear Models and Empirical Bayes Methods for Assessing Differential Expression in Microarray Experiments","container-title":"Statistical Applications in Genetics and Molecular Biology","page":"1-25","volume":"3","issue":"1","source":"CrossRef","DOI":"10.2202/1544-6115.1027","ISSN":"1544-6115","author":[{"family":"Smyth","given":"Gordon K"}],"issued":{"date-parts":[["2004",1,12]]}}}],"schema":"https://github.com/citation-style-language/schema/raw/master/csl-citation.json"} </w:instrText>
      </w:r>
      <w:r w:rsidRPr="0014693C">
        <w:rPr>
          <w:rFonts w:ascii="Cambria" w:hAnsi="Cambria" w:cs="Times New Roman"/>
          <w:sz w:val="16"/>
          <w:szCs w:val="16"/>
        </w:rPr>
        <w:fldChar w:fldCharType="separate"/>
      </w:r>
      <w:r w:rsidRPr="0014693C">
        <w:rPr>
          <w:rFonts w:ascii="Cambria" w:hAnsi="Cambria" w:cs="Times New Roman"/>
          <w:sz w:val="16"/>
          <w:szCs w:val="16"/>
        </w:rPr>
        <w:t>Smyth, “Linear Models and Empirical Bayes Methods for Assessing Differential Expression in Microarray Experiments.”</w:t>
      </w:r>
      <w:r w:rsidRPr="0014693C">
        <w:rPr>
          <w:rFonts w:ascii="Cambria" w:hAnsi="Cambria" w:cs="Times New Roman"/>
          <w:sz w:val="16"/>
          <w:szCs w:val="16"/>
        </w:rPr>
        <w:fldChar w:fldCharType="end"/>
      </w:r>
    </w:p>
  </w:footnote>
  <w:footnote w:id="10">
    <w:p w14:paraId="1A5815AC" w14:textId="5B28A5C3" w:rsidR="00651AE8" w:rsidRPr="0014693C" w:rsidRDefault="00651AE8">
      <w:pPr>
        <w:pStyle w:val="FootnoteText"/>
        <w:rPr>
          <w:rFonts w:ascii="Cambria" w:hAnsi="Cambria"/>
        </w:rPr>
      </w:pPr>
      <w:r w:rsidRPr="0014693C">
        <w:rPr>
          <w:rStyle w:val="FootnoteReference"/>
          <w:rFonts w:ascii="Cambria" w:hAnsi="Cambria" w:cs="Times New Roman"/>
          <w:sz w:val="16"/>
          <w:szCs w:val="16"/>
        </w:rPr>
        <w:footnoteRef/>
      </w:r>
      <w:r w:rsidRPr="0014693C">
        <w:rPr>
          <w:rFonts w:ascii="Cambria" w:hAnsi="Cambria" w:cs="Times New Roman"/>
          <w:sz w:val="16"/>
          <w:szCs w:val="16"/>
        </w:rPr>
        <w:t xml:space="preserve"> </w:t>
      </w:r>
      <w:r w:rsidRPr="0014693C">
        <w:rPr>
          <w:rFonts w:ascii="Cambria" w:hAnsi="Cambria" w:cs="Times New Roman"/>
          <w:sz w:val="16"/>
          <w:szCs w:val="16"/>
        </w:rPr>
        <w:fldChar w:fldCharType="begin"/>
      </w:r>
      <w:r w:rsidRPr="0014693C">
        <w:rPr>
          <w:rFonts w:ascii="Cambria" w:hAnsi="Cambria" w:cs="Times New Roman"/>
          <w:sz w:val="16"/>
          <w:szCs w:val="16"/>
        </w:rPr>
        <w:instrText xml:space="preserve"> ADDIN ZOTERO_ITEM CSL_CITATION {"citationID":"xLkkb3y8","properties":{"formattedCitation":"{\\rtf Goni, Garcia, and Foissac, \\uc0\\u8220{}The qPCR Data Statistical Analysis.\\uc0\\u8221{}}","plainCitation":"Goni, Garcia, and Foissac, “The qPCR Data Statistical Analysis.”"},"citationItems":[{"id":748,"uris":["http://zotero.org/users/2760700/items/CVIWGF45"],"uri":["http://zotero.org/users/2760700/items/CVIWGF45"],"itemData":{"id":748,"type":"article-magazine","title":"The qPCR data statistical analysis","container-title":"Integromics","page":"1-9","volume":"White Paper","author":[{"family":"Goni","given":"Ramon"},{"family":"Garcia","given":"Patricia"},{"family":"Foissac","given":"Sylvain"}],"issued":{"date-parts":[["2009",9]]}}}],"schema":"https://github.com/citation-style-language/schema/raw/master/csl-citation.json"} </w:instrText>
      </w:r>
      <w:r w:rsidRPr="0014693C">
        <w:rPr>
          <w:rFonts w:ascii="Cambria" w:hAnsi="Cambria" w:cs="Times New Roman"/>
          <w:sz w:val="16"/>
          <w:szCs w:val="16"/>
        </w:rPr>
        <w:fldChar w:fldCharType="separate"/>
      </w:r>
      <w:r w:rsidRPr="0014693C">
        <w:rPr>
          <w:rFonts w:ascii="Cambria" w:hAnsi="Cambria" w:cs="Times New Roman"/>
          <w:sz w:val="16"/>
          <w:szCs w:val="16"/>
        </w:rPr>
        <w:t>Goni, Garcia, and Foissac, “The qPCR Data Statistical Analysis.”</w:t>
      </w:r>
      <w:r w:rsidRPr="0014693C">
        <w:rPr>
          <w:rFonts w:ascii="Cambria" w:hAnsi="Cambria" w:cs="Times New Roman"/>
          <w:sz w:val="16"/>
          <w:szCs w:val="16"/>
        </w:rPr>
        <w:fldChar w:fldCharType="end"/>
      </w:r>
    </w:p>
  </w:footnote>
  <w:footnote w:id="11">
    <w:p w14:paraId="76728C29" w14:textId="6B915B95" w:rsidR="00651AE8" w:rsidRPr="0014693C" w:rsidRDefault="00651AE8" w:rsidP="002E4E57">
      <w:pPr>
        <w:pStyle w:val="FootnoteText"/>
        <w:rPr>
          <w:rFonts w:ascii="Cambria" w:hAnsi="Cambria" w:cs="Times New Roman"/>
          <w:sz w:val="16"/>
          <w:szCs w:val="16"/>
        </w:rPr>
      </w:pPr>
      <w:r w:rsidRPr="0014693C">
        <w:rPr>
          <w:rStyle w:val="FootnoteReference"/>
          <w:rFonts w:ascii="Cambria" w:hAnsi="Cambria" w:cs="Times New Roman"/>
          <w:sz w:val="16"/>
          <w:szCs w:val="16"/>
        </w:rPr>
        <w:footnoteRef/>
      </w:r>
      <w:r w:rsidRPr="0014693C">
        <w:rPr>
          <w:rFonts w:ascii="Cambria" w:hAnsi="Cambria" w:cs="Times New Roman"/>
          <w:sz w:val="16"/>
          <w:szCs w:val="16"/>
        </w:rPr>
        <w:t xml:space="preserve"> </w:t>
      </w:r>
      <w:r w:rsidRPr="0014693C">
        <w:rPr>
          <w:rFonts w:ascii="Cambria" w:hAnsi="Cambria" w:cs="Times New Roman"/>
          <w:sz w:val="16"/>
          <w:szCs w:val="16"/>
        </w:rPr>
        <w:fldChar w:fldCharType="begin"/>
      </w:r>
      <w:r w:rsidRPr="0014693C">
        <w:rPr>
          <w:rFonts w:ascii="Cambria" w:hAnsi="Cambria" w:cs="Times New Roman"/>
          <w:sz w:val="16"/>
          <w:szCs w:val="16"/>
        </w:rPr>
        <w:instrText xml:space="preserve"> ADDIN ZOTERO_ITEM CSL_CITATION {"citationID":"E2NHEXua","properties":{"formattedCitation":"Ibid.","plainCitation":"Ibid."},"citationItems":[{"id":748,"uris":["http://zotero.org/users/2760700/items/CVIWGF45"],"uri":["http://zotero.org/users/2760700/items/CVIWGF45"],"itemData":{"id":748,"type":"article-magazine","title":"The qPCR data statistical analysis","container-title":"Integromics","page":"1-9","volume":"White Paper","author":[{"family":"Goni","given":"Ramon"},{"family":"Garcia","given":"Patricia"},{"family":"Foissac","given":"Sylvain"}],"issued":{"date-parts":[["2009",9]]}}}],"schema":"https://github.com/citation-style-language/schema/raw/master/csl-citation.json"} </w:instrText>
      </w:r>
      <w:r w:rsidRPr="0014693C">
        <w:rPr>
          <w:rFonts w:ascii="Cambria" w:hAnsi="Cambria" w:cs="Times New Roman"/>
          <w:sz w:val="16"/>
          <w:szCs w:val="16"/>
        </w:rPr>
        <w:fldChar w:fldCharType="separate"/>
      </w:r>
      <w:r w:rsidRPr="0014693C">
        <w:rPr>
          <w:rFonts w:ascii="Cambria" w:hAnsi="Cambria" w:cs="Times New Roman"/>
          <w:sz w:val="16"/>
          <w:szCs w:val="16"/>
        </w:rPr>
        <w:t>Ibid.</w:t>
      </w:r>
      <w:r w:rsidRPr="0014693C">
        <w:rPr>
          <w:rFonts w:ascii="Cambria" w:hAnsi="Cambria" w:cs="Times New Roman"/>
          <w:sz w:val="16"/>
          <w:szCs w:val="16"/>
        </w:rPr>
        <w:fldChar w:fldCharType="end"/>
      </w:r>
    </w:p>
  </w:footnote>
  <w:footnote w:id="12">
    <w:p w14:paraId="33D882D1" w14:textId="2A612464" w:rsidR="0014693C" w:rsidRPr="0014693C" w:rsidRDefault="0014693C">
      <w:pPr>
        <w:pStyle w:val="FootnoteText"/>
        <w:rPr>
          <w:rFonts w:ascii="Cambria" w:hAnsi="Cambria"/>
        </w:rPr>
      </w:pPr>
      <w:r w:rsidRPr="0014693C">
        <w:rPr>
          <w:rStyle w:val="FootnoteReference"/>
          <w:rFonts w:ascii="Cambria" w:hAnsi="Cambria"/>
        </w:rPr>
        <w:footnoteRef/>
      </w:r>
      <w:r w:rsidRPr="0014693C">
        <w:rPr>
          <w:rFonts w:ascii="Cambria" w:hAnsi="Cambria"/>
        </w:rPr>
        <w:t xml:space="preserve"> </w:t>
      </w:r>
      <w:r w:rsidRPr="0014693C">
        <w:rPr>
          <w:rFonts w:ascii="Cambria" w:hAnsi="Cambria"/>
        </w:rPr>
        <w:fldChar w:fldCharType="begin"/>
      </w:r>
      <w:r w:rsidRPr="0014693C">
        <w:rPr>
          <w:rFonts w:ascii="Cambria" w:hAnsi="Cambria"/>
        </w:rPr>
        <w:instrText xml:space="preserve"> ADDIN ZOTERO_ITEM CSL_CITATION {"citationID":"DE2iSWK9","properties":{"formattedCitation":"{\\rtf Buonamici et al., \\uc0\\u8220{}The Role of EVI1 in Normal and Leukemic Cells.\\uc0\\u8221{}}","plainCitation":"Buonamici et al., “The Role of EVI1 in Normal and Leukemic Cells.”"},"citationItems":[{"id":905,"uris":["http://zotero.org/users/2760700/items/9URBRN3F"],"uri":["http://zotero.org/users/2760700/items/9URBRN3F"],"itemData":{"id":905,"type":"article-journal","title":"The role of EVI1 in normal and leukemic cells","container-title":"Blood Cells, Molecules &amp; Diseases","page":"206-212","volume":"31","issue":"2","source":"PubMed","abstract":"One of the genes associated with both murine and human myeloid leukemia is EVI1 (ecotropic viral integration 1 site). EVI1 was first identified as a common locus of retroviral integration in myeloid tumors found in AKXD mice. The exact mechanism by which EVI1 induces leukemogenesis is not clear. Studies of the function of EVI1 in the bone marrow and in cell lines have shown that the inappropriate expression of EVI1 prohibits terminal differentiation of the bone marrow progenitor cells in granulocytes and erythroid cells, but strongly favors hematopoietic differentiation along the megakaryocytic lineage. We summarize recent data showing that EVI1 is a complex transcription factor with multiple functions, and this complexity is further demonstrated by the ability of EVI1 to interact with coactivators and corepressors and to abrogate cellular response to cytokines.","ISSN":"1079-9796","note":"PMID: 12972028","journalAbbreviation":"Blood Cells Mol. Dis.","language":"eng","author":[{"family":"Buonamici","given":"Silvia"},{"family":"Chakraborty","given":"Soumen"},{"family":"Senyuk","given":"Vitalyi"},{"family":"Nucifora","given":"Giuseppina"}],"issued":{"date-parts":[["2003",10]]},"PMID":"12972028"}}],"schema":"https://github.com/citation-style-language/schema/raw/master/csl-citation.json"} </w:instrText>
      </w:r>
      <w:r w:rsidRPr="0014693C">
        <w:rPr>
          <w:rFonts w:ascii="Cambria" w:hAnsi="Cambria"/>
        </w:rPr>
        <w:fldChar w:fldCharType="separate"/>
      </w:r>
      <w:r w:rsidRPr="0014693C">
        <w:rPr>
          <w:rFonts w:ascii="Cambria" w:hAnsi="Cambria"/>
          <w:szCs w:val="24"/>
        </w:rPr>
        <w:t>Buonamici et al., “The Role of EVI1 in Normal and Leukemic Cells.”</w:t>
      </w:r>
      <w:r w:rsidRPr="0014693C">
        <w:rPr>
          <w:rFonts w:ascii="Cambria" w:hAnsi="Cambria"/>
        </w:rPr>
        <w:fldChar w:fldCharType="end"/>
      </w:r>
    </w:p>
  </w:footnote>
  <w:footnote w:id="13">
    <w:p w14:paraId="5BDB4240" w14:textId="19794E32" w:rsidR="00651AE8" w:rsidRPr="0014693C" w:rsidRDefault="00651AE8">
      <w:pPr>
        <w:pStyle w:val="FootnoteText"/>
        <w:rPr>
          <w:rFonts w:ascii="Cambria" w:hAnsi="Cambria"/>
        </w:rPr>
      </w:pPr>
      <w:r w:rsidRPr="0014693C">
        <w:rPr>
          <w:rStyle w:val="FootnoteReference"/>
          <w:rFonts w:ascii="Cambria" w:hAnsi="Cambria"/>
        </w:rPr>
        <w:footnoteRef/>
      </w:r>
      <w:r w:rsidRPr="0014693C">
        <w:rPr>
          <w:rFonts w:ascii="Cambria" w:hAnsi="Cambria"/>
        </w:rPr>
        <w:t xml:space="preserve"> </w:t>
      </w:r>
      <w:r w:rsidRPr="0014693C">
        <w:rPr>
          <w:rFonts w:ascii="Cambria" w:hAnsi="Cambria"/>
        </w:rPr>
        <w:fldChar w:fldCharType="begin"/>
      </w:r>
      <w:r w:rsidRPr="0014693C">
        <w:rPr>
          <w:rFonts w:ascii="Cambria" w:hAnsi="Cambria"/>
        </w:rPr>
        <w:instrText xml:space="preserve"> ADDIN ZOTERO_ITEM CSL_CITATION {"citationID":"mMcYdLFv","properties":{"formattedCitation":"{\\rtf Moignard et al., \\uc0\\u8220{}Decoding the Regulatory Network of Early Blood Development from Single-Cell Gene Expression Measurements.\\uc0\\u8221{}}","plainCitation":"Moignard et al., “Decoding the Regulatory Network of Early Blood Development from Single-Cell Gene Expression Measurements.”"},"citationItems":[{"id":222,"uris":["http://zotero.org/users/2760700/items/MNEX4TAN"],"uri":["http://zotero.org/users/2760700/items/MNEX4TAN"],"itemData":{"id":222,"type":"article-journal","title":"Decoding the regulatory network of early blood development from single-cell gene expression measurements","container-title":"Nature Biotechnology","page":"269-276","volume":"33","issue":"3","source":"CrossRef","DOI":"10.1038/nbt.3154","ISSN":"1087-0156, 1546-1696","author":[{"family":"Moignard","given":"Victoria"},{"family":"Woodhouse","given":"Steven"},{"family":"Haghverdi","given":"Laleh"},{"family":"Lilly","given":"Andrew J"},{"family":"Tanaka","given":"Yosuke"},{"family":"Wilkinson","given":"Adam C"},{"family":"Buettner","given":"Florian"},{"family":"Macaulay","given":"Iain C"},{"family":"Jawaid","given":"Wajid"},{"family":"Diamanti","given":"Evangelia"},{"family":"Nishikawa","given":"Shin-Ichi"},{"family":"Piterman","given":"Nir"},{"family":"Kouskoff","given":"Valerie"},{"family":"Theis","given":"Fabian J"},{"family":"Fisher","given":"Jasmin"},{"family":"Göttgens","given":"Berthold"}],"issued":{"date-parts":[["2015",2,9]]}}}],"schema":"https://github.com/citation-style-language/schema/raw/master/csl-citation.json"} </w:instrText>
      </w:r>
      <w:r w:rsidRPr="0014693C">
        <w:rPr>
          <w:rFonts w:ascii="Cambria" w:hAnsi="Cambria"/>
        </w:rPr>
        <w:fldChar w:fldCharType="separate"/>
      </w:r>
      <w:r w:rsidRPr="0014693C">
        <w:rPr>
          <w:rFonts w:ascii="Cambria" w:hAnsi="Cambria"/>
          <w:szCs w:val="24"/>
        </w:rPr>
        <w:t>Moignard et al., “Decoding the Regulatory Network of Early Blood Development from Single-Cell Gene Expression Measurements.”</w:t>
      </w:r>
      <w:r w:rsidRPr="0014693C">
        <w:rPr>
          <w:rFonts w:ascii="Cambria" w:hAnsi="Cambria"/>
        </w:rPr>
        <w:fldChar w:fldCharType="end"/>
      </w:r>
    </w:p>
  </w:footnote>
  <w:footnote w:id="14">
    <w:p w14:paraId="5BAE2122" w14:textId="0FBE62F0" w:rsidR="00651AE8" w:rsidRPr="0014693C" w:rsidRDefault="00651AE8">
      <w:pPr>
        <w:pStyle w:val="FootnoteText"/>
        <w:rPr>
          <w:rFonts w:ascii="Cambria" w:hAnsi="Cambria"/>
        </w:rPr>
      </w:pPr>
      <w:r w:rsidRPr="0014693C">
        <w:rPr>
          <w:rStyle w:val="FootnoteReference"/>
          <w:rFonts w:ascii="Cambria" w:hAnsi="Cambria"/>
        </w:rPr>
        <w:footnoteRef/>
      </w:r>
      <w:r w:rsidRPr="0014693C">
        <w:rPr>
          <w:rFonts w:ascii="Cambria" w:hAnsi="Cambria"/>
        </w:rPr>
        <w:t xml:space="preserve"> </w:t>
      </w:r>
      <w:r w:rsidRPr="0014693C">
        <w:rPr>
          <w:rFonts w:ascii="Cambria" w:hAnsi="Cambria"/>
        </w:rPr>
        <w:fldChar w:fldCharType="begin"/>
      </w:r>
      <w:r w:rsidRPr="0014693C">
        <w:rPr>
          <w:rFonts w:ascii="Cambria" w:hAnsi="Cambria"/>
        </w:rPr>
        <w:instrText xml:space="preserve"> ADDIN ZOTERO_ITEM CSL_CITATION {"citationID":"U7LzEcAr","properties":{"formattedCitation":"{\\rtf Limbourg, \\uc0\\u8220{}Essential Role of Endothelial Notch1 in Angiogenesis.\\uc0\\u8221{}}","plainCitation":"Limbourg, “Essential Role of Endothelial Notch1 in Angiogenesis.”"},"citationItems":[{"id":898,"uris":["http://zotero.org/users/2760700/items/CSRUMXHA"],"uri":["http://zotero.org/users/2760700/items/CSRUMXHA"],"itemData":{"id":898,"type":"article-journal","title":"Essential Role of Endothelial Notch1 in Angiogenesis","container-title":"Circulation","page":"1826-1832","volume":"111","issue":"14","source":"CrossRef","DOI":"10.1161/01.CIR.0000160870.93058.DD","ISSN":"0009-7322, 1524-4539","language":"en","author":[{"family":"Limbourg","given":"F. P."}],"issued":{"date-parts":[["2005",4,12]]}}}],"schema":"https://github.com/citation-style-language/schema/raw/master/csl-citation.json"} </w:instrText>
      </w:r>
      <w:r w:rsidRPr="0014693C">
        <w:rPr>
          <w:rFonts w:ascii="Cambria" w:hAnsi="Cambria"/>
        </w:rPr>
        <w:fldChar w:fldCharType="separate"/>
      </w:r>
      <w:r w:rsidRPr="0014693C">
        <w:rPr>
          <w:rFonts w:ascii="Cambria" w:hAnsi="Cambria"/>
          <w:szCs w:val="24"/>
        </w:rPr>
        <w:t>Limbourg, “Essential Role of Endothelial Notch1 in Angiogenesis.”</w:t>
      </w:r>
      <w:r w:rsidRPr="0014693C">
        <w:rPr>
          <w:rFonts w:ascii="Cambria" w:hAnsi="Cambria"/>
        </w:rPr>
        <w:fldChar w:fldCharType="end"/>
      </w:r>
    </w:p>
  </w:footnote>
  <w:footnote w:id="15">
    <w:p w14:paraId="775D522B" w14:textId="56A020B2" w:rsidR="00651AE8" w:rsidRPr="0014693C" w:rsidRDefault="00651AE8">
      <w:pPr>
        <w:pStyle w:val="FootnoteText"/>
        <w:rPr>
          <w:rFonts w:ascii="Cambria" w:hAnsi="Cambria"/>
        </w:rPr>
      </w:pPr>
      <w:r w:rsidRPr="0014693C">
        <w:rPr>
          <w:rStyle w:val="FootnoteReference"/>
          <w:rFonts w:ascii="Cambria" w:hAnsi="Cambria"/>
        </w:rPr>
        <w:footnoteRef/>
      </w:r>
      <w:r w:rsidRPr="0014693C">
        <w:rPr>
          <w:rFonts w:ascii="Cambria" w:hAnsi="Cambria"/>
        </w:rPr>
        <w:t xml:space="preserve"> </w:t>
      </w:r>
      <w:r w:rsidRPr="0014693C">
        <w:rPr>
          <w:rFonts w:ascii="Cambria" w:hAnsi="Cambria"/>
        </w:rPr>
        <w:fldChar w:fldCharType="begin"/>
      </w:r>
      <w:r w:rsidRPr="0014693C">
        <w:rPr>
          <w:rFonts w:ascii="Cambria" w:hAnsi="Cambria"/>
        </w:rPr>
        <w:instrText xml:space="preserve"> ADDIN ZOTERO_ITEM CSL_CITATION {"citationID":"w4I41Oiw","properties":{"formattedCitation":"{\\rtf Osawa et al., \\uc0\\u8220{}Erythroid Expansion Mediated by the Gfi-1B Zinc Finger Protein.\\uc0\\u8221{}}","plainCitation":"Osawa et al., “Erythroid Expansion Mediated by the Gfi-1B Zinc Finger Protein.”"},"citationItems":[{"id":241,"uris":["http://zotero.org/users/2760700/items/I4EM4NC3"],"uri":["http://zotero.org/users/2760700/items/I4EM4NC3"],"itemData":{"id":241,"type":"article-journal","title":"Erythroid expansion mediated by the Gfi-1B zinc finger protein: role in normal hematopoiesis","container-title":"Blood","page":"2769-2777","volume":"100","issue":"8","source":"PubMed","abstract":"In the search for genes expressed in hematopoietic stem cells, we identified that the expression of Gfi-1B (growth factor independence-1B) is highly restricted to hematopoietic stem cells, erythroblasts, and megakaryocytes. Gfi-1 and Gfi-1B are zinc finger proteins that share highly conserved SNAG and 6 zinc finger domains. Gfi-1 has been characterized as an oncogene involved in lymphoid malignancies in mice. In contrast, role of Gfi-1B in hematopoiesis has not been well characterized. In this study, we analyzed its function in human hematopoiesis. Enforced expression of Gfi-1B in human CD34(+) hematopoietic progenitors induced a drastic expansion of erythroblasts in an erythropoietin-independent manner. Expression of Gfi-1B did not promote erythroid commitment, but enhanced proliferation of immature erythroblasts. Erythroblasts expanded by exogenous Gfi-1B, however, failed to differentiate beyond proerythroblast stage and showed massive apoptosis. These biologic effects of Gfi-1B were mediated through its zinc finger domain, but not by the SNAG or non-zinc finger domain. Proliferation of erythroblasts was associated with sustained expression of GATA-2 but not of GATA-1, indicating a potential link between Gfi-1B and GATA family regulators. Importantly, the function of Gfi-1B to modulate transcription was dependent on promoter context. In addition, activation of transcription of an artificial promoter was mediated through its zinc finger domain. These findings establish Gfi-1B as a novel erythroid regulator and reveal its specific involvement in the regulation of erythroid cell growth through modulating erythroid-specific gene expression.","DOI":"10.1182/blood-2002-01-0182","ISSN":"0006-4971","note":"PMID: 12351384","shortTitle":"Erythroid expansion mediated by the Gfi-1B zinc finger protein","journalAbbreviation":"Blood","language":"eng","author":[{"family":"Osawa","given":"Mitsujiro"},{"family":"Yamaguchi","given":"Tomoyuki"},{"family":"Nakamura","given":"Yukio"},{"family":"Kaneko","given":"Shin"},{"family":"Onodera","given":"Masafumi"},{"family":"Sawada","given":"Ken-Ichi"},{"family":"Jegalian","given":"Armin"},{"family":"Wu","given":"Hong"},{"family":"Nakauchi","given":"Hiromitsu"},{"family":"Iwama","given":"Atsushi"}],"issued":{"date-parts":[["2002",10,15]]},"PMID":"12351384"}}],"schema":"https://github.com/citation-style-language/schema/raw/master/csl-citation.json"} </w:instrText>
      </w:r>
      <w:r w:rsidRPr="0014693C">
        <w:rPr>
          <w:rFonts w:ascii="Cambria" w:hAnsi="Cambria"/>
        </w:rPr>
        <w:fldChar w:fldCharType="separate"/>
      </w:r>
      <w:r w:rsidRPr="0014693C">
        <w:rPr>
          <w:rFonts w:ascii="Cambria" w:hAnsi="Cambria"/>
          <w:szCs w:val="24"/>
        </w:rPr>
        <w:t>Osawa et al., “Erythroid Expansion Mediated by the Gfi-1B Zinc Finger Protein.”</w:t>
      </w:r>
      <w:r w:rsidRPr="0014693C">
        <w:rPr>
          <w:rFonts w:ascii="Cambria" w:hAnsi="Cambria"/>
        </w:rPr>
        <w:fldChar w:fldCharType="end"/>
      </w:r>
    </w:p>
  </w:footnote>
  <w:footnote w:id="16">
    <w:p w14:paraId="4E731D08" w14:textId="6692B5DD" w:rsidR="005A619E" w:rsidRPr="0014693C" w:rsidRDefault="005A619E">
      <w:pPr>
        <w:pStyle w:val="FootnoteText"/>
        <w:rPr>
          <w:rFonts w:ascii="Cambria" w:hAnsi="Cambria"/>
        </w:rPr>
      </w:pPr>
      <w:r w:rsidRPr="0014693C">
        <w:rPr>
          <w:rStyle w:val="FootnoteReference"/>
          <w:rFonts w:ascii="Cambria" w:hAnsi="Cambria"/>
        </w:rPr>
        <w:footnoteRef/>
      </w:r>
      <w:r w:rsidRPr="0014693C">
        <w:rPr>
          <w:rFonts w:ascii="Cambria" w:hAnsi="Cambria"/>
        </w:rPr>
        <w:t xml:space="preserve"> </w:t>
      </w:r>
      <w:r w:rsidRPr="0014693C">
        <w:rPr>
          <w:rFonts w:ascii="Cambria" w:hAnsi="Cambria"/>
        </w:rPr>
        <w:fldChar w:fldCharType="begin"/>
      </w:r>
      <w:r w:rsidRPr="0014693C">
        <w:rPr>
          <w:rFonts w:ascii="Cambria" w:hAnsi="Cambria"/>
        </w:rPr>
        <w:instrText xml:space="preserve"> ADDIN ZOTERO_ITEM CSL_CITATION {"citationID":"MS59hm7x","properties":{"formattedCitation":"{\\rtf Corada et al., \\uc0\\u8220{}Monoclonal Antibodies Directed to Different Regions of Vascular Endothelial Cadherin Extracellular Domain Affect Adhesion and Clustering of the Protein and Modulate Endothelial Permeability.\\uc0\\u8221{}}","plainCitation":"Corada et al., “Monoclonal Antibodies Directed to Different Regions of Vascular Endothelial Cadherin Extracellular Domain Affect Adhesion and Clustering of the Protein and Modulate Endothelial Permeability.”"},"citationItems":[{"id":899,"uris":["http://zotero.org/users/2760700/items/VU8CTXUU"],"uri":["http://zotero.org/users/2760700/items/VU8CTXUU"],"itemData":{"id":899,"type":"article-journal","title":"Monoclonal antibodies directed to different regions of vascular endothelial cadherin extracellular domain affect adhesion and clustering of the protein and modulate endothelial permeability","container-title":"Blood","page":"1679-1684","volume":"97","issue":"6","source":"PubMed","abstract":"Vascular endothelial cadherin (VE-cadherin) is an endothelial cell-specific cadherin that plays an important role in the control of vascular organization. Blocking VE-cadherin antibodies strongly inhibit angiogenesis, and inactivation of VE-cadherin gene causes embryonic lethality due to a lack of correct organization and remodeling of the vasculature. Hence, inhibitors of VE-cadherin adhesive properties may constitute a tool to prevent tumor neovascularization. In this paper, we tested different monoclonal antibodies (mAbs) directed to human VE-cadherin ectodomain for their functional activity. Three mAbs (Cad 5, BV6, BV9) were able to increase paracellular permeability, inhibit VE-cadherin reorganization, and block angiogenesis in vitro. These mAbs could also induce endothelial cell apoptosis in vitro. Two additional mAbs, TEA 1.31 and Hec 1.2, had an intermediate or undetectable activity, respectively, in these assays. Epitope mapping studies show that BV6, BV9, TEA 1.31, and Hec 1.2 bound to a recombinant fragment spanning the extracellular juxtamembrane domains EC3 through EC4. In contrast, Cad 5 bound to the aminoterminal domain EC1. By peptide scanning analysis and competition experiments, we defined the sequences TIDLRY located on EC3 and KVFRVDAETGDVFAI on EC1 as the binding domain of BV6 and Cad 5, respectively. Overall, these results support the concept that VE-cadherin plays a relevant role on human endothelial cell properties. Antibodies directed to the extracellular domains EC1 but also EC3-EC4 affect VE-cadherin adhesion and clustering and alter endothelial cell permeability, apoptosis, and vascular structure formation.","ISSN":"0006-4971","note":"PMID: 11238107","journalAbbreviation":"Blood","language":"eng","author":[{"family":"Corada","given":"M."},{"family":"Liao","given":"F."},{"family":"Lindgren","given":"M."},{"family":"Lampugnani","given":"M. G."},{"family":"Breviario","given":"F."},{"family":"Frank","given":"R."},{"family":"Muller","given":"W. A."},{"family":"Hicklin","given":"D. J."},{"family":"Bohlen","given":"P."},{"family":"Dejana","given":"E."}],"issued":{"date-parts":[["2001",3,15]]},"PMID":"11238107"}}],"schema":"https://github.com/citation-style-language/schema/raw/master/csl-citation.json"} </w:instrText>
      </w:r>
      <w:r w:rsidRPr="0014693C">
        <w:rPr>
          <w:rFonts w:ascii="Cambria" w:hAnsi="Cambria"/>
        </w:rPr>
        <w:fldChar w:fldCharType="separate"/>
      </w:r>
      <w:r w:rsidRPr="0014693C">
        <w:rPr>
          <w:rFonts w:ascii="Cambria" w:hAnsi="Cambria"/>
          <w:szCs w:val="24"/>
        </w:rPr>
        <w:t>Corada et al., “Monoclonal Antibodies Directed to Different Regions of Vascular Endothelial Cadherin Extracellular Domain Affect Adhesion and Clustering of the Protein and Modulate Endothelial Permeability.”</w:t>
      </w:r>
      <w:r w:rsidRPr="0014693C">
        <w:rPr>
          <w:rFonts w:ascii="Cambria" w:hAnsi="Cambria"/>
        </w:rPr>
        <w:fldChar w:fldCharType="end"/>
      </w:r>
    </w:p>
  </w:footnote>
  <w:footnote w:id="17">
    <w:p w14:paraId="75DDF2B7" w14:textId="5EBFA13E" w:rsidR="005A619E" w:rsidRPr="0014693C" w:rsidRDefault="005A619E">
      <w:pPr>
        <w:pStyle w:val="FootnoteText"/>
        <w:rPr>
          <w:rFonts w:ascii="Cambria" w:hAnsi="Cambria"/>
        </w:rPr>
      </w:pPr>
      <w:r w:rsidRPr="0014693C">
        <w:rPr>
          <w:rStyle w:val="FootnoteReference"/>
          <w:rFonts w:ascii="Cambria" w:hAnsi="Cambria"/>
        </w:rPr>
        <w:footnoteRef/>
      </w:r>
      <w:r w:rsidRPr="0014693C">
        <w:rPr>
          <w:rFonts w:ascii="Cambria" w:hAnsi="Cambria"/>
        </w:rPr>
        <w:t xml:space="preserve"> </w:t>
      </w:r>
      <w:r w:rsidRPr="0014693C">
        <w:rPr>
          <w:rFonts w:ascii="Cambria" w:hAnsi="Cambria"/>
        </w:rPr>
        <w:fldChar w:fldCharType="begin"/>
      </w:r>
      <w:r w:rsidRPr="0014693C">
        <w:rPr>
          <w:rFonts w:ascii="Cambria" w:hAnsi="Cambria"/>
        </w:rPr>
        <w:instrText xml:space="preserve"> ADDIN ZOTERO_ITEM CSL_CITATION {"citationID":"xZw1CBsr","properties":{"formattedCitation":"{\\rtf Hug et al., \\uc0\\u8220{}Analysis of Mice Containing a Targeted Deletion of Beta-Globin Locus Control Region 5\\uc0\\u8217{} Hypersensitive Site 3.\\uc0\\u8221{}}","plainCitation":"Hug et al., “Analysis of Mice Containing a Targeted Deletion of Beta-Globin Locus Control Region 5’ Hypersensitive Site 3.”"},"citationItems":[{"id":903,"uris":["http://zotero.org/users/2760700/items/44PKVMDT"],"uri":["http://zotero.org/users/2760700/items/44PKVMDT"],"itemData":{"id":903,"type":"article-journal","title":"Analysis of mice containing a targeted deletion of beta-globin locus control region 5' hypersensitive site 3","container-title":"Molecular and Cellular Biology","page":"2906-2912","volume":"16","issue":"6","source":"PubMed","abstract":"To examine the function of murine beta-globin locus region (LCR) 5' hypersensitive site 3 (HS3) in its native chromosomal context, we deleted this site from the mouse germ line by using homologous recombination techniques. Previous experiments with human 5' HS3 in transgenic models suggested that this site independently contains at least 50% of total LCR activity and that it interacts preferentially with the human gamma-globin genes in embryonic erythroid cells. However, in this study, we demonstrate that deletion of murine 5' HS3 reduces expression of the linked embryonic epsilon y- and beta H 1-globin genes only minimally in yolk sac-derived erythroid cells and reduces output of the linked adult beta (beta major plus beta minor) globin genes by approximately 30% in adult erythrocytes. When the selectable marker PGK-neo cassette was left within the HS3 region of the LCR, a much more severe phenotype was observed at all developmental stages, suggesting that PGK-neo interferes with LCR activity when it is retained within the LCR. Collectively, these results suggest that murine 5' HS3 is not required for globin gene switching; importantly, however, it is required for approximately 30% of the total LCR activity associated with adult beta-globin gene expression in adult erythrocytes.","ISSN":"0270-7306","note":"PMID: 8649401\nPMCID: PMC231284","journalAbbreviation":"Mol. Cell. Biol.","language":"eng","author":[{"family":"Hug","given":"B. A."},{"family":"Wesselschmidt","given":"R. L."},{"family":"Fiering","given":"S."},{"family":"Bender","given":"M. A."},{"family":"Epner","given":"E."},{"family":"Groudine","given":"M."},{"family":"Ley","given":"T. J."}],"issued":{"date-parts":[["1996",6]]},"PMID":"8649401","PMCID":"PMC231284"}}],"schema":"https://github.com/citation-style-language/schema/raw/master/csl-citation.json"} </w:instrText>
      </w:r>
      <w:r w:rsidRPr="0014693C">
        <w:rPr>
          <w:rFonts w:ascii="Cambria" w:hAnsi="Cambria"/>
        </w:rPr>
        <w:fldChar w:fldCharType="separate"/>
      </w:r>
      <w:r w:rsidRPr="0014693C">
        <w:rPr>
          <w:rFonts w:ascii="Cambria" w:hAnsi="Cambria"/>
          <w:szCs w:val="24"/>
        </w:rPr>
        <w:t>Hug et al., “Analysis of Mice Containing a Targeted Deletion of Beta-Globin Locus Control Region 5’ Hypersensitive Site 3.”</w:t>
      </w:r>
      <w:r w:rsidRPr="0014693C">
        <w:rPr>
          <w:rFonts w:ascii="Cambria" w:hAnsi="Cambria"/>
        </w:rPr>
        <w:fldChar w:fldCharType="end"/>
      </w:r>
    </w:p>
  </w:footnote>
  <w:footnote w:id="18">
    <w:p w14:paraId="4E1074E4" w14:textId="05242807" w:rsidR="005A619E" w:rsidRPr="0014693C" w:rsidRDefault="005A619E">
      <w:pPr>
        <w:pStyle w:val="FootnoteText"/>
        <w:rPr>
          <w:rFonts w:ascii="Cambria" w:hAnsi="Cambria"/>
        </w:rPr>
      </w:pPr>
      <w:r w:rsidRPr="0014693C">
        <w:rPr>
          <w:rStyle w:val="FootnoteReference"/>
          <w:rFonts w:ascii="Cambria" w:hAnsi="Cambria"/>
        </w:rPr>
        <w:footnoteRef/>
      </w:r>
      <w:r w:rsidRPr="0014693C">
        <w:rPr>
          <w:rFonts w:ascii="Cambria" w:hAnsi="Cambria"/>
        </w:rPr>
        <w:t xml:space="preserve"> </w:t>
      </w:r>
      <w:r w:rsidRPr="0014693C">
        <w:rPr>
          <w:rFonts w:ascii="Cambria" w:hAnsi="Cambria"/>
        </w:rPr>
        <w:fldChar w:fldCharType="begin"/>
      </w:r>
      <w:r w:rsidRPr="0014693C">
        <w:rPr>
          <w:rFonts w:ascii="Cambria" w:hAnsi="Cambria"/>
        </w:rPr>
        <w:instrText xml:space="preserve"> ADDIN ZOTERO_ITEM CSL_CITATION {"citationID":"jO34YVWc","properties":{"formattedCitation":"{\\rtf Papathanasiou et al., \\uc0\\u8220{}Widespread Failure of Hematolymphoid Differentiation Caused by a Recessive Niche-Filling Allele of the Ikaros Transcription Factor.\\uc0\\u8221{}}","plainCitation":"Papathanasiou et al., “Widespread Failure of Hematolymphoid Differentiation Caused by a Recessive Niche-Filling Allele of the Ikaros Transcription Factor.”"},"citationItems":[{"id":901,"uris":["http://zotero.org/users/2760700/items/CP9JZNM7"],"uri":["http://zotero.org/users/2760700/items/CP9JZNM7"],"itemData":{"id":901,"type":"article-journal","title":"Widespread failure of hematolymphoid differentiation caused by a recessive niche-filling allele of the Ikaros transcription factor","container-title":"Immunity","page":"131-144","volume":"19","issue":"1","source":"PubMed","abstract":"A central issue in understanding the hematolymphoid system is the generation of appropriate mutant alleles in mice to reveal the function of regulatory genes. Here we describe a mouse strain, Plastic, with a point mutation in a zinc finger of Ikaros that disrupts DNA binding but preserves efficient assembly of the full-length protein into higher order complexes. Ikaros(Plastic) homozygosity is embryonically lethal with severe defects in terminal erythrocyte and granulocyte differentiation, excessive macrophage formation, and blocked lymphopoiesis, while heterozygotes display a partial block in lymphocyte differentiation. The contrast with more circumscribed effects of Ikaros alleles that ablate the full-length protein highlights the importance in mammals of generating recessive niche-filling alleles that inactivate function without creating a void in multimolecular assemblies.","ISSN":"1074-7613","note":"PMID: 12871645","journalAbbreviation":"Immunity","language":"eng","author":[{"family":"Papathanasiou","given":"Peter"},{"family":"Perkins","given":"Andrew C."},{"family":"Cobb","given":"Bradley S."},{"family":"Ferrini","given":"Roger"},{"family":"Sridharan","given":"Rupa"},{"family":"Hoyne","given":"Gerard F."},{"family":"Nelms","given":"Keats A."},{"family":"Smale","given":"Stephen T."},{"family":"Goodnow","given":"Christopher C."}],"issued":{"date-parts":[["2003",7]]},"PMID":"12871645"}}],"schema":"https://github.com/citation-style-language/schema/raw/master/csl-citation.json"} </w:instrText>
      </w:r>
      <w:r w:rsidRPr="0014693C">
        <w:rPr>
          <w:rFonts w:ascii="Cambria" w:hAnsi="Cambria"/>
        </w:rPr>
        <w:fldChar w:fldCharType="separate"/>
      </w:r>
      <w:r w:rsidRPr="0014693C">
        <w:rPr>
          <w:rFonts w:ascii="Cambria" w:hAnsi="Cambria"/>
          <w:szCs w:val="24"/>
        </w:rPr>
        <w:t>Papathanasiou et al., “Widespread Failure of Hematolymphoid Differentiation Caused by a Recessive Niche-Filling Allele of the Ikaros Transcription Factor.”</w:t>
      </w:r>
      <w:r w:rsidRPr="0014693C">
        <w:rPr>
          <w:rFonts w:ascii="Cambria" w:hAnsi="Cambria"/>
        </w:rPr>
        <w:fldChar w:fldCharType="end"/>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B34B96" w14:textId="0160BAEC" w:rsidR="00651AE8" w:rsidRPr="00FA7DF6" w:rsidRDefault="00651AE8">
    <w:pPr>
      <w:pStyle w:val="Header"/>
      <w:rPr>
        <w:rFonts w:ascii="Times New Roman" w:hAnsi="Times New Roman" w:cs="Times New Roman"/>
        <w:sz w:val="24"/>
        <w:szCs w:val="24"/>
      </w:rPr>
    </w:pPr>
    <w:r>
      <w:tab/>
    </w:r>
    <w:r w:rsidRPr="00FA7DF6">
      <w:rPr>
        <w:rFonts w:ascii="Times New Roman" w:hAnsi="Times New Roman" w:cs="Times New Roman"/>
        <w:sz w:val="24"/>
        <w:szCs w:val="24"/>
      </w:rPr>
      <w:tab/>
    </w:r>
    <w:r>
      <w:rPr>
        <w:rFonts w:ascii="Times New Roman" w:hAnsi="Times New Roman" w:cs="Times New Roman"/>
        <w:sz w:val="24"/>
        <w:szCs w:val="24"/>
      </w:rPr>
      <w:t>STATS 205 Series</w:t>
    </w:r>
    <w:r w:rsidRPr="00FA7DF6">
      <w:rPr>
        <w:rFonts w:ascii="Times New Roman" w:hAnsi="Times New Roman" w:cs="Times New Roman"/>
        <w:sz w:val="24"/>
        <w:szCs w:val="24"/>
      </w:rPr>
      <w:t xml:space="preserve"> </w:t>
    </w:r>
    <w:r>
      <w:rPr>
        <w:rFonts w:ascii="Times New Roman" w:hAnsi="Times New Roman" w:cs="Times New Roman"/>
        <w:sz w:val="24"/>
        <w:szCs w:val="24"/>
      </w:rPr>
      <w:t>– 3</w:t>
    </w:r>
    <w:r w:rsidRPr="00FA7DF6">
      <w:rPr>
        <w:rFonts w:ascii="Times New Roman" w:hAnsi="Times New Roman" w:cs="Times New Roman"/>
        <w:sz w:val="24"/>
        <w:szCs w:val="24"/>
      </w:rPr>
      <w:t xml:space="preserve"> </w:t>
    </w:r>
    <w:r>
      <w:rPr>
        <w:rFonts w:ascii="Times New Roman" w:hAnsi="Times New Roman" w:cs="Times New Roman"/>
        <w:sz w:val="24"/>
        <w:szCs w:val="24"/>
      </w:rPr>
      <w:t>June</w:t>
    </w:r>
    <w:r w:rsidRPr="00FA7DF6">
      <w:rPr>
        <w:rFonts w:ascii="Times New Roman" w:hAnsi="Times New Roman" w:cs="Times New Roman"/>
        <w:sz w:val="24"/>
        <w:szCs w:val="24"/>
      </w:rPr>
      <w:t xml:space="preserve"> 2016</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296E4B"/>
    <w:multiLevelType w:val="multilevel"/>
    <w:tmpl w:val="F9AC079E"/>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580D30DC"/>
    <w:multiLevelType w:val="multilevel"/>
    <w:tmpl w:val="5204FD2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7DD94BBA"/>
    <w:multiLevelType w:val="hybridMultilevel"/>
    <w:tmpl w:val="96EC7C6C"/>
    <w:lvl w:ilvl="0" w:tplc="99025DA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B2227B"/>
    <w:rsid w:val="00017AB0"/>
    <w:rsid w:val="00055551"/>
    <w:rsid w:val="00076968"/>
    <w:rsid w:val="00093CAE"/>
    <w:rsid w:val="0009587D"/>
    <w:rsid w:val="000A57E8"/>
    <w:rsid w:val="000B1665"/>
    <w:rsid w:val="000B4C47"/>
    <w:rsid w:val="000C5619"/>
    <w:rsid w:val="000D7CDC"/>
    <w:rsid w:val="000E5758"/>
    <w:rsid w:val="00124F00"/>
    <w:rsid w:val="0014693C"/>
    <w:rsid w:val="001B02D0"/>
    <w:rsid w:val="001B597D"/>
    <w:rsid w:val="001B6CEB"/>
    <w:rsid w:val="001D1587"/>
    <w:rsid w:val="001D2B96"/>
    <w:rsid w:val="001E6FB1"/>
    <w:rsid w:val="00203980"/>
    <w:rsid w:val="002312EA"/>
    <w:rsid w:val="00290A82"/>
    <w:rsid w:val="002D38A0"/>
    <w:rsid w:val="002E2215"/>
    <w:rsid w:val="002E4E57"/>
    <w:rsid w:val="00307DA9"/>
    <w:rsid w:val="00310703"/>
    <w:rsid w:val="003C32CB"/>
    <w:rsid w:val="003D1A1A"/>
    <w:rsid w:val="003D7250"/>
    <w:rsid w:val="003F2574"/>
    <w:rsid w:val="00436E49"/>
    <w:rsid w:val="0044256C"/>
    <w:rsid w:val="00455319"/>
    <w:rsid w:val="004624C7"/>
    <w:rsid w:val="00464F63"/>
    <w:rsid w:val="004A1C84"/>
    <w:rsid w:val="004A6CA8"/>
    <w:rsid w:val="004C79CE"/>
    <w:rsid w:val="004D7284"/>
    <w:rsid w:val="004E3889"/>
    <w:rsid w:val="00511544"/>
    <w:rsid w:val="00533356"/>
    <w:rsid w:val="00533499"/>
    <w:rsid w:val="005467EF"/>
    <w:rsid w:val="00547B69"/>
    <w:rsid w:val="00551D87"/>
    <w:rsid w:val="0055286C"/>
    <w:rsid w:val="00554A0C"/>
    <w:rsid w:val="00572159"/>
    <w:rsid w:val="00574E9D"/>
    <w:rsid w:val="00577692"/>
    <w:rsid w:val="00577F4D"/>
    <w:rsid w:val="005939C0"/>
    <w:rsid w:val="005A619E"/>
    <w:rsid w:val="005A753F"/>
    <w:rsid w:val="005D724F"/>
    <w:rsid w:val="005F4107"/>
    <w:rsid w:val="00621CA8"/>
    <w:rsid w:val="0062639B"/>
    <w:rsid w:val="00651AE8"/>
    <w:rsid w:val="006A3467"/>
    <w:rsid w:val="006A3BCF"/>
    <w:rsid w:val="006A5614"/>
    <w:rsid w:val="006A66DA"/>
    <w:rsid w:val="006C3721"/>
    <w:rsid w:val="006C6B05"/>
    <w:rsid w:val="006F486A"/>
    <w:rsid w:val="007003AC"/>
    <w:rsid w:val="0071296E"/>
    <w:rsid w:val="00721F37"/>
    <w:rsid w:val="007241F9"/>
    <w:rsid w:val="00724996"/>
    <w:rsid w:val="00740BA8"/>
    <w:rsid w:val="007715A5"/>
    <w:rsid w:val="007B2872"/>
    <w:rsid w:val="007D05D4"/>
    <w:rsid w:val="007D0711"/>
    <w:rsid w:val="007E24F2"/>
    <w:rsid w:val="007E5EEF"/>
    <w:rsid w:val="00803DBA"/>
    <w:rsid w:val="008122E7"/>
    <w:rsid w:val="00832947"/>
    <w:rsid w:val="00842103"/>
    <w:rsid w:val="00845A81"/>
    <w:rsid w:val="008520B7"/>
    <w:rsid w:val="0087149B"/>
    <w:rsid w:val="008756C3"/>
    <w:rsid w:val="008A3123"/>
    <w:rsid w:val="008A4054"/>
    <w:rsid w:val="008A5542"/>
    <w:rsid w:val="008A6948"/>
    <w:rsid w:val="008E7058"/>
    <w:rsid w:val="00903CB9"/>
    <w:rsid w:val="009761C0"/>
    <w:rsid w:val="00991D0B"/>
    <w:rsid w:val="00997EA0"/>
    <w:rsid w:val="009C0E04"/>
    <w:rsid w:val="009D0C2F"/>
    <w:rsid w:val="009E1D3A"/>
    <w:rsid w:val="009F5F69"/>
    <w:rsid w:val="00A42EDE"/>
    <w:rsid w:val="00A755D3"/>
    <w:rsid w:val="00A94F18"/>
    <w:rsid w:val="00A95501"/>
    <w:rsid w:val="00AA4C2B"/>
    <w:rsid w:val="00AC589B"/>
    <w:rsid w:val="00AF36D3"/>
    <w:rsid w:val="00AF5618"/>
    <w:rsid w:val="00B04931"/>
    <w:rsid w:val="00B06B87"/>
    <w:rsid w:val="00B2227B"/>
    <w:rsid w:val="00B22695"/>
    <w:rsid w:val="00B50422"/>
    <w:rsid w:val="00B656FC"/>
    <w:rsid w:val="00B856AF"/>
    <w:rsid w:val="00B9251F"/>
    <w:rsid w:val="00BA5F86"/>
    <w:rsid w:val="00BC237E"/>
    <w:rsid w:val="00BD4F4E"/>
    <w:rsid w:val="00BF1C6A"/>
    <w:rsid w:val="00C027B9"/>
    <w:rsid w:val="00C07C06"/>
    <w:rsid w:val="00C31ED6"/>
    <w:rsid w:val="00C5478F"/>
    <w:rsid w:val="00C73903"/>
    <w:rsid w:val="00C74B55"/>
    <w:rsid w:val="00C97C9F"/>
    <w:rsid w:val="00CA3825"/>
    <w:rsid w:val="00D12A4F"/>
    <w:rsid w:val="00D22BF8"/>
    <w:rsid w:val="00D3013D"/>
    <w:rsid w:val="00D73DBD"/>
    <w:rsid w:val="00DC6527"/>
    <w:rsid w:val="00DD34A1"/>
    <w:rsid w:val="00DD58AD"/>
    <w:rsid w:val="00E467A4"/>
    <w:rsid w:val="00E734E4"/>
    <w:rsid w:val="00EA452A"/>
    <w:rsid w:val="00EC0513"/>
    <w:rsid w:val="00F52055"/>
    <w:rsid w:val="00F54B83"/>
    <w:rsid w:val="00F63954"/>
    <w:rsid w:val="00F67A44"/>
    <w:rsid w:val="00F704C7"/>
    <w:rsid w:val="00F82049"/>
    <w:rsid w:val="00FA2152"/>
    <w:rsid w:val="00FA7DF6"/>
    <w:rsid w:val="00FB46F0"/>
    <w:rsid w:val="00FC3A57"/>
    <w:rsid w:val="00FE21A5"/>
    <w:rsid w:val="00FE42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3689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FootnoteText">
    <w:name w:val="footnote text"/>
    <w:basedOn w:val="Normal"/>
    <w:link w:val="FootnoteTextChar"/>
    <w:uiPriority w:val="99"/>
    <w:unhideWhenUsed/>
    <w:rsid w:val="008A6948"/>
    <w:pPr>
      <w:spacing w:line="240" w:lineRule="auto"/>
    </w:pPr>
    <w:rPr>
      <w:sz w:val="20"/>
      <w:szCs w:val="20"/>
    </w:rPr>
  </w:style>
  <w:style w:type="character" w:customStyle="1" w:styleId="FootnoteTextChar">
    <w:name w:val="Footnote Text Char"/>
    <w:basedOn w:val="DefaultParagraphFont"/>
    <w:link w:val="FootnoteText"/>
    <w:uiPriority w:val="99"/>
    <w:rsid w:val="008A6948"/>
    <w:rPr>
      <w:sz w:val="20"/>
      <w:szCs w:val="20"/>
    </w:rPr>
  </w:style>
  <w:style w:type="character" w:styleId="FootnoteReference">
    <w:name w:val="footnote reference"/>
    <w:basedOn w:val="DefaultParagraphFont"/>
    <w:uiPriority w:val="99"/>
    <w:unhideWhenUsed/>
    <w:rsid w:val="008A6948"/>
    <w:rPr>
      <w:vertAlign w:val="superscript"/>
    </w:rPr>
  </w:style>
  <w:style w:type="paragraph" w:styleId="Bibliography">
    <w:name w:val="Bibliography"/>
    <w:basedOn w:val="Normal"/>
    <w:next w:val="Normal"/>
    <w:uiPriority w:val="37"/>
    <w:unhideWhenUsed/>
    <w:rsid w:val="007E5EEF"/>
    <w:pPr>
      <w:spacing w:line="240" w:lineRule="auto"/>
      <w:ind w:left="720" w:hanging="720"/>
    </w:pPr>
  </w:style>
  <w:style w:type="paragraph" w:styleId="Header">
    <w:name w:val="header"/>
    <w:basedOn w:val="Normal"/>
    <w:link w:val="HeaderChar"/>
    <w:uiPriority w:val="99"/>
    <w:unhideWhenUsed/>
    <w:rsid w:val="00511544"/>
    <w:pPr>
      <w:tabs>
        <w:tab w:val="center" w:pos="4680"/>
        <w:tab w:val="right" w:pos="9360"/>
      </w:tabs>
      <w:spacing w:line="240" w:lineRule="auto"/>
    </w:pPr>
  </w:style>
  <w:style w:type="character" w:customStyle="1" w:styleId="HeaderChar">
    <w:name w:val="Header Char"/>
    <w:basedOn w:val="DefaultParagraphFont"/>
    <w:link w:val="Header"/>
    <w:uiPriority w:val="99"/>
    <w:rsid w:val="00511544"/>
  </w:style>
  <w:style w:type="paragraph" w:styleId="Footer">
    <w:name w:val="footer"/>
    <w:basedOn w:val="Normal"/>
    <w:link w:val="FooterChar"/>
    <w:uiPriority w:val="99"/>
    <w:unhideWhenUsed/>
    <w:rsid w:val="00511544"/>
    <w:pPr>
      <w:tabs>
        <w:tab w:val="center" w:pos="4680"/>
        <w:tab w:val="right" w:pos="9360"/>
      </w:tabs>
      <w:spacing w:line="240" w:lineRule="auto"/>
    </w:pPr>
  </w:style>
  <w:style w:type="character" w:customStyle="1" w:styleId="FooterChar">
    <w:name w:val="Footer Char"/>
    <w:basedOn w:val="DefaultParagraphFont"/>
    <w:link w:val="Footer"/>
    <w:uiPriority w:val="99"/>
    <w:rsid w:val="00511544"/>
  </w:style>
  <w:style w:type="character" w:styleId="Hyperlink">
    <w:name w:val="Hyperlink"/>
    <w:basedOn w:val="DefaultParagraphFont"/>
    <w:uiPriority w:val="99"/>
    <w:unhideWhenUsed/>
    <w:rsid w:val="00511544"/>
    <w:rPr>
      <w:color w:val="0000FF" w:themeColor="hyperlink"/>
      <w:u w:val="single"/>
    </w:rPr>
  </w:style>
  <w:style w:type="paragraph" w:styleId="BalloonText">
    <w:name w:val="Balloon Text"/>
    <w:basedOn w:val="Normal"/>
    <w:link w:val="BalloonTextChar"/>
    <w:uiPriority w:val="99"/>
    <w:semiHidden/>
    <w:unhideWhenUsed/>
    <w:rsid w:val="009E1D3A"/>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9E1D3A"/>
    <w:rPr>
      <w:rFonts w:ascii="Lucida Grande" w:hAnsi="Lucida Grande"/>
      <w:sz w:val="18"/>
      <w:szCs w:val="18"/>
    </w:rPr>
  </w:style>
  <w:style w:type="paragraph" w:styleId="NormalWeb">
    <w:name w:val="Normal (Web)"/>
    <w:basedOn w:val="Normal"/>
    <w:uiPriority w:val="99"/>
    <w:unhideWhenUsed/>
    <w:rsid w:val="002D38A0"/>
    <w:pPr>
      <w:spacing w:before="100" w:beforeAutospacing="1" w:after="100" w:afterAutospacing="1" w:line="240" w:lineRule="auto"/>
    </w:pPr>
    <w:rPr>
      <w:rFonts w:ascii="Times" w:hAnsi="Times" w:cs="Times New Roman"/>
      <w:color w:val="auto"/>
      <w:sz w:val="20"/>
      <w:szCs w:val="20"/>
    </w:rPr>
  </w:style>
  <w:style w:type="paragraph" w:styleId="ListParagraph">
    <w:name w:val="List Paragraph"/>
    <w:basedOn w:val="Normal"/>
    <w:uiPriority w:val="34"/>
    <w:qFormat/>
    <w:rsid w:val="002D38A0"/>
    <w:pPr>
      <w:ind w:left="720"/>
      <w:contextualSpacing/>
    </w:pPr>
  </w:style>
  <w:style w:type="paragraph" w:styleId="Caption">
    <w:name w:val="caption"/>
    <w:basedOn w:val="Normal"/>
    <w:next w:val="Normal"/>
    <w:uiPriority w:val="35"/>
    <w:unhideWhenUsed/>
    <w:qFormat/>
    <w:rsid w:val="00FC3A57"/>
    <w:pPr>
      <w:spacing w:after="200" w:line="240" w:lineRule="auto"/>
    </w:pPr>
    <w:rPr>
      <w:b/>
      <w:bCs/>
      <w:color w:val="4F81BD" w:themeColor="accent1"/>
      <w:sz w:val="18"/>
      <w:szCs w:val="18"/>
    </w:rPr>
  </w:style>
  <w:style w:type="character" w:customStyle="1" w:styleId="apple-tab-span">
    <w:name w:val="apple-tab-span"/>
    <w:basedOn w:val="DefaultParagraphFont"/>
    <w:rsid w:val="00AF5618"/>
  </w:style>
  <w:style w:type="character" w:styleId="PageNumber">
    <w:name w:val="page number"/>
    <w:basedOn w:val="DefaultParagraphFont"/>
    <w:uiPriority w:val="99"/>
    <w:semiHidden/>
    <w:unhideWhenUsed/>
    <w:rsid w:val="001D1587"/>
  </w:style>
  <w:style w:type="character" w:styleId="PlaceholderText">
    <w:name w:val="Placeholder Text"/>
    <w:basedOn w:val="DefaultParagraphFont"/>
    <w:uiPriority w:val="99"/>
    <w:semiHidden/>
    <w:rsid w:val="00AF36D3"/>
    <w:rPr>
      <w:color w:val="808080"/>
    </w:rPr>
  </w:style>
  <w:style w:type="character" w:styleId="FollowedHyperlink">
    <w:name w:val="FollowedHyperlink"/>
    <w:basedOn w:val="DefaultParagraphFont"/>
    <w:uiPriority w:val="99"/>
    <w:semiHidden/>
    <w:unhideWhenUsed/>
    <w:rsid w:val="00E467A4"/>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FootnoteText">
    <w:name w:val="footnote text"/>
    <w:basedOn w:val="Normal"/>
    <w:link w:val="FootnoteTextChar"/>
    <w:uiPriority w:val="99"/>
    <w:unhideWhenUsed/>
    <w:rsid w:val="008A6948"/>
    <w:pPr>
      <w:spacing w:line="240" w:lineRule="auto"/>
    </w:pPr>
    <w:rPr>
      <w:sz w:val="20"/>
      <w:szCs w:val="20"/>
    </w:rPr>
  </w:style>
  <w:style w:type="character" w:customStyle="1" w:styleId="FootnoteTextChar">
    <w:name w:val="Footnote Text Char"/>
    <w:basedOn w:val="DefaultParagraphFont"/>
    <w:link w:val="FootnoteText"/>
    <w:uiPriority w:val="99"/>
    <w:rsid w:val="008A6948"/>
    <w:rPr>
      <w:sz w:val="20"/>
      <w:szCs w:val="20"/>
    </w:rPr>
  </w:style>
  <w:style w:type="character" w:styleId="FootnoteReference">
    <w:name w:val="footnote reference"/>
    <w:basedOn w:val="DefaultParagraphFont"/>
    <w:uiPriority w:val="99"/>
    <w:unhideWhenUsed/>
    <w:rsid w:val="008A6948"/>
    <w:rPr>
      <w:vertAlign w:val="superscript"/>
    </w:rPr>
  </w:style>
  <w:style w:type="paragraph" w:styleId="Bibliography">
    <w:name w:val="Bibliography"/>
    <w:basedOn w:val="Normal"/>
    <w:next w:val="Normal"/>
    <w:uiPriority w:val="37"/>
    <w:unhideWhenUsed/>
    <w:rsid w:val="007E5EEF"/>
    <w:pPr>
      <w:spacing w:line="240" w:lineRule="auto"/>
      <w:ind w:left="720" w:hanging="720"/>
    </w:pPr>
  </w:style>
  <w:style w:type="paragraph" w:styleId="Header">
    <w:name w:val="header"/>
    <w:basedOn w:val="Normal"/>
    <w:link w:val="HeaderChar"/>
    <w:uiPriority w:val="99"/>
    <w:unhideWhenUsed/>
    <w:rsid w:val="00511544"/>
    <w:pPr>
      <w:tabs>
        <w:tab w:val="center" w:pos="4680"/>
        <w:tab w:val="right" w:pos="9360"/>
      </w:tabs>
      <w:spacing w:line="240" w:lineRule="auto"/>
    </w:pPr>
  </w:style>
  <w:style w:type="character" w:customStyle="1" w:styleId="HeaderChar">
    <w:name w:val="Header Char"/>
    <w:basedOn w:val="DefaultParagraphFont"/>
    <w:link w:val="Header"/>
    <w:uiPriority w:val="99"/>
    <w:rsid w:val="00511544"/>
  </w:style>
  <w:style w:type="paragraph" w:styleId="Footer">
    <w:name w:val="footer"/>
    <w:basedOn w:val="Normal"/>
    <w:link w:val="FooterChar"/>
    <w:uiPriority w:val="99"/>
    <w:unhideWhenUsed/>
    <w:rsid w:val="00511544"/>
    <w:pPr>
      <w:tabs>
        <w:tab w:val="center" w:pos="4680"/>
        <w:tab w:val="right" w:pos="9360"/>
      </w:tabs>
      <w:spacing w:line="240" w:lineRule="auto"/>
    </w:pPr>
  </w:style>
  <w:style w:type="character" w:customStyle="1" w:styleId="FooterChar">
    <w:name w:val="Footer Char"/>
    <w:basedOn w:val="DefaultParagraphFont"/>
    <w:link w:val="Footer"/>
    <w:uiPriority w:val="99"/>
    <w:rsid w:val="00511544"/>
  </w:style>
  <w:style w:type="character" w:styleId="Hyperlink">
    <w:name w:val="Hyperlink"/>
    <w:basedOn w:val="DefaultParagraphFont"/>
    <w:uiPriority w:val="99"/>
    <w:unhideWhenUsed/>
    <w:rsid w:val="00511544"/>
    <w:rPr>
      <w:color w:val="0000FF" w:themeColor="hyperlink"/>
      <w:u w:val="single"/>
    </w:rPr>
  </w:style>
  <w:style w:type="paragraph" w:styleId="BalloonText">
    <w:name w:val="Balloon Text"/>
    <w:basedOn w:val="Normal"/>
    <w:link w:val="BalloonTextChar"/>
    <w:uiPriority w:val="99"/>
    <w:semiHidden/>
    <w:unhideWhenUsed/>
    <w:rsid w:val="009E1D3A"/>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9E1D3A"/>
    <w:rPr>
      <w:rFonts w:ascii="Lucida Grande" w:hAnsi="Lucida Grande"/>
      <w:sz w:val="18"/>
      <w:szCs w:val="18"/>
    </w:rPr>
  </w:style>
  <w:style w:type="paragraph" w:styleId="NormalWeb">
    <w:name w:val="Normal (Web)"/>
    <w:basedOn w:val="Normal"/>
    <w:uiPriority w:val="99"/>
    <w:unhideWhenUsed/>
    <w:rsid w:val="002D38A0"/>
    <w:pPr>
      <w:spacing w:before="100" w:beforeAutospacing="1" w:after="100" w:afterAutospacing="1" w:line="240" w:lineRule="auto"/>
    </w:pPr>
    <w:rPr>
      <w:rFonts w:ascii="Times" w:hAnsi="Times" w:cs="Times New Roman"/>
      <w:color w:val="auto"/>
      <w:sz w:val="20"/>
      <w:szCs w:val="20"/>
    </w:rPr>
  </w:style>
  <w:style w:type="paragraph" w:styleId="ListParagraph">
    <w:name w:val="List Paragraph"/>
    <w:basedOn w:val="Normal"/>
    <w:uiPriority w:val="34"/>
    <w:qFormat/>
    <w:rsid w:val="002D38A0"/>
    <w:pPr>
      <w:ind w:left="720"/>
      <w:contextualSpacing/>
    </w:pPr>
  </w:style>
  <w:style w:type="paragraph" w:styleId="Caption">
    <w:name w:val="caption"/>
    <w:basedOn w:val="Normal"/>
    <w:next w:val="Normal"/>
    <w:uiPriority w:val="35"/>
    <w:unhideWhenUsed/>
    <w:qFormat/>
    <w:rsid w:val="00FC3A57"/>
    <w:pPr>
      <w:spacing w:after="200" w:line="240" w:lineRule="auto"/>
    </w:pPr>
    <w:rPr>
      <w:b/>
      <w:bCs/>
      <w:color w:val="4F81BD" w:themeColor="accent1"/>
      <w:sz w:val="18"/>
      <w:szCs w:val="18"/>
    </w:rPr>
  </w:style>
  <w:style w:type="character" w:customStyle="1" w:styleId="apple-tab-span">
    <w:name w:val="apple-tab-span"/>
    <w:basedOn w:val="DefaultParagraphFont"/>
    <w:rsid w:val="00AF5618"/>
  </w:style>
  <w:style w:type="character" w:styleId="PageNumber">
    <w:name w:val="page number"/>
    <w:basedOn w:val="DefaultParagraphFont"/>
    <w:uiPriority w:val="99"/>
    <w:semiHidden/>
    <w:unhideWhenUsed/>
    <w:rsid w:val="001D1587"/>
  </w:style>
  <w:style w:type="character" w:styleId="PlaceholderText">
    <w:name w:val="Placeholder Text"/>
    <w:basedOn w:val="DefaultParagraphFont"/>
    <w:uiPriority w:val="99"/>
    <w:semiHidden/>
    <w:rsid w:val="00AF36D3"/>
    <w:rPr>
      <w:color w:val="808080"/>
    </w:rPr>
  </w:style>
  <w:style w:type="character" w:styleId="FollowedHyperlink">
    <w:name w:val="FollowedHyperlink"/>
    <w:basedOn w:val="DefaultParagraphFont"/>
    <w:uiPriority w:val="99"/>
    <w:semiHidden/>
    <w:unhideWhenUsed/>
    <w:rsid w:val="00E467A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99165">
      <w:bodyDiv w:val="1"/>
      <w:marLeft w:val="0"/>
      <w:marRight w:val="0"/>
      <w:marTop w:val="0"/>
      <w:marBottom w:val="0"/>
      <w:divBdr>
        <w:top w:val="none" w:sz="0" w:space="0" w:color="auto"/>
        <w:left w:val="none" w:sz="0" w:space="0" w:color="auto"/>
        <w:bottom w:val="none" w:sz="0" w:space="0" w:color="auto"/>
        <w:right w:val="none" w:sz="0" w:space="0" w:color="auto"/>
      </w:divBdr>
    </w:div>
    <w:div w:id="49885470">
      <w:bodyDiv w:val="1"/>
      <w:marLeft w:val="0"/>
      <w:marRight w:val="0"/>
      <w:marTop w:val="0"/>
      <w:marBottom w:val="0"/>
      <w:divBdr>
        <w:top w:val="none" w:sz="0" w:space="0" w:color="auto"/>
        <w:left w:val="none" w:sz="0" w:space="0" w:color="auto"/>
        <w:bottom w:val="none" w:sz="0" w:space="0" w:color="auto"/>
        <w:right w:val="none" w:sz="0" w:space="0" w:color="auto"/>
      </w:divBdr>
    </w:div>
    <w:div w:id="227347200">
      <w:bodyDiv w:val="1"/>
      <w:marLeft w:val="0"/>
      <w:marRight w:val="0"/>
      <w:marTop w:val="0"/>
      <w:marBottom w:val="0"/>
      <w:divBdr>
        <w:top w:val="none" w:sz="0" w:space="0" w:color="auto"/>
        <w:left w:val="none" w:sz="0" w:space="0" w:color="auto"/>
        <w:bottom w:val="none" w:sz="0" w:space="0" w:color="auto"/>
        <w:right w:val="none" w:sz="0" w:space="0" w:color="auto"/>
      </w:divBdr>
    </w:div>
    <w:div w:id="380981410">
      <w:bodyDiv w:val="1"/>
      <w:marLeft w:val="0"/>
      <w:marRight w:val="0"/>
      <w:marTop w:val="0"/>
      <w:marBottom w:val="0"/>
      <w:divBdr>
        <w:top w:val="none" w:sz="0" w:space="0" w:color="auto"/>
        <w:left w:val="none" w:sz="0" w:space="0" w:color="auto"/>
        <w:bottom w:val="none" w:sz="0" w:space="0" w:color="auto"/>
        <w:right w:val="none" w:sz="0" w:space="0" w:color="auto"/>
      </w:divBdr>
    </w:div>
    <w:div w:id="398787664">
      <w:bodyDiv w:val="1"/>
      <w:marLeft w:val="0"/>
      <w:marRight w:val="0"/>
      <w:marTop w:val="0"/>
      <w:marBottom w:val="0"/>
      <w:divBdr>
        <w:top w:val="none" w:sz="0" w:space="0" w:color="auto"/>
        <w:left w:val="none" w:sz="0" w:space="0" w:color="auto"/>
        <w:bottom w:val="none" w:sz="0" w:space="0" w:color="auto"/>
        <w:right w:val="none" w:sz="0" w:space="0" w:color="auto"/>
      </w:divBdr>
    </w:div>
    <w:div w:id="412631858">
      <w:bodyDiv w:val="1"/>
      <w:marLeft w:val="0"/>
      <w:marRight w:val="0"/>
      <w:marTop w:val="0"/>
      <w:marBottom w:val="0"/>
      <w:divBdr>
        <w:top w:val="none" w:sz="0" w:space="0" w:color="auto"/>
        <w:left w:val="none" w:sz="0" w:space="0" w:color="auto"/>
        <w:bottom w:val="none" w:sz="0" w:space="0" w:color="auto"/>
        <w:right w:val="none" w:sz="0" w:space="0" w:color="auto"/>
      </w:divBdr>
    </w:div>
    <w:div w:id="421144058">
      <w:bodyDiv w:val="1"/>
      <w:marLeft w:val="0"/>
      <w:marRight w:val="0"/>
      <w:marTop w:val="0"/>
      <w:marBottom w:val="0"/>
      <w:divBdr>
        <w:top w:val="none" w:sz="0" w:space="0" w:color="auto"/>
        <w:left w:val="none" w:sz="0" w:space="0" w:color="auto"/>
        <w:bottom w:val="none" w:sz="0" w:space="0" w:color="auto"/>
        <w:right w:val="none" w:sz="0" w:space="0" w:color="auto"/>
      </w:divBdr>
    </w:div>
    <w:div w:id="537087732">
      <w:bodyDiv w:val="1"/>
      <w:marLeft w:val="0"/>
      <w:marRight w:val="0"/>
      <w:marTop w:val="0"/>
      <w:marBottom w:val="0"/>
      <w:divBdr>
        <w:top w:val="none" w:sz="0" w:space="0" w:color="auto"/>
        <w:left w:val="none" w:sz="0" w:space="0" w:color="auto"/>
        <w:bottom w:val="none" w:sz="0" w:space="0" w:color="auto"/>
        <w:right w:val="none" w:sz="0" w:space="0" w:color="auto"/>
      </w:divBdr>
    </w:div>
    <w:div w:id="666639524">
      <w:bodyDiv w:val="1"/>
      <w:marLeft w:val="0"/>
      <w:marRight w:val="0"/>
      <w:marTop w:val="0"/>
      <w:marBottom w:val="0"/>
      <w:divBdr>
        <w:top w:val="none" w:sz="0" w:space="0" w:color="auto"/>
        <w:left w:val="none" w:sz="0" w:space="0" w:color="auto"/>
        <w:bottom w:val="none" w:sz="0" w:space="0" w:color="auto"/>
        <w:right w:val="none" w:sz="0" w:space="0" w:color="auto"/>
      </w:divBdr>
    </w:div>
    <w:div w:id="689990750">
      <w:bodyDiv w:val="1"/>
      <w:marLeft w:val="0"/>
      <w:marRight w:val="0"/>
      <w:marTop w:val="0"/>
      <w:marBottom w:val="0"/>
      <w:divBdr>
        <w:top w:val="none" w:sz="0" w:space="0" w:color="auto"/>
        <w:left w:val="none" w:sz="0" w:space="0" w:color="auto"/>
        <w:bottom w:val="none" w:sz="0" w:space="0" w:color="auto"/>
        <w:right w:val="none" w:sz="0" w:space="0" w:color="auto"/>
      </w:divBdr>
    </w:div>
    <w:div w:id="742292577">
      <w:bodyDiv w:val="1"/>
      <w:marLeft w:val="0"/>
      <w:marRight w:val="0"/>
      <w:marTop w:val="0"/>
      <w:marBottom w:val="0"/>
      <w:divBdr>
        <w:top w:val="none" w:sz="0" w:space="0" w:color="auto"/>
        <w:left w:val="none" w:sz="0" w:space="0" w:color="auto"/>
        <w:bottom w:val="none" w:sz="0" w:space="0" w:color="auto"/>
        <w:right w:val="none" w:sz="0" w:space="0" w:color="auto"/>
      </w:divBdr>
    </w:div>
    <w:div w:id="749889959">
      <w:bodyDiv w:val="1"/>
      <w:marLeft w:val="0"/>
      <w:marRight w:val="0"/>
      <w:marTop w:val="0"/>
      <w:marBottom w:val="0"/>
      <w:divBdr>
        <w:top w:val="none" w:sz="0" w:space="0" w:color="auto"/>
        <w:left w:val="none" w:sz="0" w:space="0" w:color="auto"/>
        <w:bottom w:val="none" w:sz="0" w:space="0" w:color="auto"/>
        <w:right w:val="none" w:sz="0" w:space="0" w:color="auto"/>
      </w:divBdr>
    </w:div>
    <w:div w:id="778640971">
      <w:bodyDiv w:val="1"/>
      <w:marLeft w:val="0"/>
      <w:marRight w:val="0"/>
      <w:marTop w:val="0"/>
      <w:marBottom w:val="0"/>
      <w:divBdr>
        <w:top w:val="none" w:sz="0" w:space="0" w:color="auto"/>
        <w:left w:val="none" w:sz="0" w:space="0" w:color="auto"/>
        <w:bottom w:val="none" w:sz="0" w:space="0" w:color="auto"/>
        <w:right w:val="none" w:sz="0" w:space="0" w:color="auto"/>
      </w:divBdr>
    </w:div>
    <w:div w:id="839269651">
      <w:bodyDiv w:val="1"/>
      <w:marLeft w:val="0"/>
      <w:marRight w:val="0"/>
      <w:marTop w:val="0"/>
      <w:marBottom w:val="0"/>
      <w:divBdr>
        <w:top w:val="none" w:sz="0" w:space="0" w:color="auto"/>
        <w:left w:val="none" w:sz="0" w:space="0" w:color="auto"/>
        <w:bottom w:val="none" w:sz="0" w:space="0" w:color="auto"/>
        <w:right w:val="none" w:sz="0" w:space="0" w:color="auto"/>
      </w:divBdr>
    </w:div>
    <w:div w:id="913859456">
      <w:bodyDiv w:val="1"/>
      <w:marLeft w:val="0"/>
      <w:marRight w:val="0"/>
      <w:marTop w:val="0"/>
      <w:marBottom w:val="0"/>
      <w:divBdr>
        <w:top w:val="none" w:sz="0" w:space="0" w:color="auto"/>
        <w:left w:val="none" w:sz="0" w:space="0" w:color="auto"/>
        <w:bottom w:val="none" w:sz="0" w:space="0" w:color="auto"/>
        <w:right w:val="none" w:sz="0" w:space="0" w:color="auto"/>
      </w:divBdr>
    </w:div>
    <w:div w:id="920453876">
      <w:bodyDiv w:val="1"/>
      <w:marLeft w:val="0"/>
      <w:marRight w:val="0"/>
      <w:marTop w:val="0"/>
      <w:marBottom w:val="0"/>
      <w:divBdr>
        <w:top w:val="none" w:sz="0" w:space="0" w:color="auto"/>
        <w:left w:val="none" w:sz="0" w:space="0" w:color="auto"/>
        <w:bottom w:val="none" w:sz="0" w:space="0" w:color="auto"/>
        <w:right w:val="none" w:sz="0" w:space="0" w:color="auto"/>
      </w:divBdr>
    </w:div>
    <w:div w:id="925924454">
      <w:bodyDiv w:val="1"/>
      <w:marLeft w:val="0"/>
      <w:marRight w:val="0"/>
      <w:marTop w:val="0"/>
      <w:marBottom w:val="0"/>
      <w:divBdr>
        <w:top w:val="none" w:sz="0" w:space="0" w:color="auto"/>
        <w:left w:val="none" w:sz="0" w:space="0" w:color="auto"/>
        <w:bottom w:val="none" w:sz="0" w:space="0" w:color="auto"/>
        <w:right w:val="none" w:sz="0" w:space="0" w:color="auto"/>
      </w:divBdr>
    </w:div>
    <w:div w:id="927226793">
      <w:bodyDiv w:val="1"/>
      <w:marLeft w:val="0"/>
      <w:marRight w:val="0"/>
      <w:marTop w:val="0"/>
      <w:marBottom w:val="0"/>
      <w:divBdr>
        <w:top w:val="none" w:sz="0" w:space="0" w:color="auto"/>
        <w:left w:val="none" w:sz="0" w:space="0" w:color="auto"/>
        <w:bottom w:val="none" w:sz="0" w:space="0" w:color="auto"/>
        <w:right w:val="none" w:sz="0" w:space="0" w:color="auto"/>
      </w:divBdr>
    </w:div>
    <w:div w:id="967785928">
      <w:bodyDiv w:val="1"/>
      <w:marLeft w:val="0"/>
      <w:marRight w:val="0"/>
      <w:marTop w:val="0"/>
      <w:marBottom w:val="0"/>
      <w:divBdr>
        <w:top w:val="none" w:sz="0" w:space="0" w:color="auto"/>
        <w:left w:val="none" w:sz="0" w:space="0" w:color="auto"/>
        <w:bottom w:val="none" w:sz="0" w:space="0" w:color="auto"/>
        <w:right w:val="none" w:sz="0" w:space="0" w:color="auto"/>
      </w:divBdr>
    </w:div>
    <w:div w:id="1063135408">
      <w:bodyDiv w:val="1"/>
      <w:marLeft w:val="0"/>
      <w:marRight w:val="0"/>
      <w:marTop w:val="0"/>
      <w:marBottom w:val="0"/>
      <w:divBdr>
        <w:top w:val="none" w:sz="0" w:space="0" w:color="auto"/>
        <w:left w:val="none" w:sz="0" w:space="0" w:color="auto"/>
        <w:bottom w:val="none" w:sz="0" w:space="0" w:color="auto"/>
        <w:right w:val="none" w:sz="0" w:space="0" w:color="auto"/>
      </w:divBdr>
    </w:div>
    <w:div w:id="1073237333">
      <w:bodyDiv w:val="1"/>
      <w:marLeft w:val="0"/>
      <w:marRight w:val="0"/>
      <w:marTop w:val="0"/>
      <w:marBottom w:val="0"/>
      <w:divBdr>
        <w:top w:val="none" w:sz="0" w:space="0" w:color="auto"/>
        <w:left w:val="none" w:sz="0" w:space="0" w:color="auto"/>
        <w:bottom w:val="none" w:sz="0" w:space="0" w:color="auto"/>
        <w:right w:val="none" w:sz="0" w:space="0" w:color="auto"/>
      </w:divBdr>
    </w:div>
    <w:div w:id="1176502869">
      <w:bodyDiv w:val="1"/>
      <w:marLeft w:val="0"/>
      <w:marRight w:val="0"/>
      <w:marTop w:val="0"/>
      <w:marBottom w:val="0"/>
      <w:divBdr>
        <w:top w:val="none" w:sz="0" w:space="0" w:color="auto"/>
        <w:left w:val="none" w:sz="0" w:space="0" w:color="auto"/>
        <w:bottom w:val="none" w:sz="0" w:space="0" w:color="auto"/>
        <w:right w:val="none" w:sz="0" w:space="0" w:color="auto"/>
      </w:divBdr>
    </w:div>
    <w:div w:id="1211841515">
      <w:bodyDiv w:val="1"/>
      <w:marLeft w:val="0"/>
      <w:marRight w:val="0"/>
      <w:marTop w:val="0"/>
      <w:marBottom w:val="0"/>
      <w:divBdr>
        <w:top w:val="none" w:sz="0" w:space="0" w:color="auto"/>
        <w:left w:val="none" w:sz="0" w:space="0" w:color="auto"/>
        <w:bottom w:val="none" w:sz="0" w:space="0" w:color="auto"/>
        <w:right w:val="none" w:sz="0" w:space="0" w:color="auto"/>
      </w:divBdr>
    </w:div>
    <w:div w:id="1224948318">
      <w:bodyDiv w:val="1"/>
      <w:marLeft w:val="0"/>
      <w:marRight w:val="0"/>
      <w:marTop w:val="0"/>
      <w:marBottom w:val="0"/>
      <w:divBdr>
        <w:top w:val="none" w:sz="0" w:space="0" w:color="auto"/>
        <w:left w:val="none" w:sz="0" w:space="0" w:color="auto"/>
        <w:bottom w:val="none" w:sz="0" w:space="0" w:color="auto"/>
        <w:right w:val="none" w:sz="0" w:space="0" w:color="auto"/>
      </w:divBdr>
    </w:div>
    <w:div w:id="1263758147">
      <w:bodyDiv w:val="1"/>
      <w:marLeft w:val="0"/>
      <w:marRight w:val="0"/>
      <w:marTop w:val="0"/>
      <w:marBottom w:val="0"/>
      <w:divBdr>
        <w:top w:val="none" w:sz="0" w:space="0" w:color="auto"/>
        <w:left w:val="none" w:sz="0" w:space="0" w:color="auto"/>
        <w:bottom w:val="none" w:sz="0" w:space="0" w:color="auto"/>
        <w:right w:val="none" w:sz="0" w:space="0" w:color="auto"/>
      </w:divBdr>
    </w:div>
    <w:div w:id="1278487507">
      <w:bodyDiv w:val="1"/>
      <w:marLeft w:val="0"/>
      <w:marRight w:val="0"/>
      <w:marTop w:val="0"/>
      <w:marBottom w:val="0"/>
      <w:divBdr>
        <w:top w:val="none" w:sz="0" w:space="0" w:color="auto"/>
        <w:left w:val="none" w:sz="0" w:space="0" w:color="auto"/>
        <w:bottom w:val="none" w:sz="0" w:space="0" w:color="auto"/>
        <w:right w:val="none" w:sz="0" w:space="0" w:color="auto"/>
      </w:divBdr>
    </w:div>
    <w:div w:id="1364986308">
      <w:bodyDiv w:val="1"/>
      <w:marLeft w:val="0"/>
      <w:marRight w:val="0"/>
      <w:marTop w:val="0"/>
      <w:marBottom w:val="0"/>
      <w:divBdr>
        <w:top w:val="none" w:sz="0" w:space="0" w:color="auto"/>
        <w:left w:val="none" w:sz="0" w:space="0" w:color="auto"/>
        <w:bottom w:val="none" w:sz="0" w:space="0" w:color="auto"/>
        <w:right w:val="none" w:sz="0" w:space="0" w:color="auto"/>
      </w:divBdr>
    </w:div>
    <w:div w:id="1659771327">
      <w:bodyDiv w:val="1"/>
      <w:marLeft w:val="0"/>
      <w:marRight w:val="0"/>
      <w:marTop w:val="0"/>
      <w:marBottom w:val="0"/>
      <w:divBdr>
        <w:top w:val="none" w:sz="0" w:space="0" w:color="auto"/>
        <w:left w:val="none" w:sz="0" w:space="0" w:color="auto"/>
        <w:bottom w:val="none" w:sz="0" w:space="0" w:color="auto"/>
        <w:right w:val="none" w:sz="0" w:space="0" w:color="auto"/>
      </w:divBdr>
    </w:div>
    <w:div w:id="1769278778">
      <w:bodyDiv w:val="1"/>
      <w:marLeft w:val="0"/>
      <w:marRight w:val="0"/>
      <w:marTop w:val="0"/>
      <w:marBottom w:val="0"/>
      <w:divBdr>
        <w:top w:val="none" w:sz="0" w:space="0" w:color="auto"/>
        <w:left w:val="none" w:sz="0" w:space="0" w:color="auto"/>
        <w:bottom w:val="none" w:sz="0" w:space="0" w:color="auto"/>
        <w:right w:val="none" w:sz="0" w:space="0" w:color="auto"/>
      </w:divBdr>
    </w:div>
    <w:div w:id="1834368979">
      <w:bodyDiv w:val="1"/>
      <w:marLeft w:val="0"/>
      <w:marRight w:val="0"/>
      <w:marTop w:val="0"/>
      <w:marBottom w:val="0"/>
      <w:divBdr>
        <w:top w:val="none" w:sz="0" w:space="0" w:color="auto"/>
        <w:left w:val="none" w:sz="0" w:space="0" w:color="auto"/>
        <w:bottom w:val="none" w:sz="0" w:space="0" w:color="auto"/>
        <w:right w:val="none" w:sz="0" w:space="0" w:color="auto"/>
      </w:divBdr>
    </w:div>
    <w:div w:id="1877159174">
      <w:bodyDiv w:val="1"/>
      <w:marLeft w:val="0"/>
      <w:marRight w:val="0"/>
      <w:marTop w:val="0"/>
      <w:marBottom w:val="0"/>
      <w:divBdr>
        <w:top w:val="none" w:sz="0" w:space="0" w:color="auto"/>
        <w:left w:val="none" w:sz="0" w:space="0" w:color="auto"/>
        <w:bottom w:val="none" w:sz="0" w:space="0" w:color="auto"/>
        <w:right w:val="none" w:sz="0" w:space="0" w:color="auto"/>
      </w:divBdr>
    </w:div>
    <w:div w:id="1932666777">
      <w:bodyDiv w:val="1"/>
      <w:marLeft w:val="0"/>
      <w:marRight w:val="0"/>
      <w:marTop w:val="0"/>
      <w:marBottom w:val="0"/>
      <w:divBdr>
        <w:top w:val="none" w:sz="0" w:space="0" w:color="auto"/>
        <w:left w:val="none" w:sz="0" w:space="0" w:color="auto"/>
        <w:bottom w:val="none" w:sz="0" w:space="0" w:color="auto"/>
        <w:right w:val="none" w:sz="0" w:space="0" w:color="auto"/>
      </w:divBdr>
    </w:div>
    <w:div w:id="1953244718">
      <w:bodyDiv w:val="1"/>
      <w:marLeft w:val="0"/>
      <w:marRight w:val="0"/>
      <w:marTop w:val="0"/>
      <w:marBottom w:val="0"/>
      <w:divBdr>
        <w:top w:val="none" w:sz="0" w:space="0" w:color="auto"/>
        <w:left w:val="none" w:sz="0" w:space="0" w:color="auto"/>
        <w:bottom w:val="none" w:sz="0" w:space="0" w:color="auto"/>
        <w:right w:val="none" w:sz="0" w:space="0" w:color="auto"/>
      </w:divBdr>
    </w:div>
    <w:div w:id="1982348719">
      <w:bodyDiv w:val="1"/>
      <w:marLeft w:val="0"/>
      <w:marRight w:val="0"/>
      <w:marTop w:val="0"/>
      <w:marBottom w:val="0"/>
      <w:divBdr>
        <w:top w:val="none" w:sz="0" w:space="0" w:color="auto"/>
        <w:left w:val="none" w:sz="0" w:space="0" w:color="auto"/>
        <w:bottom w:val="none" w:sz="0" w:space="0" w:color="auto"/>
        <w:right w:val="none" w:sz="0" w:space="0" w:color="auto"/>
      </w:divBdr>
    </w:div>
    <w:div w:id="2010205648">
      <w:bodyDiv w:val="1"/>
      <w:marLeft w:val="0"/>
      <w:marRight w:val="0"/>
      <w:marTop w:val="0"/>
      <w:marBottom w:val="0"/>
      <w:divBdr>
        <w:top w:val="none" w:sz="0" w:space="0" w:color="auto"/>
        <w:left w:val="none" w:sz="0" w:space="0" w:color="auto"/>
        <w:bottom w:val="none" w:sz="0" w:space="0" w:color="auto"/>
        <w:right w:val="none" w:sz="0" w:space="0" w:color="auto"/>
      </w:divBdr>
    </w:div>
    <w:div w:id="2064865190">
      <w:bodyDiv w:val="1"/>
      <w:marLeft w:val="0"/>
      <w:marRight w:val="0"/>
      <w:marTop w:val="0"/>
      <w:marBottom w:val="0"/>
      <w:divBdr>
        <w:top w:val="none" w:sz="0" w:space="0" w:color="auto"/>
        <w:left w:val="none" w:sz="0" w:space="0" w:color="auto"/>
        <w:bottom w:val="none" w:sz="0" w:space="0" w:color="auto"/>
        <w:right w:val="none" w:sz="0" w:space="0" w:color="auto"/>
      </w:divBdr>
    </w:div>
    <w:div w:id="2096826982">
      <w:bodyDiv w:val="1"/>
      <w:marLeft w:val="0"/>
      <w:marRight w:val="0"/>
      <w:marTop w:val="0"/>
      <w:marBottom w:val="0"/>
      <w:divBdr>
        <w:top w:val="none" w:sz="0" w:space="0" w:color="auto"/>
        <w:left w:val="none" w:sz="0" w:space="0" w:color="auto"/>
        <w:bottom w:val="none" w:sz="0" w:space="0" w:color="auto"/>
        <w:right w:val="none" w:sz="0" w:space="0" w:color="auto"/>
      </w:divBdr>
    </w:div>
    <w:div w:id="212475946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footer" Target="footer1.xml"/><Relationship Id="rId21" Type="http://schemas.openxmlformats.org/officeDocument/2006/relationships/footer" Target="footer2.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header" Target="head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81E4C8-520E-4F46-BADF-242EBD2FB3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14</Pages>
  <Words>4443</Words>
  <Characters>25330</Characters>
  <Application>Microsoft Macintosh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Varun</dc:creator>
  <cp:lastModifiedBy>Varun Gupta</cp:lastModifiedBy>
  <cp:revision>95</cp:revision>
  <dcterms:created xsi:type="dcterms:W3CDTF">2016-06-03T01:08:00Z</dcterms:created>
  <dcterms:modified xsi:type="dcterms:W3CDTF">2016-06-04T08:04:00Z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zotero-version="4.0.29.5"&gt;&lt;session id="ajcraENq"/&gt;&lt;style id="http://www.zotero.org/styles/chicago-note-bibliography" locale="en-US" hasBibliography="1" bibliographyStyleHasBeenSet="1"/&gt;&lt;prefs&gt;&lt;pref name="fieldType" value="Field"/&gt;&lt;p</vt:lpwstr>
  </property>
  <property fmtid="{D5CDD505-2E9C-101B-9397-08002B2CF9AE}" pid="3" name="ZOTERO_PREF_2">
    <vt:lpwstr>ref name="storeReferences" value="true"/&gt;&lt;pref name="automaticJournalAbbreviations" value="true"/&gt;&lt;pref name="noteType" value="1"/&gt;&lt;/prefs&gt;&lt;/data&gt;</vt:lpwstr>
  </property>
</Properties>
</file>