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Framework for Domain Assumption Detection in AI Coding Agent Governance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artificial intelligence coding agents introduces a critical vulnerability into modern software development: the silent codification of implicit domain assumptions. While these agents excel at syntactic generation, they frequently fail to recognize the latent architectural constraints, business logic boundaries, and environmental parameters that dictate real-world system resilience. The initial deployment of the Domain Assumption Detection engine successfully identified thirty-eight assumptions within a 2,100-line Python observation engine. However, the presence of noisy detections, generic templated queries, and missing architectural vulnerabilities—such as hardcoded database connections and missing retry logic—highlights the fundamental limitations of ad-hoc heuristic engineering.</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this engine from a brittle collection of regular expressions into a scalable, principled framework requires grounding the architecture in established empirical software engineering, specification mining, and human-computer interaction research. A robust system cannot rely on the manual anticipation of failure modes. Instead, it must systematically discover invariants, dynamically prioritize load-bearing code, curate bounded context-aware queries, and mathematically self-regulate to prevent rule decay. The following comprehensive analysis establishes the theoretical and practical foundation for building an adaptive assumption detection framework that structurally aligns with the cognitive workflows of human reviewers.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Systematic Assumption Discovery</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hand-crafted heuristic rules to a systematic engine for discovering domain assumptions requires leveraging the extensive literature on specification mining. The current approach of manually writing rules to identify isolated INSERT statements constitutes an unscalable paradigm that will inevitably fail to capture the full spectrum of architectural vulnerabilities. To build a robust system, the discovery process must be algorithmic, repeatable, and capable of distinguishing genuine architectural constraints from implementation noise.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specification mining literature provides foundational approaches for systematically discovering invariants and constraints. Ernst et al. (2001) introduced Daikon, a dynamic invariant detector that instruments source code to trace variables at runtime, testing these execution traces against a comprehensive catalog of invariant templates, such as scalar ranges, linear relationships, and non-zero checks.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Daikon systematically filters out noise by computing statistical confidence and eliminating invariants that are logically implied by others, utilizing a suppression optimization technique to handle polynomial scaling costs.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Daikon's reliance on dynamic execution and comprehensive test suites presents a fundamental limitation for the static governance of AI coding agents. If the project's test suite does not explicitly exercise the failure mode of an external API call or database connection drop, Daikon will not infer the assumption that "external services never fail." Dynamic invariant detection essentially documents the assumptions present within the test data, rather than the assumptions latent within the system architecture.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limitations of dynamic analysis, Li and Zhou (2005) developed PR-Miner, which utilizes frequent itemset mining—a form of association rule mining—to extract implicit programming rules statically.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PR-Miner parses source code into Abstract Syntax Trees and identifies functions, variables, and data types that frequently co-occur without requiring predefined rule templates or test executions.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applied to domain assumption detection, a PR-Miner-inspired approach provides a highly effective mechanism for catching incomplete implementations. For example, the system can statistically analyze the codebase to discover that message_start, content_block_delta, and message_delta are frequently checked together in streaming event handlers. A domain assumption is flagged when a new code path handles only a subset of this frequent itemset, systematically identifying the missing content_block_start or ping events without requiring a human engineer to manually encode a specific rule for the Anthropic API.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SpecForge methodology demonstrates how to synergize multiple specification miners to overcome the limitations of any single tool.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SpecForge decomposes inferred Finite State Automata into simple constraints through a process known as model fission, filters outlier constraints to reduce noise, and fuses the remaining constraints into a unified, high-precision model.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business assumption detection, this indicates that the framework should not rely exclusively on AST pattern matching. Instead, it should utilize an ensemble approach, combining static association rule mining with data-flow analysis, to extract overlapping constraints and filter out anomalous alerts before they reach the developer.</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Establishing this framework also requires an empirically validated taxonomy of assumptions rather than ad-hoc categorizations. Prechelt (2021) emphasizes that implicit and unstated assumptions in software engineering severely threaten system integrity, noting that the failure to document and verify architectural assumptions leads directly to architectural mismatch and system degradation.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Empirical studies on software bugs provide a robust basis for this taxonomy. Research utilizing the OSDEF taxonomy distinguishes between user false beliefs, structural logic bugs, and data bugs.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studies analyzing open-source machine learning and TypeScript systems highlight that "data bugs," "structural logic bugs," and "toolchain configurations" constitute the vast majority of severe issues, often stemming from incorrect assumptions about data formats, missing values, or API orchestration boundaries.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detection framework should align its rule categorization with these empirically proven fault origins. Data invariants encompass assumptions regarding payload completeness, nullability, and schema rigidity, directly mapping to the dictionary access issues identified in the observation engine. Architectural and environmental constraints encompass assumptions regarding infrastructure permanence, mapping to the hardcoded SQLite connections and HTTP ports. Finally, temporal and control flow rules govern assumptions regarding execution order, retry logic, and state transitions.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Assumption patterns can be statistically learned from large-scale open-source repositories rather than being explicitly hand-coded. Research demonstrates that source code syntax patterns can be utilized to detect bug-inducing commits via machine learning models.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training models on thousands of labeled buggy and non-buggy commits across diverse repositories, systems can learn the syntactic signatures of fragile assumptions.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For instance, a Deep Belief Network or a gradient-boosting algorithm can process AST features to mathematically determine that direct dictionary accesses without surrounding exception handling or default fallbacks highly correlate with future defect-resolution commits.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Mature static analysis platforms like Semgrep, SonarQube, and CodeQL do not generate rules arbitrarily; they utilize a rigorous, data-driven derivation methodology. The Semgrep rule writing methodology follows a specific, iterative lifecycle that begins with variant analysis—analyzing past vulnerabilities, bug bounty submissions, or internal post-mortems to identify the root cause.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Engineers then define concrete code examples of both the vulnerable and safe patterns, write initial AST-based rules, and iteratively refine them against real-world repositories to eliminate false positives using specific exclusion syntax.</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methodology translates directly to business assumption detection. Rather than waiting for a developer to invent a hypothetical failure mode, the system should ingest past bug reports, identify the implicit assumption that caused the incident, and translate that historical failure into an automated detection pattern.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 Association Rule Mining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Replaces manual enumeration of missing enum checks. By statically finding co-occurring AST nodes (PR-Miner), the system automatically detects incomplete event handlers.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Adopt Empirical Vulnerability Lifecycles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a formal process for adding rules based on variant analysis of past post-mortems (Semgrep methodology), preventing arbitrary rule bloat.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Align with OSDEF Bug Taxonomies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Re-categorize findings into Data Invariants, Architectural Constraints, and Temporal Rules to align the framework with empirical fault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Train ML Models on Bug-Inducing Commits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from static rule matching to predicting assumption fragility based on learned AST syntax patterns from large open-source datasets.</w:t>
            </w:r>
          </w:p>
        </w:tc>
      </w:tr>
    </w:tbl>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Detection Quality Without Ground Truth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a detection system that currently surfaces thirty-eight unverified assumptions poses a significant analytical challenge. Without ground-truth labels provided by human developers verifying whether an alert represents a genuine business risk or mere background noise, traditional supervised metrics like precision and recall cannot be computed. The system must employ unsupervised evaluation methodologies, optimize for empirically validated false positive rate thresholds, and establish an unbiased implicit feedback loop to iteratively improve detection quality.</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ground truth is unavailable, evaluation must rely on structural consistency, comparative benchmarking, and metamorphic relations. Zhong et al. (2026) introduced a ground-truth-free methodology for detecting semantic inconsistencies in static analysis frameworks by treating expected precision and soundness relationships as testable semantic contracts.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involves a form of metamorphic testing applied directly to the codebase. If the assumption detection engine flags a missing null check on a dictionary access, injecting a defensive retrieval method with a default fallback into the code should definitively silence the alert. If the alert persists despite the structural mitigation, the detection algorithm is mathematically unsound and the rule must be deprecated or refined.</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Round-Trip Correctness offers a mechanism for evaluating code-centric Large Language Models and analysis tools without human curation.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system can utilize a primary LLM to generate a natural language description of the detected assumption, prompt a secondary isolated LLM agent to synthesize code that either satisfies or violates that specific assumption, and finally verify if the static analysis engine correctly classifies the synthesized code.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creates a closed-loop, unsupervised evaluation pipeline that continuously benchmarks the detection logic against synthetic edge cases.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domain of unsupervised clustering and topic modeling, metrics such as internal cluster validity indices evaluate the cohesiveness and redundancy of unlabelled detections.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For assumption detection, if the system generates twenty separate alerts for direct dictionary access across four files, a high-quality detection engine should recognize the semantic similarity and cluster these into a single systemic assumption regarding defensive programming deficits. An unsupervised evaluation metric calculates the overlap between these alerts, penalizing the system for generating redundant, high-volume clusters. This mathematical penalty directly quantifies the "alert fatigue" factor without requiring a developer to explicitly label the twenty alerts as annoying.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research on developer engagement with static analysis tools provides definitive guidance regarding optimal false positive rates. Sadowski et al. (2018), in their comprehensive analysis of the Tricorder platform at Google, established that static analysis warnings are frequently ignored or suppressed due to the prevalence of false positives, leading to rapid and irreversible warning fatigue.</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Imtiaz et al. (2019) conducted an empirical study of Coverity usage across major open-source projects, finding that the actionable alert rate—the true positive rate where developers actually modified the code—typically ranges between 27.4% and 49.5%.</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indicates that developers are willing to tolerate a system where roughly half of the alerts are unactionable, provided the true positives carry significant value.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tolerance for false positives is highly context-dependent and heavily influenced by the severity of the potential failure. General code quality and stylistic checks require a highly stringent false positive rate, often targeting near-zero occurrences, because the annoyance of false positives rapidly outweighs the minimal benefit of catching minor deviations.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Conversely, security-critical vulnerabilities or architecture-breaking assumptions can tolerate an error rate of 10% to 20% because the financial and operational cost of missing a true positive is catastrophic.</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For the thirty-eight assumptions detected in the initial Python project, the twenty missing null checks must be evaluated under the stringent sub-5% threshold, whereas the single-source SQLite writes—which dictate architectural data flow and state management—can tolerate higher noise levels due to their systemic implications.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Mature platforms handle the false positive problem not by attempting to achieve perfect algorithmic soundness, but through extensive heuristic tuning and deep workflow integration. Semgrep explicitly promotes the use of exclusion syntax to continuously filter out known safe paradigms based on localized user feedback, acknowledging that what constitutes an assumption in one domain may be an explicit design choice in another.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SonarQube relies heavily on rule customization, context-aware analysis, and allowing teams to permanently suppress specific warnings at the project level, which the system then utilizes to globally tune rule severity algorithms.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Using developer responses—such as validation, rejection, or deferral—as implicit labels transforms the evaluation problem into a dynamic machine learning task. However, this feedback loop must be engineered carefully to avoid confirmation bias, where developers simply accept alerts to clear a dashboard or reject them because they lack the cognitive bandwidth to understand a complex architectural warning. To build this loop effectively, the system should monitor interaction depth and dwell time. If a developer expands the code context snippet for the "hardcoded port 8080" assumption and subsequently modifies the network configuration logic within the next few commits, the system must register a strong implicit true positive, even if the developer never explicitly interacted with the validation interface. This behavioral tracking provides a more accurate reflection of tool utility than explicit survey responses.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 Unsupervised Alert Clustering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Grouping redundant findings using internal cluster validity indices mathematically penalizes the system for inducing alert fatigue.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Define Tiered False Positive Thresholds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Tolerating higher noise for architectural assumptions while enforcing strict limits on localized implementation details aligns with Tricorder research.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Metamorphic Validation Pipeline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LLM-generated code mutations to test semantic consistency provides an automated mechanism to verify detection soundness without labels.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Dwell-Time Implicit Feedback Analysis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developer interaction duration and subsequent commit behavior prevents the confirmation bias inherent in explicit dashboard buttons.</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Assumption Prioritization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Treating all thirty-eight detected assumptions with equal urgency fundamentally undermines the utility of the governance system. The distinction between a localized implementation vulnerability, such as a missing null check, and a global architectural assumption, such as a single-path database write, requires a rigorous quantification framework. Prioritization must move beyond arbitrary severity labels and leverage defect prediction methodologies alongside architectural significance metrics to surface the most critical systemic vulnerabilities.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defect prediction literature relies heavily on process-centric and history-centric metrics to quantify code risk. Felder (2025) utilized a gradient boosting model across millions of commits from heterogeneous open-source projects, demonstrating that files exhibiting long lifespans, frequent edits, and widely scattered changes are statistically the most vulnerable to severe defects.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study identified that entropy-based indicators of how scattered changes are over time serve as profound predictors of fragility. To prioritize assumptions effectively, the detection engine must calculate these process metrics for the specific AST nodes containing the flagged code. An assumption located in a highly volatile file—one that exhibits high code churn and high entropy—is exponentially more dangerous than the exact same assumption residing in a dormant, rarely modified utility script. If the hardcoded SQLite connection resides in a module that undergoes weekly modifications by multiple authors, the likelihood of that implicit assumption being violated by an unaware contributor is severe.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Evaluating the load-bearing nature of code requires mapping the detected assumption to its overall architectural significance. Shahbazian and Medvidovic (2018) developed extensive frameworks to predict the architectural significance of implementation issues by analyzing issue repositories, code dependencies, and early design decisions.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Their research indicates that implementation flaws which impact core components or cross architectural boundaries degrade system quality rapidly and incur massive technical debt.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In software architecture, load-bearing code is typically identified through dependency graph analysis and centrality metrics.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assumption's priority score must heavily weight its degree centrality within the project's module dependency graph. For instance, the HTTP server binding to a hardcoded port operates at the system's external boundary. If fifteen internal modules depend on the initialization state of that server, the assumption regarding port availability holds immense architectural weight. Conversely, an assumption within a standalone string formatting function possesses low centrality and should be aggressively deprioritized to prevent dashboard noise.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prioritization of assumptions should rely on a composite scoring algorithm incorporating multiple weighted dimensions. The primary factor is code location and structural centrality, measured via in-degree and out-degree dependencies within the call graph. The secondary factor is change frequency, measured via version control history to identify high-churn risk zones. The third factor involves domain criticality, assessed via semantic analysis of namespace and module nomenclature; modules containing keywords related to authentication, payments, or database transactions receive an automatic domain risk multiplier. Finally, the prioritization engine must integrate test coverage metrics as a primary signal. Research into continuous testing and static analysis indicates that the absence of tests implies an assumption of perfect execution.</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If an AST node containing a potential assumption is executed during unit or mutation testing, the risk of silent failure is mitigated. However, if an identified assumption exists in a zero-coverage execution path, the system must flag it as a critical, unverified vulnerability.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assumption priority must operate dynamically rather than statically. The principle of Just-in-Time static analysis emphasizes delivering warnings contextualized to the developer's immediate cognitive focus, adapting the analysis to return results that intersect with the active working set.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If an AI agent or a human developer is actively modifying the Anthropic streaming event handler, the system should dynamically boost the priority of the incomplete status check assumption. Dynamic prioritization ensures that warnings are surfaced when the relevant architectural boundaries are already loaded into the developer's working memory, drastically reducing the cognitive overhead required to process and resolve the issue.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Graph-Based Centrality Scoring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Calculating in-degree dependencies identifies load-bearing code, aligning with Shahbazian and Medvidovic's architectural significance frameworks.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Version Control Churn Multipliers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Multiplying severity by file commit frequency targets volatile assumptions, directly leveraging Felder's defect prediction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Dynamic Contextual Surfacing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 the dashboard based on active branch modifications utilizes Just-in-Time analysis principles to intersect with working memory.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Coverage Risk Integration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Escalating assumptions in zero-coverage paths integrates continuous testing research, highlighting areas lacking automated verification.</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Question Quality and Developer Engagement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current reliance on template-based questions—such as prompting the developer to verify if a restricted database write matches business reality—fails because such queries lack semantic context and do not engage the developer's analytical reasoning. To generate questions that developers actively process and resolve, the system must integrate requirements elicitation research, optimize cognitive load through contextual presentation, and leverage large language models to generate highly specific, bounded inquiries.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in requirements elicitation and human-computer interaction demonstrates that open-ended questions induce high cognitive friction, whereas bounded multiple-choice constraints significantly improve response quality and information processing capacity.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When a developer is faced with a generic prompt requiring them to articulate a complex architectural reality from scratch, the cognitive demand often results in dismissal. To apply this to the governance agent, the assumption engine must abandon open-ended verification prompts and instead offer computationally derived, mutually exclusive resolutions.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these bounded options requires extracting specific constraints from the AST. For the assumption regarding a hardcoded network port, an LLM should synthesize bounded choices tailored to the exact variables in the code. The system might present three options: confirming the port is an immutable infrastructure constraint, suggesting the port should be dynamically configurable via an injected environment variable, or proposing the port be assigned dynamically by the host operating system at runtime. This forces a concrete architectural decision rather than a vague acknowledgment.</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Contextual presentation is paramount for managing cognitive load. Human-computer interaction research on developer tools highlights the critical importance of cognitive value, defined as the ratio of insight gained to the mental effort expended.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Electroencephalography studies measuring programmer cognitive load during code comprehension tasks reveal that forcing a developer to navigate away from an alert to find the relevant code context causes a massive surge in perceived complexity and mental effort.</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Presenting an assumption without immediate code context forces an expensive mental context switch that frequently leads to alert abandonment.</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optimal presentation must display the exact line where the assumption occurs, highlighted within a concise snippet of the call graph or data flow, accompanied by a single-sentence explanation of the potential failure mode. However, dumping the entire file into the user interface induces cognitive overload; the presentation must be surgically localized.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Furthermore, assumptions should be grouped thematically. Presenting twenty isolated null-check warnings sequentially guarantees alert fatigue. Grouping them under a single architectural theme regarding defensive data access allows the developer to make a sweeping policy decision rather than performing repetitive triaging.</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timing of the intervention dictates the success of developer engagement. Sadowski et al. emphasize that the Google Tricorder platform achieves high adoption and engagement specifically because it integrates directly into the code review workflow, presenting warnings and questions before the code is merged into the primary branch.</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Asking questions asynchronously in a separate dashboard guarantees low engagement, as the developer's mental context has already shifted to subsequent tasks.</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language models excel at generating these contextual inquiries when integrated properly. The implementation of Plan Mode in the Gemini command-line interface utilizes an ask_user tool, which explicitly pauses automated reasoning to ask targeted, architectural questions rather than making blind assumptions about developer intent.</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By using an LLM to read the detected AST pattern and generate a specific, localized question—such as inquiring if a hardcoded SQLite connection indicates a permanent architectural choice or a temporary prototype—the system mimics the behavior of a senior peer reviewer rather than a rigid, generic linter.</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Thematic Assumptions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Consolidating related implementation details reduces mental overhead and fatigue, optimizing the cognitive value of the alert.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LLM-Generated Bounded Choices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Replacing generic templates with extracted variable names and concrete multiple-choice resolutions aligns with requirements elicitation constraints.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Integrate at Code Review (PRs)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Injecting questions during the Pull Request phase capitalizes on active context, mirroring the successful integration strategy of Google Tricorder.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Provide Localized Code Snippets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Pairing the question with a precise execution path snippet minimizes the cognitive load of context-switching measured in EEG studies.</w:t>
            </w:r>
          </w:p>
        </w:tc>
      </w:tr>
    </w:tbl>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Preventing Detection System Rot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governance system accumulates detection patterns, the risk of system rot—characterized by redundant, stale, or perpetually ignored rules—increases exponentially. A static, unmanaged rule database will inevitably degrade the overall signal-to-noise ratio over time, resulting in an architecture that alienates its users. To prevent the framework from deteriorating into a pile of unmaintained heuristics, the system must implement systematic rule hygiene, rigorous lifecycle management, and statistical auto-deprecation mechanisms.</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Mature static analysis platforms manage their rule databases by treating detection logic as living code artifacts subject to continuous evaluation. The Semgrep methodology dictates that rules undergo a formal lifecycle, moving from exploratory brainstorming, to isolated testing on single repositories, to eventual continuous integration blocking.</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 crucial component of this lifecycle is the reliance on data-driven rule improvements, where quantitative metrics are collected regarding how often a rule fires, the perceived signal quality reported by developers, and the frequency with which the underlying code is actually remediated.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rule hygiene requires a systemic process for identifying when the underlying architectural constraints of the analyzed frameworks shift.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In software engineering research, the concept of design pattern decay, or software grime, occurs when the original intent of an architectural pattern is obfuscated by subsequent evolution and ad-hoc modifications.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Similarly, static analysis rules decay when the frameworks they analyze introduce new paradigms or deprecate old ones. Therefore, every assumption detection pattern must be strictly versioned and tagged with metadata regarding its origin, intended framework, and the date of its last significant validation.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return on investment for an individual detection rule must be quantified mathematically to justify its continued execution. A rule's utility is a function of its true positive validation rate divided by its execution cost and the cognitive friction it imposes on the team. If a specific assumption rule triggers two hundred times but is validated only three times, while being rejected one hundred and fifty times and deferred forty-seven times, its effective precision is catastrophically low. Under the strict false positive thresholds established by empirical studies on developer tools, retaining a rule with a 1.5% precision rate actively harms the governance system's credibility and induces widespread alert fatigue.</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combat this decay, the system should implement mandatory re-evaluation periods and automated statistical retirement protocols. Rules lacking a critical security or architecture-breaking designation should carry a time-to-live parameter. If a rule has not successfully caught a validated assumption within a specified period—such as six months—it must be flagged for human review or automatic deprecation.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an automated statistical auto-disable mechanism should continuously calculate the rejection ratio of every active rule. If the lower bound of the confidence interval for a rule's rejection rate exceeds a defined severity threshold over a minimum sample size, the system automatically transitions the rule from active enforcement to shadow mode. In shadow mode, the rule continues to execute and log its findings internally against new commits, but it ceases to surface questions to the developer dashboard or pull request interface. This preserves the user interface's signal-to-noise ratio while allowing engineers to analyze the shadow logs to determine if the rule requires refactoring or permanent deletion.</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Calculate Rule ROI Metrics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the Validate/Reject/Defer ratios for every pattern identifies the primary sources of system noise and alert fatigue.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Implement Statistical Auto-Disable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Automatically silencing rules that exceed rejection thresholds prevents poorly designed patterns from permanently degrading developer trust.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Rule "Shadow Mode" Execution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Allowing decaying rules to run silently in the background gathers statistical firing data without interrupting the active developer workflow.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Establish Mandatory Rule Expiry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Forcing a periodic review of stagnant rules ensures the detection engine remains aligned with modern framework practices and mitigates software grime.</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Advanced Detection Techniques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beyond rigid Tree-sitter pattern matching requires leveraging advanced techniques that understand semantic meaning, historical project context, and relative codebase anomalies. Advanced detection must synthesize embedding similarity, differential analysis across ecosystems, and historical commit behavior to identify implicit assumptions that lack strict, easily parsable syntactic templates.</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Abstract Syntax Tree matching relies on rigid structural syntax, embedding similarity can detect semantic assumptions regardless of variable naming conventions or specific library implementations. By generating dense vector embeddings of a known assumption vulnerability—such as an un-retried HTTP call—and comparing it against embeddings of new code changes using nearest-neighbor search, the system can identify structural vulnerabilities that deviate slightly from handwritten templates. Recent advancements in neural methods for programming tasks demonstrate that large language models trained specifically on code excel at capturing these hierarchical and semantic patterns directly from raw code, outperforming traditional statistical methods in tasks like clone detection and vulnerability classification.</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approach is highly effective at catching assumptions where the underlying logic is flawed, even if the surface syntax is entirely novel.</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Differential analysis offers a highly potent alternative for discovering unstated assumptions. By comparing the current project against a baseline of similar open-source projects, the system can detect missing expected behaviors that indicate a naive assumption. If a statistical analysis of a thousand open-source Python web applications reveals that a vast majority wrap external API requests in retry logic, exponential backoff algorithms, or circuit breakers, the total absence of such logic in the target codebase constitutes a profound architectural anomaly.</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This comparative technique flags the assumption that external services are universally reliable not because a predefined template matched, but because the code statistically deviates from the global norm of robust engineering practices for that specific domain.</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version control history of a codebase serves as a rich, localized repository of past assumptions, failures, and architectural corrections. Machine learning models can utilize source code syntax patterns extracted directly from a project's Git history to identify bug-inducing commits.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If a developer previously submitted a patch to fix a production incident caused by missing null checks or an unhandled streaming API status, the AST signature of that past failure should be automatically extracted and codified. Future code changes exhibiting similar syntactic signatures are statistically highly likely to contain the exact same assumption flaws.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By turning the project's own history into a dynamic rule generator, the detection engine adapts to the specific blind spots of the development team.</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Finally, integrating runtime data and production metrics provides the ultimate mechanism to retroactively validate or invalidate detected assumptions. While static analysis operates in a vacuum, runtime error rates, incident reports, and production logs offer empirical evidence of assumption failures. If an assumption detection rule flags a missing database retry mechanism, and production logs simultaneously show a spike in transient connection timeouts, the runtime data definitively validates the static assumption. Conversely, if a rule flags a potential null reference, but execution traces prove that the upstream architecture guarantees the object's instantiation, the runtime data invalidates the assumption, allowing the system to automatically tune its detection confidence and prevent future false positives.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Historical Bug Signature Matching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AST patterns from a project's own past bug-fix commits detects recurring developer blind spots and custom domain assumptions.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Differential Analysis Baseline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Comparing target code against open-source norms flags missing architectural defenses without writing explicit AST templates.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Vector Embedding Similarity Search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Utilizing Code LLM embeddings to find semantic neighbors of known assumptions bypasses the rigidity of exact syntax queries.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Runtime Data Integration Loop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Fusing static detections with production error logs allows the system to retroactively validate assumptions with empirical execution data.</w:t>
            </w:r>
          </w:p>
        </w:tc>
      </w:tr>
    </w:tbl>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Benchmark and Evaluation</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prove that the assumption detection system is systematically improving rather than merely accumulating unmaintainable heuristics, rigorous benchmarking and continuous evaluation metrics must be established. Without a robust methodology for measuring success, it is impossible to determine whether algorithmic modifications or new rule deployments enhance the system's utility or exacerbate developer fatigue.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Constructing a ground-truth dataset is the foundational step for offline evaluation. Existing software engineering defect datasets, such as Defects4J or BugsInPy, primarily focus on logic errors, runtime crashes, and explicit syntax bugs, failing to explicitly categorize domain assumptions or architectural constraints.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Consequently, a custom ground-truth dataset tailored to assumption failures must be constructed. The methodology for building this dataset involves mining issue trackers and commit logs across high-quality open-source repositories for specific linguistic indicators—such as "assumed," "hardcoded," "unhandled case," or "unexpected state".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Human annotators must manually review and label a sample of these commits to verify that the remediation explicitly addressed a domain assumption. Curating a dataset of several hundred accurately labeled assumption-violation commits enables the rigorous offline calculation of baseline precision and recall for new detection algorithms.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precision and recall are necessary but insufficient metrics for evaluating the effectiveness of developer-facing tools. The system must track user-centric metrics that quantify the workflow impact and the value delivered to the engineering team. The Time to First Valuable Assumption metric measures the duration from when a newly onboarded project is initially scanned to the moment the system surfaces an alert that a developer explicitly validates and acts upon. A shorter duration correlates directly with long-term tool retention and perceived utility.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Cognitive Value per Assumption metric provides a qualitative assessment of the system's output. This composite metric tracks the ratio of validated complex architectural assumptions—such as identifying single-source database writes—versus validated trivial implementation alerts. High scores on this metric indicate that the detection engine is successfully surfacing deep, systemic insights that alter the developer's understanding of the architecture, rather than merely functioning as a basic syntax linter.</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Additionally, tracking the Resolution Lifespan—the duration between the system flagging an assumption and the developer altering the underlying code—measures practical urgency.</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If assumptions are routinely validated in the dashboard but remain unresolved in the codebase for months, the detections lack the critical severity required to prompt immediate architectural refactoring.</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definitively measure whether the assumption detection framework improves overall software quality and reduces production incidents, the system must deploy rigorous A/B testing methodologies within large engineering organizations. In an enterprise environment, developers are randomly divided into control and treatment cohorts. The treatment group receives assumption detection prompts, architectural inquiries, and contextual warnings during code review, while the control group experiences the standard development workflow without interference. The primary endpoint for this evaluation is the reduction in defect density—measured as bugs per thousand lines of code—over a prolonged observation period in the modules modified by the respective cohorts. Because bug injection rates are highly variable and influenced by numerous external factors, achieving statistical significance requires a substantial sample size, typically involving dozens of active developers across multiple repositories generating thousands of commits. Until that organizational scale is reached, surrogate endpoints such as the validation-to-rejection ratio and the resolution lifespan remain the most reliable proxies for measuring the system's evolving utility.</w:t>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Recommendation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Effort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Methodological Grounding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Track TTFVA &amp; Resolution Lifespan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Establishing baseline product-market fit metrics ensures the engine provides immediate, actionable value to newly onboarded projects.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Construct Domain Assumption Dataset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Manually curating open-source commits that fixed assumption failures enables the rigorous offline calculation of precision and recall algorithms.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Measure Cognitive Value Ratios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 this now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the validation rates of architectural constraints versus trivial syntax issues proves the system's deep analytical capabilities.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Cohort A/B Defect Testing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1,000 users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Demonstrating a statistically significant reduction in post-merge defects for developers exposed to the engine proves enterprise return on investment.</w:t>
            </w:r>
          </w:p>
        </w:tc>
      </w:tr>
    </w:tbl>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a Domain Assumption Detection system from a brittle collection of ad-hoc regular expressions into a scalable, principled framework requires treating code analysis not merely as a parsing problem, but as a complex challenge in empirical software engineering and human-computer interaction. By implementing systematic discovery through association rule mining, the framework moves beyond the limitations of manual foresight. Enforcing strict false positive thresholds and clustering redundant findings mathematically mitigates alert fatigue, while computing structural centrality ensures that load-bearing architectural vulnerabilities are prioritized over trivial implementation flaws. Furthermore, utilizing large language models to present bounded, contextual choices directly within the code review workflow drastically reduces cognitive friction, transforming the system from a noisy linter into an active participant in the design process. Ultimately, the system's long-term viability relies on establishing unbiased implicit feedback loops and statistical auto-deprecation mechanisms that continuously prune decaying rules, ensuring the detection engine evolves synchronously with the codebase it protects.</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Daikon: Dynamic Discovery of Likely Invariants - Welcome to Electrical and Computer Engineering (ECE) at the University of Waterloo, accessed April 12, 2026, </w:t>
      </w:r>
      <w:hyperlink r:id="rId6">
        <w:r w:rsidDel="00000000" w:rsidR="00000000" w:rsidRPr="00000000">
          <w:rPr>
            <w:rFonts w:ascii="Google Sans" w:cs="Google Sans" w:eastAsia="Google Sans" w:hAnsi="Google Sans"/>
            <w:color w:val="0000ee"/>
            <w:sz w:val="24"/>
            <w:szCs w:val="24"/>
            <w:u w:val="single"/>
            <w:rtl w:val="0"/>
          </w:rPr>
          <w:t xml:space="preserve">https://ece.uwaterloo.ca/~agurfink/stqam.w19/assets/pdf/W12-Daikon.pdf</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Daikon system for dynamic detection of likely invariants - Experts@Minnesota, accessed April 12, 2026, </w:t>
      </w:r>
      <w:hyperlink r:id="rId7">
        <w:r w:rsidDel="00000000" w:rsidR="00000000" w:rsidRPr="00000000">
          <w:rPr>
            <w:rFonts w:ascii="Google Sans" w:cs="Google Sans" w:eastAsia="Google Sans" w:hAnsi="Google Sans"/>
            <w:color w:val="0000ee"/>
            <w:sz w:val="24"/>
            <w:szCs w:val="24"/>
            <w:u w:val="single"/>
            <w:rtl w:val="0"/>
          </w:rPr>
          <w:t xml:space="preserve">https://experts.umn.edu/en/publications/the-daikon-system-for-dynamic-detection-of-likely-invariants/</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 Analysis – Lecture 15 Specification Mining - Software Lab, accessed April 12, 2026, </w:t>
      </w:r>
      <w:hyperlink r:id="rId8">
        <w:r w:rsidDel="00000000" w:rsidR="00000000" w:rsidRPr="00000000">
          <w:rPr>
            <w:rFonts w:ascii="Google Sans" w:cs="Google Sans" w:eastAsia="Google Sans" w:hAnsi="Google Sans"/>
            <w:color w:val="0000ee"/>
            <w:sz w:val="24"/>
            <w:szCs w:val="24"/>
            <w:u w:val="single"/>
            <w:rtl w:val="0"/>
          </w:rPr>
          <w:t xml:space="preserve">https://software-lab.org/teaching/winter2019/pa/lecture_specification_mining.pdf</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Performance enhancements for a dynamic invariant detector - DSpace@MIT, accessed April 12, 2026, </w:t>
      </w:r>
      <w:hyperlink r:id="rId9">
        <w:r w:rsidDel="00000000" w:rsidR="00000000" w:rsidRPr="00000000">
          <w:rPr>
            <w:rFonts w:ascii="Google Sans" w:cs="Google Sans" w:eastAsia="Google Sans" w:hAnsi="Google Sans"/>
            <w:color w:val="0000ee"/>
            <w:sz w:val="24"/>
            <w:szCs w:val="24"/>
            <w:u w:val="single"/>
            <w:rtl w:val="0"/>
          </w:rPr>
          <w:t xml:space="preserve">https://dspace.mit.edu/handle/1721.1/42127</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PR-Miner: Automatically Extracting Implicit Programming Rules and Detecting Violations in Large Software Code - CS@Purdue, accessed April 12, 2026, </w:t>
      </w:r>
      <w:hyperlink r:id="rId10">
        <w:r w:rsidDel="00000000" w:rsidR="00000000" w:rsidRPr="00000000">
          <w:rPr>
            <w:rFonts w:ascii="Google Sans" w:cs="Google Sans" w:eastAsia="Google Sans" w:hAnsi="Google Sans"/>
            <w:color w:val="0000ee"/>
            <w:sz w:val="24"/>
            <w:szCs w:val="24"/>
            <w:u w:val="single"/>
            <w:rtl w:val="0"/>
          </w:rPr>
          <w:t xml:space="preserve">https://www.cs.purdue.edu/homes/xyzhang/fall07/Papers/PRMiner.pdf</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 PR-Miner: Automatically extracting implicit programming rules and detecting violations in large software codes - ResearchGate, accessed April 12, 2026,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https://www.researchgate.net/publication/221560535_Y_PR-Miner_Automatically_extracting_implicit_programming_rules_and_detecting_violations_in_large_software_codes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Framework Usage Changes from Instantiation Code - Software Analysis and Compilation Research Lab, accessed April 12, 2026, </w:t>
      </w:r>
      <w:hyperlink r:id="rId12">
        <w:r w:rsidDel="00000000" w:rsidR="00000000" w:rsidRPr="00000000">
          <w:rPr>
            <w:rFonts w:ascii="Google Sans" w:cs="Google Sans" w:eastAsia="Google Sans" w:hAnsi="Google Sans"/>
            <w:color w:val="0000ee"/>
            <w:sz w:val="24"/>
            <w:szCs w:val="24"/>
            <w:u w:val="single"/>
            <w:rtl w:val="0"/>
          </w:rPr>
          <w:t xml:space="preserve">https://hiper.cis.udel.edu/lp/lib/exe/fetch.php/courses/icse08-schafer-frameworkchangesmining.pdf</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Synergizing Specification Miners through Model Fissions and Fusions - UBC Computer Science, accessed April 12, 2026, </w:t>
      </w:r>
      <w:hyperlink r:id="rId13">
        <w:r w:rsidDel="00000000" w:rsidR="00000000" w:rsidRPr="00000000">
          <w:rPr>
            <w:rFonts w:ascii="Google Sans" w:cs="Google Sans" w:eastAsia="Google Sans" w:hAnsi="Google Sans"/>
            <w:color w:val="0000ee"/>
            <w:sz w:val="24"/>
            <w:szCs w:val="24"/>
            <w:u w:val="single"/>
            <w:rtl w:val="0"/>
          </w:rPr>
          <w:t xml:space="preserve">https://www.cs.ubc.ca/~bestchai/papers/ase15-specforge.pdf</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Implicit Assumptions Underlying Software Engineering Research - Freie Universität Berlin, accessed April 12, 2026, </w:t>
      </w:r>
      <w:hyperlink r:id="rId14">
        <w:r w:rsidDel="00000000" w:rsidR="00000000" w:rsidRPr="00000000">
          <w:rPr>
            <w:rFonts w:ascii="Google Sans" w:cs="Google Sans" w:eastAsia="Google Sans" w:hAnsi="Google Sans"/>
            <w:color w:val="0000ee"/>
            <w:sz w:val="24"/>
            <w:szCs w:val="24"/>
            <w:u w:val="single"/>
            <w:rtl w:val="0"/>
          </w:rPr>
          <w:t xml:space="preserve">https://www.inf.fu-berlin.de/inst/ag-se/pubs/Prechelt21-assump.pdf</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Groningen A survey on software architectural assumptions Yang, Chen; Liang, Peng; Avgeriou, Paris, accessed April 12, 2026, </w:t>
      </w:r>
      <w:hyperlink r:id="rId15">
        <w:r w:rsidDel="00000000" w:rsidR="00000000" w:rsidRPr="00000000">
          <w:rPr>
            <w:rFonts w:ascii="Google Sans" w:cs="Google Sans" w:eastAsia="Google Sans" w:hAnsi="Google Sans"/>
            <w:color w:val="0000ee"/>
            <w:sz w:val="24"/>
            <w:szCs w:val="24"/>
            <w:u w:val="single"/>
            <w:rtl w:val="0"/>
          </w:rPr>
          <w:t xml:space="preserve">https://pure.rug.nl/ws/files/65925339/1_s2.0_S0164121215002824_main.pdf</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- 2 Taxonomy of Bugs | PDF | Software Bug | Control Flow - Scribd, accessed April 12, 2026, </w:t>
      </w:r>
      <w:hyperlink r:id="rId16">
        <w:r w:rsidDel="00000000" w:rsidR="00000000" w:rsidRPr="00000000">
          <w:rPr>
            <w:rFonts w:ascii="Google Sans" w:cs="Google Sans" w:eastAsia="Google Sans" w:hAnsi="Google Sans"/>
            <w:color w:val="0000ee"/>
            <w:sz w:val="24"/>
            <w:szCs w:val="24"/>
            <w:u w:val="single"/>
            <w:rtl w:val="0"/>
          </w:rPr>
          <w:t xml:space="preserve">https://www.scribd.com/document/517206604/CHAPTER-2-TAXONOMY-OF-BUGS</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an Ontology of Software Defects, Errors and Failures - UFES, accessed April 12, 2026, </w:t>
      </w:r>
      <w:hyperlink r:id="rId17">
        <w:r w:rsidDel="00000000" w:rsidR="00000000" w:rsidRPr="00000000">
          <w:rPr>
            <w:rFonts w:ascii="Google Sans" w:cs="Google Sans" w:eastAsia="Google Sans" w:hAnsi="Google Sans"/>
            <w:color w:val="0000ee"/>
            <w:sz w:val="24"/>
            <w:szCs w:val="24"/>
            <w:u w:val="single"/>
            <w:rtl w:val="0"/>
          </w:rPr>
          <w:t xml:space="preserve">https://www.inf.ufes.br/~gguizzardi/ER2018-SoftwareAnomaly.pdf</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Study on Deep Learning Bug Characteristics, accessed April 12, 2026, </w:t>
      </w:r>
      <w:hyperlink r:id="rId18">
        <w:r w:rsidDel="00000000" w:rsidR="00000000" w:rsidRPr="00000000">
          <w:rPr>
            <w:rFonts w:ascii="Google Sans" w:cs="Google Sans" w:eastAsia="Google Sans" w:hAnsi="Google Sans"/>
            <w:color w:val="0000ee"/>
            <w:sz w:val="24"/>
            <w:szCs w:val="24"/>
            <w:u w:val="single"/>
            <w:rtl w:val="0"/>
          </w:rPr>
          <w:t xml:space="preserve">https://dr.lib.iastate.edu/server/api/core/bitstreams/b0793072-a355-4c0b-b61b-7e4a9a49e75c/content</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Logic to Toolchains: An Empirical Study of Bugs in the TypeScript Ecosystem - arXiv, accessed April 12, 2026, </w:t>
      </w:r>
      <w:hyperlink r:id="rId19">
        <w:r w:rsidDel="00000000" w:rsidR="00000000" w:rsidRPr="00000000">
          <w:rPr>
            <w:rFonts w:ascii="Google Sans" w:cs="Google Sans" w:eastAsia="Google Sans" w:hAnsi="Google Sans"/>
            <w:color w:val="0000ee"/>
            <w:sz w:val="24"/>
            <w:szCs w:val="24"/>
            <w:u w:val="single"/>
            <w:rtl w:val="0"/>
          </w:rPr>
          <w:t xml:space="preserve">https://www.arxiv.org/pdf/2601.21186</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[2212.03399] Utilizing Source Code Syntax Patterns to Detect Bug Inducing Commits using Machine Learning Models - arXiv, accessed April 12, 2026, </w:t>
      </w:r>
      <w:hyperlink r:id="rId20">
        <w:r w:rsidDel="00000000" w:rsidR="00000000" w:rsidRPr="00000000">
          <w:rPr>
            <w:rFonts w:ascii="Google Sans" w:cs="Google Sans" w:eastAsia="Google Sans" w:hAnsi="Google Sans"/>
            <w:color w:val="0000ee"/>
            <w:sz w:val="24"/>
            <w:szCs w:val="24"/>
            <w:u w:val="single"/>
            <w:rtl w:val="0"/>
          </w:rPr>
          <w:t xml:space="preserve">https://arxiv.org/abs/2212.03399</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Utilizing Source Code Syntax Patterns to Detect Bug Inducing Commits using Machine Learning Models - ResearchGate, accessed April 12, 2026, </w:t>
      </w:r>
      <w:hyperlink r:id="rId21">
        <w:r w:rsidDel="00000000" w:rsidR="00000000" w:rsidRPr="00000000">
          <w:rPr>
            <w:rFonts w:ascii="Google Sans" w:cs="Google Sans" w:eastAsia="Google Sans" w:hAnsi="Google Sans"/>
            <w:color w:val="0000ee"/>
            <w:sz w:val="24"/>
            <w:szCs w:val="24"/>
            <w:u w:val="single"/>
            <w:rtl w:val="0"/>
          </w:rPr>
          <w:t xml:space="preserve">https://www.researchgate.net/publication/366092747_Utilizing_Source_Code_Syntax_Patterns_to_Detect_Bug_Inducing_Commits_using_Machine_Learning_Models</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Predicting Bugs in Source Code - reposiTUm, accessed April 12, 2026, </w:t>
      </w:r>
      <w:hyperlink r:id="rId22">
        <w:r w:rsidDel="00000000" w:rsidR="00000000" w:rsidRPr="00000000">
          <w:rPr>
            <w:rFonts w:ascii="Google Sans" w:cs="Google Sans" w:eastAsia="Google Sans" w:hAnsi="Google Sans"/>
            <w:color w:val="0000ee"/>
            <w:sz w:val="24"/>
            <w:szCs w:val="24"/>
            <w:u w:val="single"/>
            <w:rtl w:val="0"/>
          </w:rPr>
          <w:t xml:space="preserve">https://repositum.tuwien.at/bitstream/20.500.12708/213269/1/Felder%20Jodok%20-%202025%20-%20Predicting%20Bugs%20in%20Source%20Code%20A%20Machine%20Learning%20Approach...pdf</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Boost-Classifier-Driven Fault Prediction Across Heterogeneous Open-Source Repositories, accessed April 12, 2026, </w:t>
      </w:r>
      <w:hyperlink r:id="rId23">
        <w:r w:rsidDel="00000000" w:rsidR="00000000" w:rsidRPr="00000000">
          <w:rPr>
            <w:rFonts w:ascii="Google Sans" w:cs="Google Sans" w:eastAsia="Google Sans" w:hAnsi="Google Sans"/>
            <w:color w:val="0000ee"/>
            <w:sz w:val="24"/>
            <w:szCs w:val="24"/>
            <w:u w:val="single"/>
            <w:rtl w:val="0"/>
          </w:rPr>
          <w:t xml:space="preserve">https://www.mdpi.com/2504-2289/9/7/174</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Writing Semgrep rules | Semgrep, accessed April 12, 2026, </w:t>
      </w:r>
      <w:hyperlink r:id="rId24">
        <w:r w:rsidDel="00000000" w:rsidR="00000000" w:rsidRPr="00000000">
          <w:rPr>
            <w:rFonts w:ascii="Google Sans" w:cs="Google Sans" w:eastAsia="Google Sans" w:hAnsi="Google Sans"/>
            <w:color w:val="0000ee"/>
            <w:sz w:val="24"/>
            <w:szCs w:val="24"/>
            <w:u w:val="single"/>
            <w:rtl w:val="0"/>
          </w:rPr>
          <w:t xml:space="preserve">https://semgrep.dev/blog/2020/writing-semgrep-rules-a-methodology/</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Semgrep vs CodeQL (2026): Technical Comparison for Security Teams | Konvu, accessed April 12, 2026, </w:t>
      </w:r>
      <w:hyperlink r:id="rId25">
        <w:r w:rsidDel="00000000" w:rsidR="00000000" w:rsidRPr="00000000">
          <w:rPr>
            <w:rFonts w:ascii="Google Sans" w:cs="Google Sans" w:eastAsia="Google Sans" w:hAnsi="Google Sans"/>
            <w:color w:val="0000ee"/>
            <w:sz w:val="24"/>
            <w:szCs w:val="24"/>
            <w:u w:val="single"/>
            <w:rtl w:val="0"/>
          </w:rPr>
          <w:t xml:space="preserve">https://konvu.com/compare/semgrep-vs-codeql</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[2604.00885] Detecting Call Graph Unsoundness without Ground Truth - arXiv, accessed April 12, 2026, </w:t>
      </w:r>
      <w:hyperlink r:id="rId26">
        <w:r w:rsidDel="00000000" w:rsidR="00000000" w:rsidRPr="00000000">
          <w:rPr>
            <w:rFonts w:ascii="Google Sans" w:cs="Google Sans" w:eastAsia="Google Sans" w:hAnsi="Google Sans"/>
            <w:color w:val="0000ee"/>
            <w:sz w:val="24"/>
            <w:szCs w:val="24"/>
            <w:u w:val="single"/>
            <w:rtl w:val="0"/>
          </w:rPr>
          <w:t xml:space="preserve">https://arxiv.org/abs/2604.00885</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Call Graph Unsoundness without Ground Truth - arXiv, accessed April 12, 2026, </w:t>
      </w:r>
      <w:hyperlink r:id="rId27">
        <w:r w:rsidDel="00000000" w:rsidR="00000000" w:rsidRPr="00000000">
          <w:rPr>
            <w:rFonts w:ascii="Google Sans" w:cs="Google Sans" w:eastAsia="Google Sans" w:hAnsi="Google Sans"/>
            <w:color w:val="0000ee"/>
            <w:sz w:val="24"/>
            <w:szCs w:val="24"/>
            <w:u w:val="single"/>
            <w:rtl w:val="0"/>
          </w:rPr>
          <w:t xml:space="preserve">https://arxiv.org/html/2604.00885v1</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Unsupervised Evaluation of Code LLMs with Round-Trip Correctness - arXiv, accessed April 12, 2026, </w:t>
      </w:r>
      <w:hyperlink r:id="rId28">
        <w:r w:rsidDel="00000000" w:rsidR="00000000" w:rsidRPr="00000000">
          <w:rPr>
            <w:rFonts w:ascii="Google Sans" w:cs="Google Sans" w:eastAsia="Google Sans" w:hAnsi="Google Sans"/>
            <w:color w:val="0000ee"/>
            <w:sz w:val="24"/>
            <w:szCs w:val="24"/>
            <w:u w:val="single"/>
            <w:rtl w:val="0"/>
          </w:rPr>
          <w:t xml:space="preserve">https://arxiv.org/html/2402.08699v1</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performance when ground truth is not available - Cross Validated, accessed April 12, 2026, </w:t>
      </w:r>
      <w:hyperlink r:id="rId29">
        <w:r w:rsidDel="00000000" w:rsidR="00000000" w:rsidRPr="00000000">
          <w:rPr>
            <w:rFonts w:ascii="Google Sans" w:cs="Google Sans" w:eastAsia="Google Sans" w:hAnsi="Google Sans"/>
            <w:color w:val="0000ee"/>
            <w:sz w:val="24"/>
            <w:szCs w:val="24"/>
            <w:u w:val="single"/>
            <w:rtl w:val="0"/>
          </w:rPr>
          <w:t xml:space="preserve">https://stats.stackexchange.com/questions/573798/model-performance-when-ground-truth-is-not-available</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Evaluation of unsupervised learning algorithms for the classification of behavior from pose estimation data - PMC, accessed April 12,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https://pmc.ncbi.nlm.nih.gov/articles/PMC12142628/</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Code Quality with Generative AI: Boosting Developer Warning Compliance, accessed April 12, 2026, </w:t>
      </w:r>
      <w:hyperlink r:id="rId31">
        <w:r w:rsidDel="00000000" w:rsidR="00000000" w:rsidRPr="00000000">
          <w:rPr>
            <w:rFonts w:ascii="Google Sans" w:cs="Google Sans" w:eastAsia="Google Sans" w:hAnsi="Google Sans"/>
            <w:color w:val="0000ee"/>
            <w:sz w:val="24"/>
            <w:szCs w:val="24"/>
            <w:u w:val="single"/>
            <w:rtl w:val="0"/>
          </w:rPr>
          <w:t xml:space="preserve">https://arxiv.org/html/2505.11677v1</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False Positive Static Analysis Warnings: Progress, Challenges, and Opportunities, accessed April 12, 2026, </w:t>
      </w:r>
      <w:hyperlink r:id="rId32">
        <w:r w:rsidDel="00000000" w:rsidR="00000000" w:rsidRPr="00000000">
          <w:rPr>
            <w:rFonts w:ascii="Google Sans" w:cs="Google Sans" w:eastAsia="Google Sans" w:hAnsi="Google Sans"/>
            <w:color w:val="0000ee"/>
            <w:sz w:val="24"/>
            <w:szCs w:val="24"/>
            <w:u w:val="single"/>
            <w:rtl w:val="0"/>
          </w:rPr>
          <w:t xml:space="preserve">https://www.computer.org/csdl/journal/ts/2023/12/10305541/1RKAwH9PqkE</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Developers Act on Static Analysis Alerts? An Empirical Study of Coverity Usage - ResearchGate, accessed April 12, 2026, </w:t>
      </w:r>
      <w:hyperlink r:id="rId33">
        <w:r w:rsidDel="00000000" w:rsidR="00000000" w:rsidRPr="00000000">
          <w:rPr>
            <w:rFonts w:ascii="Google Sans" w:cs="Google Sans" w:eastAsia="Google Sans" w:hAnsi="Google Sans"/>
            <w:color w:val="0000ee"/>
            <w:sz w:val="24"/>
            <w:szCs w:val="24"/>
            <w:u w:val="single"/>
            <w:rtl w:val="0"/>
          </w:rPr>
          <w:t xml:space="preserve">https://www.researchgate.net/profile/Nasif-Imtiaz/publication/335310485_How_Do_Developers_Act_on_Static_Analysis_Alerts_An_Empirical_Study_of_Coverity_Usage/links/5d5d609492851c376370ef68/How-Do-Developers-Act-on-Static-Analysis-Alerts-An-Empirical-Study-of-Coverity-Usage.pdf</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How Do Developers Act on Static Analysis Alerts? An Empirical Study of Coverity Usage - ResearchGate, accessed April 12, 2026,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https://www.researchgate.net/publication/335310485_How_Do_Developers_Act_on_Static_Analysis_Alerts_An_Empirical_Study_of_Coverity_Usage</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Positive Rate — Definition &amp; Overview - DeepSource, accessed April 12, 2026, </w:t>
      </w:r>
      <w:hyperlink r:id="rId35">
        <w:r w:rsidDel="00000000" w:rsidR="00000000" w:rsidRPr="00000000">
          <w:rPr>
            <w:rFonts w:ascii="Google Sans" w:cs="Google Sans" w:eastAsia="Google Sans" w:hAnsi="Google Sans"/>
            <w:color w:val="0000ee"/>
            <w:sz w:val="24"/>
            <w:szCs w:val="24"/>
            <w:u w:val="single"/>
            <w:rtl w:val="0"/>
          </w:rPr>
          <w:t xml:space="preserve">https://deepsource.com/glossary/false-positive-rate</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False Positive Rate in Cybersecurity? - Check Point Software, accessed April 12, 2026, </w:t>
      </w:r>
      <w:hyperlink r:id="rId36">
        <w:r w:rsidDel="00000000" w:rsidR="00000000" w:rsidRPr="00000000">
          <w:rPr>
            <w:rFonts w:ascii="Google Sans" w:cs="Google Sans" w:eastAsia="Google Sans" w:hAnsi="Google Sans"/>
            <w:color w:val="0000ee"/>
            <w:sz w:val="24"/>
            <w:szCs w:val="24"/>
            <w:u w:val="single"/>
            <w:rtl w:val="0"/>
          </w:rPr>
          <w:t xml:space="preserve">https://www.checkpoint.com/cyber-hub/cyber-security/what-is-a-false-positive-rate-in-cybersecurity/</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SAST Tools Compared by False Positive Rate|Mobb Blog, accessed April 12, 2026, </w:t>
      </w:r>
      <w:hyperlink r:id="rId37">
        <w:r w:rsidDel="00000000" w:rsidR="00000000" w:rsidRPr="00000000">
          <w:rPr>
            <w:rFonts w:ascii="Google Sans" w:cs="Google Sans" w:eastAsia="Google Sans" w:hAnsi="Google Sans"/>
            <w:color w:val="0000ee"/>
            <w:sz w:val="24"/>
            <w:szCs w:val="24"/>
            <w:u w:val="single"/>
            <w:rtl w:val="0"/>
          </w:rPr>
          <w:t xml:space="preserve">https://www.mobb.ai/blog/sast-tools-false-positive-comparison</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False Positives in Static Code Analysis - Parasoft, accessed April 12, 2026, </w:t>
      </w:r>
      <w:hyperlink r:id="rId38">
        <w:r w:rsidDel="00000000" w:rsidR="00000000" w:rsidRPr="00000000">
          <w:rPr>
            <w:rFonts w:ascii="Google Sans" w:cs="Google Sans" w:eastAsia="Google Sans" w:hAnsi="Google Sans"/>
            <w:color w:val="0000ee"/>
            <w:sz w:val="24"/>
            <w:szCs w:val="24"/>
            <w:u w:val="single"/>
            <w:rtl w:val="0"/>
          </w:rPr>
          <w:t xml:space="preserve">https://www.parasoft.com/blog/false-positives-in-static-code-analysis/</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predicting architectural significance of implementation, accessed April 12, 2026, </w:t>
      </w:r>
      <w:hyperlink r:id="rId39">
        <w:r w:rsidDel="00000000" w:rsidR="00000000" w:rsidRPr="00000000">
          <w:rPr>
            <w:rFonts w:ascii="Google Sans" w:cs="Google Sans" w:eastAsia="Google Sans" w:hAnsi="Google Sans"/>
            <w:color w:val="0000ee"/>
            <w:sz w:val="24"/>
            <w:szCs w:val="24"/>
            <w:u w:val="single"/>
            <w:rtl w:val="0"/>
          </w:rPr>
          <w:t xml:space="preserve">https://www.researchgate.net/publication/326566512_Toward_predicting_architectural_significance_of_implementation_issues</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Predicting Architectural Significance - of Implementation Issues - Arman Shahbazian, Daye Nam, Nenad Medvidovic, accessed April 12, 2026, </w:t>
      </w:r>
      <w:hyperlink r:id="rId40">
        <w:r w:rsidDel="00000000" w:rsidR="00000000" w:rsidRPr="00000000">
          <w:rPr>
            <w:rFonts w:ascii="Google Sans" w:cs="Google Sans" w:eastAsia="Google Sans" w:hAnsi="Google Sans"/>
            <w:color w:val="0000ee"/>
            <w:sz w:val="24"/>
            <w:szCs w:val="24"/>
            <w:u w:val="single"/>
            <w:rtl w:val="0"/>
          </w:rPr>
          <w:t xml:space="preserve">https://par.nsf.gov/servlets/purl/10057888</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Measuring Architecture Quality by Structure Plus History Analysis - Department of Computer Science, accessed April 12, 2026, </w:t>
      </w:r>
      <w:hyperlink r:id="rId41">
        <w:r w:rsidDel="00000000" w:rsidR="00000000" w:rsidRPr="00000000">
          <w:rPr>
            <w:rFonts w:ascii="Google Sans" w:cs="Google Sans" w:eastAsia="Google Sans" w:hAnsi="Google Sans"/>
            <w:color w:val="0000ee"/>
            <w:sz w:val="24"/>
            <w:szCs w:val="24"/>
            <w:u w:val="single"/>
            <w:rtl w:val="0"/>
          </w:rPr>
          <w:t xml:space="preserve">https://www.cs.drexel.edu/~yfcai/papers/2013/icse2013-seip.pdf</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craft – Page 2 - Codemanship's Blog - WordPress.com, accessed April 12, 2026, </w:t>
      </w:r>
      <w:hyperlink r:id="rId42">
        <w:r w:rsidDel="00000000" w:rsidR="00000000" w:rsidRPr="00000000">
          <w:rPr>
            <w:rFonts w:ascii="Google Sans" w:cs="Google Sans" w:eastAsia="Google Sans" w:hAnsi="Google Sans"/>
            <w:color w:val="0000ee"/>
            <w:sz w:val="24"/>
            <w:szCs w:val="24"/>
            <w:u w:val="single"/>
            <w:rtl w:val="0"/>
          </w:rPr>
          <w:t xml:space="preserve">https://codemanship.wordpress.com/category/code-craft/page/2/</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Architectures v/s Microservices - The Repository at St. Cloud State, accessed April 12, 2026, </w:t>
      </w:r>
      <w:hyperlink r:id="rId43">
        <w:r w:rsidDel="00000000" w:rsidR="00000000" w:rsidRPr="00000000">
          <w:rPr>
            <w:rFonts w:ascii="Google Sans" w:cs="Google Sans" w:eastAsia="Google Sans" w:hAnsi="Google Sans"/>
            <w:color w:val="0000ee"/>
            <w:sz w:val="24"/>
            <w:szCs w:val="24"/>
            <w:u w:val="single"/>
            <w:rtl w:val="0"/>
          </w:rPr>
          <w:t xml:space="preserve">https://repository.stcloudstate.edu/cgi/viewcontent.cgi?article=1122&amp;context=msia_etds</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Recovering Architectural Design Decisions - Manning College of Information &amp; Computer Sciences, accessed April 12, 2026, </w:t>
      </w:r>
      <w:hyperlink r:id="rId44">
        <w:r w:rsidDel="00000000" w:rsidR="00000000" w:rsidRPr="00000000">
          <w:rPr>
            <w:rFonts w:ascii="Google Sans" w:cs="Google Sans" w:eastAsia="Google Sans" w:hAnsi="Google Sans"/>
            <w:color w:val="0000ee"/>
            <w:sz w:val="24"/>
            <w:szCs w:val="24"/>
            <w:u w:val="single"/>
            <w:rtl w:val="0"/>
          </w:rPr>
          <w:t xml:space="preserve">http://people.cs.umass.edu/brun/pubs/pubs/Shahbazian18icsa.pdf</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Tricorder: Building a Program Analysis Ecosystem - Semantic Scholar, accessed April 12, 2026, </w:t>
      </w:r>
      <w:hyperlink r:id="rId45">
        <w:r w:rsidDel="00000000" w:rsidR="00000000" w:rsidRPr="00000000">
          <w:rPr>
            <w:rFonts w:ascii="Google Sans" w:cs="Google Sans" w:eastAsia="Google Sans" w:hAnsi="Google Sans"/>
            <w:color w:val="0000ee"/>
            <w:sz w:val="24"/>
            <w:szCs w:val="24"/>
            <w:u w:val="single"/>
            <w:rtl w:val="0"/>
          </w:rPr>
          <w:t xml:space="preserve">https://www.semanticscholar.org/paper/Tricorder%3A-Building-a-Program-Analysis-Ecosystem-Sadowski-Gogh/b786cede5cdc3ffdc0f82c771d49d7ddb0bfcad9</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Applicant reactions to game-based assessments : the effect of flow, fairness, and fit, accessed April 12, 2026, </w:t>
      </w:r>
      <w:hyperlink r:id="rId46">
        <w:r w:rsidDel="00000000" w:rsidR="00000000" w:rsidRPr="00000000">
          <w:rPr>
            <w:rFonts w:ascii="Google Sans" w:cs="Google Sans" w:eastAsia="Google Sans" w:hAnsi="Google Sans"/>
            <w:color w:val="0000ee"/>
            <w:sz w:val="24"/>
            <w:szCs w:val="24"/>
            <w:u w:val="single"/>
            <w:rtl w:val="0"/>
          </w:rPr>
          <w:t xml:space="preserve">https://d.lib.msu.edu/etd/16457</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Fuzzy Hybrid Project Portfolio Selection Method Using Data Envelopment Analysis, TOPSIS and Integer Programming | Request PDF - ResearchGate, accessed April 12, 2026, </w:t>
      </w:r>
      <w:hyperlink r:id="rId47">
        <w:r w:rsidDel="00000000" w:rsidR="00000000" w:rsidRPr="00000000">
          <w:rPr>
            <w:rFonts w:ascii="Google Sans" w:cs="Google Sans" w:eastAsia="Google Sans" w:hAnsi="Google Sans"/>
            <w:color w:val="0000ee"/>
            <w:sz w:val="24"/>
            <w:szCs w:val="24"/>
            <w:u w:val="single"/>
            <w:rtl w:val="0"/>
          </w:rPr>
          <w:t xml:space="preserve">https://www.researchgate.net/publication/279298924_A_Fuzzy_Hybrid_Project_Portfolio_Selection_Method_Using_Data_Envelopment_Analysis_TOPSIS_and_Integer_Programming</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Psycho-cognitive relationship between data and knowledge discovery: a conceptual critique, accessed April 12, 2026, </w:t>
      </w:r>
      <w:hyperlink r:id="rId48">
        <w:r w:rsidDel="00000000" w:rsidR="00000000" w:rsidRPr="00000000">
          <w:rPr>
            <w:rFonts w:ascii="Google Sans" w:cs="Google Sans" w:eastAsia="Google Sans" w:hAnsi="Google Sans"/>
            <w:color w:val="0000ee"/>
            <w:sz w:val="24"/>
            <w:szCs w:val="24"/>
            <w:u w:val="single"/>
            <w:rtl w:val="0"/>
          </w:rPr>
          <w:t xml:space="preserve">https://www.emerald.com/gkmc/article/doi/10.1108/GKMC-06-2023-0216/1257898/Psycho-cognitive-relationship-between-data-and</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Value-Driven Evaluation of Visualizations, accessed April 12, 2026, </w:t>
      </w:r>
      <w:hyperlink r:id="rId49">
        <w:r w:rsidDel="00000000" w:rsidR="00000000" w:rsidRPr="00000000">
          <w:rPr>
            <w:rFonts w:ascii="Google Sans" w:cs="Google Sans" w:eastAsia="Google Sans" w:hAnsi="Google Sans"/>
            <w:color w:val="0000ee"/>
            <w:sz w:val="24"/>
            <w:szCs w:val="24"/>
            <w:u w:val="single"/>
            <w:rtl w:val="0"/>
          </w:rPr>
          <w:t xml:space="preserve">https://faculty.cc.gatech.edu/~stasko/papers/beliv14-value.pdf</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the accuracy of code complexity metrics: A neuroscience-based guideline for improvement - PMC, accessed April 12, 2026, </w:t>
      </w:r>
      <w:hyperlink r:id="rId50">
        <w:r w:rsidDel="00000000" w:rsidR="00000000" w:rsidRPr="00000000">
          <w:rPr>
            <w:rFonts w:ascii="Google Sans" w:cs="Google Sans" w:eastAsia="Google Sans" w:hAnsi="Google Sans"/>
            <w:color w:val="0000ee"/>
            <w:sz w:val="24"/>
            <w:szCs w:val="24"/>
            <w:u w:val="single"/>
            <w:rtl w:val="0"/>
          </w:rPr>
          <w:t xml:space="preserve">https://pmc.ncbi.nlm.nih.gov/articles/PMC9942489/</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Tricorder: Building a Program Analysis Ecosystem | Lunds universitet, accessed April 12, 2026, </w:t>
      </w:r>
      <w:hyperlink r:id="rId51">
        <w:r w:rsidDel="00000000" w:rsidR="00000000" w:rsidRPr="00000000">
          <w:rPr>
            <w:rFonts w:ascii="Google Sans" w:cs="Google Sans" w:eastAsia="Google Sans" w:hAnsi="Google Sans"/>
            <w:color w:val="0000ee"/>
            <w:sz w:val="24"/>
            <w:szCs w:val="24"/>
            <w:u w:val="single"/>
            <w:rtl w:val="0"/>
          </w:rPr>
          <w:t xml:space="preserve">https://www.lu.se/lup/publication/bfcadd06-9a8a-4d2d-88bf-ec1147ffea5c</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Critique: Google's Code Review Tool - Abseil.io, accessed April 12, 2026, </w:t>
      </w:r>
      <w:hyperlink r:id="rId52">
        <w:r w:rsidDel="00000000" w:rsidR="00000000" w:rsidRPr="00000000">
          <w:rPr>
            <w:rFonts w:ascii="Google Sans" w:cs="Google Sans" w:eastAsia="Google Sans" w:hAnsi="Google Sans"/>
            <w:color w:val="0000ee"/>
            <w:sz w:val="24"/>
            <w:szCs w:val="24"/>
            <w:u w:val="single"/>
            <w:rtl w:val="0"/>
          </w:rPr>
          <w:t xml:space="preserve">https://abseil.io/resources/swe-book/html/ch19.html</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Plan mode is now available in Gemini CLI - Google Developers Blog, accessed April 12, 2026, </w:t>
      </w:r>
      <w:hyperlink r:id="rId53">
        <w:r w:rsidDel="00000000" w:rsidR="00000000" w:rsidRPr="00000000">
          <w:rPr>
            <w:rFonts w:ascii="Google Sans" w:cs="Google Sans" w:eastAsia="Google Sans" w:hAnsi="Google Sans"/>
            <w:color w:val="0000ee"/>
            <w:sz w:val="24"/>
            <w:szCs w:val="24"/>
            <w:u w:val="single"/>
            <w:rtl w:val="0"/>
          </w:rPr>
          <w:t xml:space="preserve">https://developers.googleblog.com/plan-mode-now-available-in-gemini-cli/</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CLI Plan Mode Separates Thinking From Doing — and Makes Read-Only the Default - DevOps.com, accessed April 12, 2026, </w:t>
      </w:r>
      <w:hyperlink r:id="rId54">
        <w:r w:rsidDel="00000000" w:rsidR="00000000" w:rsidRPr="00000000">
          <w:rPr>
            <w:rFonts w:ascii="Google Sans" w:cs="Google Sans" w:eastAsia="Google Sans" w:hAnsi="Google Sans"/>
            <w:color w:val="0000ee"/>
            <w:sz w:val="24"/>
            <w:szCs w:val="24"/>
            <w:u w:val="single"/>
            <w:rtl w:val="0"/>
          </w:rPr>
          <w:t xml:space="preserve">https://devops.com/gemini-cli-plan-mode-separates-thinking-from-doing-and-makes-read-only-the-default/</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Premium Leakage Root Cause AI Agent for Premium &amp; Pricing in Insurance - insurnest, accessed April 12, 2026, </w:t>
      </w:r>
      <w:hyperlink r:id="rId55">
        <w:r w:rsidDel="00000000" w:rsidR="00000000" w:rsidRPr="00000000">
          <w:rPr>
            <w:rFonts w:ascii="Google Sans" w:cs="Google Sans" w:eastAsia="Google Sans" w:hAnsi="Google Sans"/>
            <w:color w:val="0000ee"/>
            <w:sz w:val="24"/>
            <w:szCs w:val="24"/>
            <w:u w:val="single"/>
            <w:rtl w:val="0"/>
          </w:rPr>
          <w:t xml:space="preserve">https://insurnest.com/agent-details/insurance/premium-pricing/premium-leakage-root-cause-ai-agent-for-premium-&amp;-pricing-in-insurance</w:t>
        </w:r>
      </w:hyperlink>
      <w:r w:rsidDel="00000000" w:rsidR="00000000" w:rsidRPr="00000000">
        <w:rPr>
          <w:rtl w:val="0"/>
        </w:rPr>
      </w:r>
    </w:p>
    <w:p w:rsidR="00000000" w:rsidDel="00000000" w:rsidP="00000000" w:rsidRDefault="00000000" w:rsidRPr="00000000" w14:paraId="0000011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Extended Taxonomy and Empirical Study of Grime and its Impact on Design Pattern Evolution - UMBC, accessed April 12, 2026, </w:t>
      </w:r>
      <w:hyperlink r:id="rId56">
        <w:r w:rsidDel="00000000" w:rsidR="00000000" w:rsidRPr="00000000">
          <w:rPr>
            <w:rFonts w:ascii="Google Sans" w:cs="Google Sans" w:eastAsia="Google Sans" w:hAnsi="Google Sans"/>
            <w:color w:val="0000ee"/>
            <w:sz w:val="24"/>
            <w:szCs w:val="24"/>
            <w:u w:val="single"/>
            <w:rtl w:val="0"/>
          </w:rPr>
          <w:t xml:space="preserve">https://www2.umbc.edu/eseiw2013/idoese/pdf/eseiw2013_IDoESE_177.pdf</w:t>
        </w:r>
      </w:hyperlink>
      <w:r w:rsidDel="00000000" w:rsidR="00000000" w:rsidRPr="00000000">
        <w:rPr>
          <w:rtl w:val="0"/>
        </w:rPr>
      </w:r>
    </w:p>
    <w:p w:rsidR="00000000" w:rsidDel="00000000" w:rsidP="00000000" w:rsidRDefault="00000000" w:rsidRPr="00000000" w14:paraId="0000011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Bridging Behavioral Biometrics and Source Code Stylometry: A Survey of Programmer Attribution - arXiv, accessed April 12, 2026, </w:t>
      </w:r>
      <w:hyperlink r:id="rId57">
        <w:r w:rsidDel="00000000" w:rsidR="00000000" w:rsidRPr="00000000">
          <w:rPr>
            <w:rFonts w:ascii="Google Sans" w:cs="Google Sans" w:eastAsia="Google Sans" w:hAnsi="Google Sans"/>
            <w:color w:val="0000ee"/>
            <w:sz w:val="24"/>
            <w:szCs w:val="24"/>
            <w:u w:val="single"/>
            <w:rtl w:val="0"/>
          </w:rPr>
          <w:t xml:space="preserve">https://arxiv.org/html/2603.11150</w:t>
        </w:r>
      </w:hyperlink>
      <w:r w:rsidDel="00000000" w:rsidR="00000000" w:rsidRPr="00000000">
        <w:rPr>
          <w:rtl w:val="0"/>
        </w:rPr>
      </w:r>
    </w:p>
    <w:p w:rsidR="00000000" w:rsidDel="00000000" w:rsidP="00000000" w:rsidRDefault="00000000" w:rsidRPr="00000000" w14:paraId="0000011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Neural Methods for Programming: A Comprehensive Survey and Future Directions - MDPI, accessed April 12, 2026, </w:t>
      </w:r>
      <w:hyperlink r:id="rId58">
        <w:r w:rsidDel="00000000" w:rsidR="00000000" w:rsidRPr="00000000">
          <w:rPr>
            <w:rFonts w:ascii="Google Sans" w:cs="Google Sans" w:eastAsia="Google Sans" w:hAnsi="Google Sans"/>
            <w:color w:val="0000ee"/>
            <w:sz w:val="24"/>
            <w:szCs w:val="24"/>
            <w:u w:val="single"/>
            <w:rtl w:val="0"/>
          </w:rPr>
          <w:t xml:space="preserve">https://www.mdpi.com/2076-3417/15/22/12150</w:t>
        </w:r>
      </w:hyperlink>
      <w:r w:rsidDel="00000000" w:rsidR="00000000" w:rsidRPr="00000000">
        <w:rPr>
          <w:rtl w:val="0"/>
        </w:rPr>
      </w:r>
    </w:p>
    <w:p w:rsidR="00000000" w:rsidDel="00000000" w:rsidP="00000000" w:rsidRDefault="00000000" w:rsidRPr="00000000" w14:paraId="0000011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Mining Invariants from Console Logs for System Problem Detection - USENIX, accessed April 12, 2026, </w:t>
      </w:r>
      <w:hyperlink r:id="rId59">
        <w:r w:rsidDel="00000000" w:rsidR="00000000" w:rsidRPr="00000000">
          <w:rPr>
            <w:rFonts w:ascii="Google Sans" w:cs="Google Sans" w:eastAsia="Google Sans" w:hAnsi="Google Sans"/>
            <w:color w:val="0000ee"/>
            <w:sz w:val="24"/>
            <w:szCs w:val="24"/>
            <w:u w:val="single"/>
            <w:rtl w:val="0"/>
          </w:rPr>
          <w:t xml:space="preserve">https://www.usenix.org/legacy/event/atc10/tech/full_papers/Lou.pdf</w:t>
        </w:r>
      </w:hyperlink>
      <w:r w:rsidDel="00000000" w:rsidR="00000000" w:rsidRPr="00000000">
        <w:rPr>
          <w:rtl w:val="0"/>
        </w:rPr>
      </w:r>
    </w:p>
    <w:p w:rsidR="00000000" w:rsidDel="00000000" w:rsidP="00000000" w:rsidRDefault="00000000" w:rsidRPr="00000000" w14:paraId="0000012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Method for Processing Static Analysis Alarms Based on Deep Learning - MDPI, accessed April 12, 2026, </w:t>
      </w:r>
      <w:hyperlink r:id="rId60">
        <w:r w:rsidDel="00000000" w:rsidR="00000000" w:rsidRPr="00000000">
          <w:rPr>
            <w:rFonts w:ascii="Google Sans" w:cs="Google Sans" w:eastAsia="Google Sans" w:hAnsi="Google Sans"/>
            <w:color w:val="0000ee"/>
            <w:sz w:val="24"/>
            <w:szCs w:val="24"/>
            <w:u w:val="single"/>
            <w:rtl w:val="0"/>
          </w:rPr>
          <w:t xml:space="preserve">https://www.mdpi.com/2076-3417/14/13/5542</w:t>
        </w:r>
      </w:hyperlink>
      <w:r w:rsidDel="00000000" w:rsidR="00000000" w:rsidRPr="00000000">
        <w:rPr>
          <w:rtl w:val="0"/>
        </w:rPr>
      </w:r>
    </w:p>
    <w:p w:rsidR="00000000" w:rsidDel="00000000" w:rsidP="00000000" w:rsidRDefault="00000000" w:rsidRPr="00000000" w14:paraId="0000012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Comparative analysis of real issues in open-source machine learning projects, accessed April 12, 2026, </w:t>
      </w:r>
      <w:hyperlink r:id="rId61">
        <w:r w:rsidDel="00000000" w:rsidR="00000000" w:rsidRPr="00000000">
          <w:rPr>
            <w:rFonts w:ascii="Google Sans" w:cs="Google Sans" w:eastAsia="Google Sans" w:hAnsi="Google Sans"/>
            <w:color w:val="0000ee"/>
            <w:sz w:val="24"/>
            <w:szCs w:val="24"/>
            <w:u w:val="single"/>
            <w:rtl w:val="0"/>
          </w:rPr>
          <w:t xml:space="preserve">https://d-nb.info/1338472402/34</w:t>
        </w:r>
      </w:hyperlink>
      <w:r w:rsidDel="00000000" w:rsidR="00000000" w:rsidRPr="00000000">
        <w:rPr>
          <w:rtl w:val="0"/>
        </w:rPr>
      </w:r>
    </w:p>
    <w:p w:rsidR="00000000" w:rsidDel="00000000" w:rsidP="00000000" w:rsidRDefault="00000000" w:rsidRPr="00000000" w14:paraId="0000012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informative is your XAI? Assessing the quality of explanations through information power - Frontiers, accessed April 12, 2026, </w:t>
      </w:r>
      <w:hyperlink r:id="rId62">
        <w:r w:rsidDel="00000000" w:rsidR="00000000" w:rsidRPr="00000000">
          <w:rPr>
            <w:rFonts w:ascii="Google Sans" w:cs="Google Sans" w:eastAsia="Google Sans" w:hAnsi="Google Sans"/>
            <w:color w:val="0000ee"/>
            <w:sz w:val="24"/>
            <w:szCs w:val="24"/>
            <w:u w:val="single"/>
            <w:rtl w:val="0"/>
          </w:rPr>
          <w:t xml:space="preserve">https://www.frontiersin.org/journals/computer-science/articles/10.3389/fcomp.2024.1412341/full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ar.nsf.gov/servlets/purl/10057888" TargetMode="External"/><Relationship Id="rId42" Type="http://schemas.openxmlformats.org/officeDocument/2006/relationships/hyperlink" Target="https://codemanship.wordpress.com/category/code-craft/page/2/" TargetMode="External"/><Relationship Id="rId41" Type="http://schemas.openxmlformats.org/officeDocument/2006/relationships/hyperlink" Target="https://www.cs.drexel.edu/~yfcai/papers/2013/icse2013-seip.pdf" TargetMode="External"/><Relationship Id="rId44" Type="http://schemas.openxmlformats.org/officeDocument/2006/relationships/hyperlink" Target="http://people.cs.umass.edu/brun/pubs/pubs/Shahbazian18icsa.pdf" TargetMode="External"/><Relationship Id="rId43" Type="http://schemas.openxmlformats.org/officeDocument/2006/relationships/hyperlink" Target="https://repository.stcloudstate.edu/cgi/viewcontent.cgi?article=1122&amp;context=msia_etds" TargetMode="External"/><Relationship Id="rId46" Type="http://schemas.openxmlformats.org/officeDocument/2006/relationships/hyperlink" Target="https://d.lib.msu.edu/etd/16457" TargetMode="External"/><Relationship Id="rId45" Type="http://schemas.openxmlformats.org/officeDocument/2006/relationships/hyperlink" Target="https://www.semanticscholar.org/paper/Tricorder%3A-Building-a-Program-Analysis-Ecosystem-Sadowski-Gogh/b786cede5cdc3ffdc0f82c771d49d7ddb0bfcad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pace.mit.edu/handle/1721.1/42127" TargetMode="External"/><Relationship Id="rId48" Type="http://schemas.openxmlformats.org/officeDocument/2006/relationships/hyperlink" Target="https://www.emerald.com/gkmc/article/doi/10.1108/GKMC-06-2023-0216/1257898/Psycho-cognitive-relationship-between-data-and" TargetMode="External"/><Relationship Id="rId47" Type="http://schemas.openxmlformats.org/officeDocument/2006/relationships/hyperlink" Target="https://www.researchgate.net/publication/279298924_A_Fuzzy_Hybrid_Project_Portfolio_Selection_Method_Using_Data_Envelopment_Analysis_TOPSIS_and_Integer_Programming" TargetMode="External"/><Relationship Id="rId49" Type="http://schemas.openxmlformats.org/officeDocument/2006/relationships/hyperlink" Target="https://faculty.cc.gatech.edu/~stasko/papers/beliv14-value.pdf" TargetMode="External"/><Relationship Id="rId5" Type="http://schemas.openxmlformats.org/officeDocument/2006/relationships/styles" Target="styles.xml"/><Relationship Id="rId6" Type="http://schemas.openxmlformats.org/officeDocument/2006/relationships/hyperlink" Target="https://ece.uwaterloo.ca/~agurfink/stqam.w19/assets/pdf/W12-Daikon.pdf" TargetMode="External"/><Relationship Id="rId7" Type="http://schemas.openxmlformats.org/officeDocument/2006/relationships/hyperlink" Target="https://experts.umn.edu/en/publications/the-daikon-system-for-dynamic-detection-of-likely-invariants/" TargetMode="External"/><Relationship Id="rId8" Type="http://schemas.openxmlformats.org/officeDocument/2006/relationships/hyperlink" Target="https://software-lab.org/teaching/winter2019/pa/lecture_specification_mining.pdf" TargetMode="External"/><Relationship Id="rId31" Type="http://schemas.openxmlformats.org/officeDocument/2006/relationships/hyperlink" Target="https://arxiv.org/html/2505.11677v1" TargetMode="External"/><Relationship Id="rId30" Type="http://schemas.openxmlformats.org/officeDocument/2006/relationships/hyperlink" Target="https://pmc.ncbi.nlm.nih.gov/articles/PMC12142628/" TargetMode="External"/><Relationship Id="rId33" Type="http://schemas.openxmlformats.org/officeDocument/2006/relationships/hyperlink" Target="https://www.researchgate.net/profile/Nasif-Imtiaz/publication/335310485_How_Do_Developers_Act_on_Static_Analysis_Alerts_An_Empirical_Study_of_Coverity_Usage/links/5d5d609492851c376370ef68/How-Do-Developers-Act-on-Static-Analysis-Alerts-An-Empirical-Study-of-Coverity-Usage.pdf" TargetMode="External"/><Relationship Id="rId32" Type="http://schemas.openxmlformats.org/officeDocument/2006/relationships/hyperlink" Target="https://www.computer.org/csdl/journal/ts/2023/12/10305541/1RKAwH9PqkE" TargetMode="External"/><Relationship Id="rId35" Type="http://schemas.openxmlformats.org/officeDocument/2006/relationships/hyperlink" Target="https://deepsource.com/glossary/false-positive-rate" TargetMode="External"/><Relationship Id="rId34" Type="http://schemas.openxmlformats.org/officeDocument/2006/relationships/hyperlink" Target="https://www.researchgate.net/publication/335310485_How_Do_Developers_Act_on_Static_Analysis_Alerts_An_Empirical_Study_of_Coverity_Usage" TargetMode="External"/><Relationship Id="rId37" Type="http://schemas.openxmlformats.org/officeDocument/2006/relationships/hyperlink" Target="https://www.mobb.ai/blog/sast-tools-false-positive-comparison" TargetMode="External"/><Relationship Id="rId36" Type="http://schemas.openxmlformats.org/officeDocument/2006/relationships/hyperlink" Target="https://www.checkpoint.com/cyber-hub/cyber-security/what-is-a-false-positive-rate-in-cybersecurity/" TargetMode="External"/><Relationship Id="rId39" Type="http://schemas.openxmlformats.org/officeDocument/2006/relationships/hyperlink" Target="https://www.researchgate.net/publication/326566512_Toward_predicting_architectural_significance_of_implementation_issues" TargetMode="External"/><Relationship Id="rId38" Type="http://schemas.openxmlformats.org/officeDocument/2006/relationships/hyperlink" Target="https://www.parasoft.com/blog/false-positives-in-static-code-analysis/" TargetMode="External"/><Relationship Id="rId62" Type="http://schemas.openxmlformats.org/officeDocument/2006/relationships/hyperlink" Target="https://www.frontiersin.org/journals/computer-science/articles/10.3389/fcomp.2024.1412341/full" TargetMode="External"/><Relationship Id="rId61" Type="http://schemas.openxmlformats.org/officeDocument/2006/relationships/hyperlink" Target="https://d-nb.info/1338472402/34" TargetMode="External"/><Relationship Id="rId20" Type="http://schemas.openxmlformats.org/officeDocument/2006/relationships/hyperlink" Target="https://arxiv.org/abs/2212.03399" TargetMode="External"/><Relationship Id="rId22" Type="http://schemas.openxmlformats.org/officeDocument/2006/relationships/hyperlink" Target="https://repositum.tuwien.at/bitstream/20.500.12708/213269/1/Felder%20Jodok%20-%202025%20-%20Predicting%20Bugs%20in%20Source%20Code%20A%20Machine%20Learning%20Approach...pdf" TargetMode="External"/><Relationship Id="rId21" Type="http://schemas.openxmlformats.org/officeDocument/2006/relationships/hyperlink" Target="https://www.researchgate.net/publication/366092747_Utilizing_Source_Code_Syntax_Patterns_to_Detect_Bug_Inducing_Commits_using_Machine_Learning_Models" TargetMode="External"/><Relationship Id="rId24" Type="http://schemas.openxmlformats.org/officeDocument/2006/relationships/hyperlink" Target="https://semgrep.dev/blog/2020/writing-semgrep-rules-a-methodology/" TargetMode="External"/><Relationship Id="rId23" Type="http://schemas.openxmlformats.org/officeDocument/2006/relationships/hyperlink" Target="https://www.mdpi.com/2504-2289/9/7/174" TargetMode="External"/><Relationship Id="rId60" Type="http://schemas.openxmlformats.org/officeDocument/2006/relationships/hyperlink" Target="https://www.mdpi.com/2076-3417/14/13/5542" TargetMode="External"/><Relationship Id="rId26" Type="http://schemas.openxmlformats.org/officeDocument/2006/relationships/hyperlink" Target="https://arxiv.org/abs/2604.00885" TargetMode="External"/><Relationship Id="rId25" Type="http://schemas.openxmlformats.org/officeDocument/2006/relationships/hyperlink" Target="https://konvu.com/compare/semgrep-vs-codeql" TargetMode="External"/><Relationship Id="rId28" Type="http://schemas.openxmlformats.org/officeDocument/2006/relationships/hyperlink" Target="https://arxiv.org/html/2402.08699v1" TargetMode="External"/><Relationship Id="rId27" Type="http://schemas.openxmlformats.org/officeDocument/2006/relationships/hyperlink" Target="https://arxiv.org/html/2604.00885v1" TargetMode="External"/><Relationship Id="rId29" Type="http://schemas.openxmlformats.org/officeDocument/2006/relationships/hyperlink" Target="https://stats.stackexchange.com/questions/573798/model-performance-when-ground-truth-is-not-available" TargetMode="External"/><Relationship Id="rId51" Type="http://schemas.openxmlformats.org/officeDocument/2006/relationships/hyperlink" Target="https://www.lu.se/lup/publication/bfcadd06-9a8a-4d2d-88bf-ec1147ffea5c" TargetMode="External"/><Relationship Id="rId50" Type="http://schemas.openxmlformats.org/officeDocument/2006/relationships/hyperlink" Target="https://pmc.ncbi.nlm.nih.gov/articles/PMC9942489/" TargetMode="External"/><Relationship Id="rId53" Type="http://schemas.openxmlformats.org/officeDocument/2006/relationships/hyperlink" Target="https://developers.googleblog.com/plan-mode-now-available-in-gemini-cli/" TargetMode="External"/><Relationship Id="rId52" Type="http://schemas.openxmlformats.org/officeDocument/2006/relationships/hyperlink" Target="https://abseil.io/resources/swe-book/html/ch19.html" TargetMode="External"/><Relationship Id="rId11" Type="http://schemas.openxmlformats.org/officeDocument/2006/relationships/hyperlink" Target="https://www.researchgate.net/publication/221560535_Y_PR-Miner_Automatically_extracting_implicit_programming_rules_and_detecting_violations_in_large_software_codes" TargetMode="External"/><Relationship Id="rId55" Type="http://schemas.openxmlformats.org/officeDocument/2006/relationships/hyperlink" Target="https://insurnest.com/agent-details/insurance/premium-pricing/premium-leakage-root-cause-ai-agent-for-premium-&amp;-pricing-in-insurance" TargetMode="External"/><Relationship Id="rId10" Type="http://schemas.openxmlformats.org/officeDocument/2006/relationships/hyperlink" Target="https://www.cs.purdue.edu/homes/xyzhang/fall07/Papers/PRMiner.pdf" TargetMode="External"/><Relationship Id="rId54" Type="http://schemas.openxmlformats.org/officeDocument/2006/relationships/hyperlink" Target="https://devops.com/gemini-cli-plan-mode-separates-thinking-from-doing-and-makes-read-only-the-default/" TargetMode="External"/><Relationship Id="rId13" Type="http://schemas.openxmlformats.org/officeDocument/2006/relationships/hyperlink" Target="https://www.cs.ubc.ca/~bestchai/papers/ase15-specforge.pdf" TargetMode="External"/><Relationship Id="rId57" Type="http://schemas.openxmlformats.org/officeDocument/2006/relationships/hyperlink" Target="https://arxiv.org/html/2603.11150" TargetMode="External"/><Relationship Id="rId12" Type="http://schemas.openxmlformats.org/officeDocument/2006/relationships/hyperlink" Target="https://hiper.cis.udel.edu/lp/lib/exe/fetch.php/courses/icse08-schafer-frameworkchangesmining.pdf" TargetMode="External"/><Relationship Id="rId56" Type="http://schemas.openxmlformats.org/officeDocument/2006/relationships/hyperlink" Target="https://www2.umbc.edu/eseiw2013/idoese/pdf/eseiw2013_IDoESE_177.pdf" TargetMode="External"/><Relationship Id="rId15" Type="http://schemas.openxmlformats.org/officeDocument/2006/relationships/hyperlink" Target="https://pure.rug.nl/ws/files/65925339/1_s2.0_S0164121215002824_main.pdf" TargetMode="External"/><Relationship Id="rId59" Type="http://schemas.openxmlformats.org/officeDocument/2006/relationships/hyperlink" Target="https://www.usenix.org/legacy/event/atc10/tech/full_papers/Lou.pdf" TargetMode="External"/><Relationship Id="rId14" Type="http://schemas.openxmlformats.org/officeDocument/2006/relationships/hyperlink" Target="https://www.inf.fu-berlin.de/inst/ag-se/pubs/Prechelt21-assump.pdf" TargetMode="External"/><Relationship Id="rId58" Type="http://schemas.openxmlformats.org/officeDocument/2006/relationships/hyperlink" Target="https://www.mdpi.com/2076-3417/15/22/12150" TargetMode="External"/><Relationship Id="rId17" Type="http://schemas.openxmlformats.org/officeDocument/2006/relationships/hyperlink" Target="https://www.inf.ufes.br/~gguizzardi/ER2018-SoftwareAnomaly.pdf" TargetMode="External"/><Relationship Id="rId16" Type="http://schemas.openxmlformats.org/officeDocument/2006/relationships/hyperlink" Target="https://www.scribd.com/document/517206604/CHAPTER-2-TAXONOMY-OF-BUGS" TargetMode="External"/><Relationship Id="rId19" Type="http://schemas.openxmlformats.org/officeDocument/2006/relationships/hyperlink" Target="https://www.arxiv.org/pdf/2601.21186" TargetMode="External"/><Relationship Id="rId18" Type="http://schemas.openxmlformats.org/officeDocument/2006/relationships/hyperlink" Target="https://dr.lib.iastate.edu/server/api/core/bitstreams/b0793072-a355-4c0b-b61b-7e4a9a49e75c/conten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