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Redesign Specification for the VT Protocol Dashboard: A Systems-Thinking Approach to AI Agent Governance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complex enterprise developer tools often follows a predictable and dangerous trajectory: rapid feature addition during initial build phases, leading to an eventual crisis of cognitive overload. The VT Protocol dashboard, possessing fourteen disparate pages and attempting to serve four distinct personas, currently exhibits this exact pattern. When a system is tasked with governing autonomous AI coding agents—tracking causal decisions, intercepting Large Language Model (LLM) calls, and enforcing architectural coherence—the interface must perform a radical simplification of underlying complexity without obfuscating power. A tool that attempts to surface fifty discrete operations simultaneously ceases to be a control plane and becomes a cognitive burden.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challenge in redesigning the VT Protocol dashboard is managing the profound density of information generated by its two core engines: Lattice (the observation layer) and Axiom Hub (the decision memory). Drawing on design systems developed for unified data platforms, the interface must prioritize progressive disclosure, keyboard-first navigation, and role-based altitude levels.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High-altitude views must surface business outcomes, compliance status, and system health for the Chief Information Security Officer (CISO), while low-altitude views must provide the granular, interactive diagnostics required by Tech Leads and Quality Assurance (QA) engineers.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specification dictates a complete overhaul of the VT Protocol information architecture, visual hierarchy, responsive behavior, and component design. By consolidating the existing fourteen pages into five core navigation groups, implementing a persistent command palette, establishing strict persona-based routing, and adopting a disciplined semantic color system, the redesign transforms the dashboard from a fragmented observation tool into a cohesive, intent-driven governance platform.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Persona-Based View Strategy and Access Control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dashboard currently forces all users into a unified default experience, requiring executives to wade through raw traces and developers to ignore compliance checklists. To resolve this, the interface must deploy a dynamic, persona-based routing architecture that adapts the primary navigation, default landing page, and data density based on the authenticated user's role. A one-size-fits-all approach is rarely effective in Business-to-Business Software as a Service (B2B SaaS); rather, the user experience must recognize the distinct needs of admins, managers, and individual contributors.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Role-based access control (RBAC) should not merely restrict access to certain pages; it should fundamentally reorder the visual hierarchy of the application. The system must adapt based on the login profile, utilizing a dynamic default routing mechanism while preserving the ability for cross-functional exploration if permissions allow.</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Default Landing Page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Hidden or Subdued Elements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Default Data Density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 Lead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Contradictions, Decisions, Agent Behavior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Home (Triage Dashboard)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frameworks, Billing, Export Evidence buttons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(Compact tables, dense code diffs, raw logs)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CISO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Compliance, Audit Trails, Access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Governance (Compliance View)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LLM Traces, Code Contracts, Living Specs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(Spacious scorecards, traffic-light indicators, aggregate trends)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 Manager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PRD Coverage, Spec-to-Code Mapping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Alignment (Living Specs)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Trace waterfalls, Provenance vector clocks, Server configs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(Progress bars, textual mappings, coverage metrics)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QA Engineer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Contract Violations, Behavioral Contracts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Alignment (Contracts)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onboarding wizards, Compliance evidence, Settings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(API schema diffs, reachability graphs, linting violations)</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Tech Lead, the environment is fundamentally diagnostic. The system must optimize for minimal time-to-resolution regarding architectural contradictions and erratic agent behavior. For the CISO, the dashboard operates as an executive scorecard. Executives require high-altitude views emphasizing outcomes rather than implementation details, focusing on metrics such as overall system health, leading indicators of risk, and compliance verification.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Therefore, when a CISO logs in, the navigation sidebar automatically reorders to place "Governance" at the top, and the main canvas defaults to the Compliance framework checklists and Audit Trail summaries. When a Tech Lead logs in, "Home" and "Lattice" take precedence.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 Architecture Reorganization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sidebar structure, consisting of fourteen distinct items, violates established human-computer interaction principles regarding working memory and scanning patterns. To resolve this, the architecture is reorganized around the user's operational workflows rather than the backend engineering divisions. Users must be able to connect different types of data, pivot seamlessly from one context to another, and follow the thread of an investigation wherever it might lead.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utilizes a global horizontal navigation paradigm for overarching workspaces and a vertical sidebar for localized, context-specific views within those workspaces.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primary navigation is consolidated from fourteen pages into five distinct modules.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Page Inventory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New IA Workspace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Functional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Overview / Dashboard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High-level system health, critical alerts, and operational entry points for triage.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Observation / Signals, Traces, Provenance, MCP Inventory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Lattice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Live telemetry, LLM interception, causal graphs, and signal health unified in a single split-pane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Graph, Contradictions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Axiom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tracking, contradiction resolution, and decision lineage.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Living Specs, Contracts, Intelligence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Alignment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PRD-to-code mapping, API contract enforcement, and cross-project insights.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Agents, Compliance, Audit Trail, Settings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Governance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onboarding, access control, compliance mapping, and audit logs.</w:t>
            </w:r>
          </w:p>
        </w:tc>
      </w:tr>
    </w:tbl>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"Lattice" Consolidation: Unifying Observability</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Signals, Traces, Provenance, and the Model Context Protocol (MCP) Inventory are intimately related observability concerns. Traces represent the raw LLM spans and their associated metadata.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Provenance visualizes the causal flow of those traces using vector clocks to determine happened-before relationships.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Signals highlight anomalies within that flow. Placing these in separate pages forces the user to memorize context while switching between screens.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features are combined into a single "Lattice" interface. When a user selects a Trace in the main feed, they can immediately view its Provenance graph in an adjacent side-panel, effectively merging the "what happened" with the "why it happened" into a single cognitive space. The MCP Inventory is entirely subsumed into this view; MCP server calls are simply treated as a specific type of trace span (a tool_call span) within the Lattice feed, with governance status reduced to a warning badge on the relevant span.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"Axiom" Consolidation: Merging Memory and Conflict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Graph and Contradictions are two representations of the same underlying data structure. A contradiction is simply a topological conflict within the Decision Graph. The redesign combines these into the Axiom workspace. The default view presents the actionable list of Contradictions, as this requires human intervention. The Decision Graph is accessible as a secondary tab for exploratory, interactive mapping of the architecture's evolution over time.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"Governance" Consolidation: Centralizing Control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CISO requires a unified view of the actors (Agents), the historical record (Audit Trail), and the regulatory status (Compliance). Placing these under a single "Governance" umbrella aligns with enterprise risk management workflows, allowing security professionals to manage the perimeter of the AI system from a centralized location.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Progressive Disclosure and Navigation Depth</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Progressive disclosure is an interaction design pattern used to make applications easier to learn and less error-prone by deferring advanced or rarely used features to secondary screens.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a system that executes fifty distinct functions, exposing every control simultaneously leads to cognitive paralysis. The interface must display only what is required to perform the immediate task, building user confidence step by step.</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navigation depth is strictly regimented into four operational layers: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Layer 1: The Primary Sidebar (Global Navigation).</w:t>
      </w:r>
      <w:r w:rsidDel="00000000" w:rsidR="00000000" w:rsidRPr="00000000">
        <w:rPr>
          <w:rFonts w:ascii="Google Sans" w:cs="Google Sans" w:eastAsia="Google Sans" w:hAnsi="Google Sans"/>
          <w:color w:val="1f1f1f"/>
          <w:rtl w:val="0"/>
        </w:rPr>
        <w:t xml:space="preserve"> This layer exposes only the five core workspaces (Home, Lattice, Axiom, Alignment, Governance). It is always visible on desktop environments.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Layer 2: The Workspace Canvas (Data Feeds and Dashboards).</w:t>
      </w:r>
      <w:r w:rsidDel="00000000" w:rsidR="00000000" w:rsidRPr="00000000">
        <w:rPr>
          <w:rFonts w:ascii="Google Sans" w:cs="Google Sans" w:eastAsia="Google Sans" w:hAnsi="Google Sans"/>
          <w:color w:val="1f1f1f"/>
          <w:rtl w:val="0"/>
        </w:rPr>
        <w:t xml:space="preserve"> This layer presents the summarized data, such as the list of open contradictions or the feed of recent traces. It relies heavily on dense data tables and high-level metric cards.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Layer 3: The Contextual Split Pane (Details and Diagnostics).</w:t>
      </w:r>
      <w:r w:rsidDel="00000000" w:rsidR="00000000" w:rsidRPr="00000000">
        <w:rPr>
          <w:rFonts w:ascii="Google Sans" w:cs="Google Sans" w:eastAsia="Google Sans" w:hAnsi="Google Sans"/>
          <w:color w:val="1f1f1f"/>
          <w:rtl w:val="0"/>
        </w:rPr>
        <w:t xml:space="preserve"> When a user clicks an item in Layer 2 (e.g., a specific Trace), the system must not trigger a full page load. Instead, it utilizes a soft client-side navigation pattern where a horizontally split pane slides in from the right.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allows the user to maintain the context of the master list while examining the granular details of the selected item.</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Layer 4: Modals and Wizards (Destructive Actions and Complex Inputs).</w:t>
      </w:r>
      <w:r w:rsidDel="00000000" w:rsidR="00000000" w:rsidRPr="00000000">
        <w:rPr>
          <w:rFonts w:ascii="Google Sans" w:cs="Google Sans" w:eastAsia="Google Sans" w:hAnsi="Google Sans"/>
          <w:color w:val="1f1f1f"/>
          <w:rtl w:val="0"/>
        </w:rPr>
        <w:t xml:space="preserve"> Modals are strictly reserved for workflows that require the user to break context completely. This includes onboarding a new AI agent, exporting compliance evidence bundles, or confirming the manual resolution of a critical contradiction.</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Command Palette: Keyboard-First Execution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cornerstone of the progressive disclosure strategy is the introduction of a universal command palette. Emulating the keyboard-first patterns of modern developer tools, the Cmd+K (or Ctrl+K) interface allows power users to bypass the visual navigation hierarchy entirely.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command palette operates as a centralized search and execution engine, supporting several distinct action categories.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Prefix /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Action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Commands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(Command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 Resolve Contradiction, &gt; Onboard Agent, &gt; Export SOC2 Evidence, &gt; Toggle High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Allows rapid execution of frequent workflows without hunting for buttons.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(Entity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@cursor-frontend, @claude-backend-ops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Instantly navigates to specific agent profiles or filters current views by agent.</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(Global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Trace/File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#auth-service.ts, #trace-id-9f8a2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Locates specific artifacts across the entire codebase or historical trace logs.</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(Help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 What is Lyapunov drift?, ? SOC2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Provides immediate inline assistance for complex system concepts without leaving the app.</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viewing a specific trace or contradiction, the palette must contextually populate with commands relevant to that specific artifact, such as View Taint Flow for Trace X or Compare Prompt Versions.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context-awareness drastically reduces the need for visible interface buttons, stripping away clutter while retaining massive operational power.</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Language: Color Scheme, Typography, and Hierarchy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color palette contains nine distinct accent colors (#818cf8 indigo, #34d399 green, #f87171 red, #fbbf24 amber, #22d3ee cyan, #fb923c orange, #f472b6 pink, alongside dark backgrounds). This overabundance destroys visual hierarchy. When every element utilizes a bright accent, the user's eye is pulled in too many directions simultaneously, neutralizing the purpose of color as a signaling mechanism.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redesign bifurcates the color system into two distinct palettes: a </w:t>
      </w:r>
      <w:r w:rsidDel="00000000" w:rsidR="00000000" w:rsidRPr="00000000">
        <w:rPr>
          <w:rFonts w:ascii="Google Sans" w:cs="Google Sans" w:eastAsia="Google Sans" w:hAnsi="Google Sans"/>
          <w:b w:val="1"/>
          <w:bCs w:val="1"/>
          <w:color w:val="1f1f1f"/>
          <w:rtl w:val="0"/>
        </w:rPr>
        <w:t xml:space="preserve">Semantic Palette</w:t>
      </w:r>
      <w:r w:rsidDel="00000000" w:rsidR="00000000" w:rsidRPr="00000000">
        <w:rPr>
          <w:rFonts w:ascii="Google Sans" w:cs="Google Sans" w:eastAsia="Google Sans" w:hAnsi="Google Sans"/>
          <w:color w:val="1f1f1f"/>
          <w:rtl w:val="0"/>
        </w:rPr>
        <w:t xml:space="preserve"> for system status and a </w:t>
      </w:r>
      <w:r w:rsidDel="00000000" w:rsidR="00000000" w:rsidRPr="00000000">
        <w:rPr>
          <w:rFonts w:ascii="Google Sans" w:cs="Google Sans" w:eastAsia="Google Sans" w:hAnsi="Google Sans"/>
          <w:b w:val="1"/>
          <w:bCs w:val="1"/>
          <w:color w:val="1f1f1f"/>
          <w:rtl w:val="0"/>
        </w:rPr>
        <w:t xml:space="preserve">Categorical Palette</w:t>
      </w:r>
      <w:r w:rsidDel="00000000" w:rsidR="00000000" w:rsidRPr="00000000">
        <w:rPr>
          <w:rFonts w:ascii="Google Sans" w:cs="Google Sans" w:eastAsia="Google Sans" w:hAnsi="Google Sans"/>
          <w:color w:val="1f1f1f"/>
          <w:rtl w:val="0"/>
        </w:rPr>
        <w:t xml:space="preserve"> for architectural dimensions.</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and Categorical Palettes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Palette is strictly reserved for communicating state, health, and primary actions. It must be used sparingly to ensure that critical alerts command immediate attention.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Palette Type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Usage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Hex Value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in User Interface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 Background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#08080C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deepest layer, used for the main canvas and the primary sidebar navigation.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Surface Elevate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Background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#12121A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Elevated cards, tables, split-pane backgrounds, and modal dialogs.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Border &amp; Divider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Lines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#1F1F2E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Separating table rows, defining card edges, and splitting panes.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Semantic: Alert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Blocked, Failed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#F87171 (Red)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Critical contradictions, blocked agent actions, compliance failures, security breaches.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Semantic: Warn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Tension, Drift, Degraded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#FBBF24 (Amber)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Lyapunov drift, compatible tensions, SLA warnings, partial spec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Semantic: Safe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Resolved, Active, Passed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#34D399 (Green)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Implemented specs, active agents, passed compliance checks, resolved conflicts.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Semantic: 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Interactive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#818CF8 (Indigo)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 buttons, keyboard focus rings, active tab indicators, primary links.</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remaining colors from the original palette (Cyan #22d3ee, Orange #fb923c, Pink #f472b6) are strictly relegated to the </w:t>
      </w:r>
      <w:r w:rsidDel="00000000" w:rsidR="00000000" w:rsidRPr="00000000">
        <w:rPr>
          <w:rFonts w:ascii="Google Sans" w:cs="Google Sans" w:eastAsia="Google Sans" w:hAnsi="Google Sans"/>
          <w:b w:val="1"/>
          <w:bCs w:val="1"/>
          <w:color w:val="1f1f1f"/>
          <w:rtl w:val="0"/>
        </w:rPr>
        <w:t xml:space="preserve">Categorical Palette</w:t>
      </w:r>
      <w:r w:rsidDel="00000000" w:rsidR="00000000" w:rsidRPr="00000000">
        <w:rPr>
          <w:rFonts w:ascii="Google Sans" w:cs="Google Sans" w:eastAsia="Google Sans" w:hAnsi="Google Sans"/>
          <w:color w:val="1f1f1f"/>
          <w:rtl w:val="0"/>
        </w:rPr>
        <w:t xml:space="preserve">. They are utilized exclusively to color-code dimensions within the Decision Graph and trace timelines (e.g., Database decisions = Cyan, API decisions = Orange, Auth decisions = Pink). They must never be applied to buttons, text links, or status indicators, preventing categorical data from being misinterpreted as system alerts.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Light/Dark Mode and Colorblind Accessibility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developer tools must default to a dark mode interface to reduce eye strain during prolonged diagnostic sessions in low-light environments. However, compliance officers and PMs frequently require the ability to export views, project dashboards in brightly lit conference rooms, or integrate screenshots into white-paper reports. Therefore, the system must support a functional light mode governed by CSS custom properties (variables) that invert the background and surface colors while darkening the text.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Relying solely on color to convey critical information violates accessibility standards, particularly for users with Protanopia (red-blindness) or Deuteranopia (green-blindness). The design system must employ dual-encoding for all semantic states.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8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A red "Critical" badge must also feature a distinct warning icon (e.g., an exclamation mark inside a triangle).</w:t>
      </w:r>
    </w:p>
    <w:p w:rsidR="00000000" w:rsidDel="00000000" w:rsidP="00000000" w:rsidRDefault="00000000" w:rsidRPr="00000000" w14:paraId="0000008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 green "Resolved" badge must include a checkmark icon.</w:t>
      </w:r>
    </w:p>
    <w:p w:rsidR="00000000" w:rsidDel="00000000" w:rsidP="00000000" w:rsidRDefault="00000000" w:rsidRPr="00000000" w14:paraId="0000008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Line charts depicting varying data streams must rely on distinct stroke patterns (solid, dashed, dotted) in addition to categorical colors.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Spacing, and Data Density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data density effectively, typography must be strictly regimented. The redesign employs a dual-font system to separate narrative context from raw technical data.</w:t>
      </w:r>
    </w:p>
    <w:p w:rsidR="00000000" w:rsidDel="00000000" w:rsidP="00000000" w:rsidRDefault="00000000" w:rsidRPr="00000000" w14:paraId="0000008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 (Sans-Serif):</w:t>
      </w:r>
      <w:r w:rsidDel="00000000" w:rsidR="00000000" w:rsidRPr="00000000">
        <w:rPr>
          <w:rFonts w:ascii="Google Sans" w:cs="Google Sans" w:eastAsia="Google Sans" w:hAnsi="Google Sans"/>
          <w:color w:val="1f1f1f"/>
          <w:rtl w:val="0"/>
        </w:rPr>
        <w:t xml:space="preserve"> Utilized for all user interface text, headers, navigation labels, and body copy to ensure maximum legibility at small sizes.</w:t>
      </w:r>
    </w:p>
    <w:p w:rsidR="00000000" w:rsidDel="00000000" w:rsidP="00000000" w:rsidRDefault="00000000" w:rsidRPr="00000000" w14:paraId="0000008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JetBrains Mono (Monospace):</w:t>
      </w:r>
      <w:r w:rsidDel="00000000" w:rsidR="00000000" w:rsidRPr="00000000">
        <w:rPr>
          <w:rFonts w:ascii="Google Sans" w:cs="Google Sans" w:eastAsia="Google Sans" w:hAnsi="Google Sans"/>
          <w:color w:val="1f1f1f"/>
          <w:rtl w:val="0"/>
        </w:rPr>
        <w:t xml:space="preserve"> Exclusively deployed for code snippets, trace IDs, memory addresses, Merkle root hashes, and numerical data that requires vertical alignment (e.g., latency metrics, cost calculations). Monospaced fonts allow developers to scan long lists of IDs and immediately spot anomalies based on string length and character alignment.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Taking inspiration from complex observability platforms, the UI must avoid excessive white space when rendering technical logs.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cards should possess no more than 16px (--space-4) of internal padding. Tables must support a user-toggled "High Density" mode that compresses row height from a comfortable 48px down to 32px, allowing Tech Leads to scan significantly more traces or signals simultaneously without scrolling.</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Design Patterns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establish a familiar and predictable user experience, dependable and repeatable UX patterns are enforced across all views. If an interaction works a certain way in the Lattice workspace, users will expect it to function identically in the Governance workspace.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Contradiction Card: Side-by-Side Resolution UX</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interface for resolving architectural contradictions is the most critical interaction for the Tech Lead. The original "side-by-side A vs B" comparison is conceptually sound but must be heavily optimized for rapid scanning and decision-making. A contradiction resolution interface must rely on strict horizontal visual alignment to highlight differences effectively.</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component is engineered as a full-width surface card split precisely down the vertical center.</w:t>
      </w:r>
    </w:p>
    <w:p w:rsidR="00000000" w:rsidDel="00000000" w:rsidP="00000000" w:rsidRDefault="00000000" w:rsidRPr="00000000" w14:paraId="0000009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Shared Header:</w:t>
      </w:r>
      <w:r w:rsidDel="00000000" w:rsidR="00000000" w:rsidRPr="00000000">
        <w:rPr>
          <w:rFonts w:ascii="Google Sans" w:cs="Google Sans" w:eastAsia="Google Sans" w:hAnsi="Google Sans"/>
          <w:color w:val="1f1f1f"/>
          <w:rtl w:val="0"/>
        </w:rPr>
        <w:t xml:space="preserve"> At the top of the card spans a shared header displaying the Severity Badge, the LLM-generated summary of the conflict, and the Natural Language Inference (NLI) confidence score.</w:t>
      </w:r>
    </w:p>
    <w:p w:rsidR="00000000" w:rsidDel="00000000" w:rsidP="00000000" w:rsidRDefault="00000000" w:rsidRPr="00000000" w14:paraId="0000009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Diff Columns:</w:t>
      </w:r>
      <w:r w:rsidDel="00000000" w:rsidR="00000000" w:rsidRPr="00000000">
        <w:rPr>
          <w:rFonts w:ascii="Google Sans" w:cs="Google Sans" w:eastAsia="Google Sans" w:hAnsi="Google Sans"/>
          <w:color w:val="1f1f1f"/>
          <w:rtl w:val="0"/>
        </w:rPr>
        <w:t xml:space="preserve"> The left column (Decision A) and right column (Decision B) display the proposing Agent, the timestamp, the exact code diff, and the architectural dimension. The code diffs must use standard syntax highlighting and line-number alignment to instantly draw the eye to the mutated logic.</w:t>
      </w:r>
    </w:p>
    <w:p w:rsidR="00000000" w:rsidDel="00000000" w:rsidP="00000000" w:rsidRDefault="00000000" w:rsidRPr="00000000" w14:paraId="0000009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Reachability Graph (Blast Radius):</w:t>
      </w:r>
      <w:r w:rsidDel="00000000" w:rsidR="00000000" w:rsidRPr="00000000">
        <w:rPr>
          <w:rFonts w:ascii="Google Sans" w:cs="Google Sans" w:eastAsia="Google Sans" w:hAnsi="Google Sans"/>
          <w:color w:val="1f1f1f"/>
          <w:rtl w:val="0"/>
        </w:rPr>
        <w:t xml:space="preserve"> Below the diffs, a reachability graph displays the structural impact of the contradiction. Utilizing static call graph analysis, this visualization maps the path from the conflicting code elements down to the downstream services affected, clearly illustrating whether a change will cascade into a system-wide failure or remain isolated.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Sticky Action Footer:</w:t>
      </w:r>
      <w:r w:rsidDel="00000000" w:rsidR="00000000" w:rsidRPr="00000000">
        <w:rPr>
          <w:rFonts w:ascii="Google Sans" w:cs="Google Sans" w:eastAsia="Google Sans" w:hAnsi="Google Sans"/>
          <w:color w:val="1f1f1f"/>
          <w:rtl w:val="0"/>
        </w:rPr>
        <w:t xml:space="preserve"> A footer locked to the bottom of the card contains the resolution actions: Accept A, Accept B, Accept Both (Fork), or Create Exception. Placing these inside a sticky container ensures they remain accessible even if the code diff requires vertical scrolling.</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Profile and Lyapunov Drift Visualization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 Profile component must communicate the autonomy level, historical access, and mathematical stability of an AI agent at a rapid glance. Instead of listing every allowed and blocked path as a dense wall of text, the card utilizes distinct visual components.</w:t>
      </w:r>
    </w:p>
    <w:p w:rsidR="00000000" w:rsidDel="00000000" w:rsidP="00000000" w:rsidRDefault="00000000" w:rsidRPr="00000000" w14:paraId="0000009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Lyapunov Drift Gauge:</w:t>
      </w:r>
      <w:r w:rsidDel="00000000" w:rsidR="00000000" w:rsidRPr="00000000">
        <w:rPr>
          <w:rFonts w:ascii="Google Sans" w:cs="Google Sans" w:eastAsia="Google Sans" w:hAnsi="Google Sans"/>
          <w:color w:val="1f1f1f"/>
          <w:rtl w:val="0"/>
        </w:rPr>
        <w:t xml:space="preserve"> Agent stability is measured via Lyapunov exponents, which characterize the rate of separation of infinitesimally close trajectories within a dynamical system.</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 the UI, this is translated into a semi-circular gauge or a horizontal sparkline.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gauge maps the drift score on a scale from 0.0 to 1.0. As the score approaches the 0.7 hard-stop threshold, the gauge transitions from green to amber, and finally to red, providing a clear visual warning of impending chaotic behavior or intent drift.</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Permission Chips:</w:t>
      </w:r>
      <w:r w:rsidDel="00000000" w:rsidR="00000000" w:rsidRPr="00000000">
        <w:rPr>
          <w:rFonts w:ascii="Google Sans" w:cs="Google Sans" w:eastAsia="Google Sans" w:hAnsi="Google Sans"/>
          <w:color w:val="1f1f1f"/>
          <w:rtl w:val="0"/>
        </w:rPr>
        <w:t xml:space="preserve"> Allowed and blocked dimensions are displayed as dense, pill-shaped chips (e.g., a green [+] API Schema chip, a red [-] DB Config chip) rather than bulleted lists, significantly increasing scanning speed.</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Trace and Provenance Spans: Taint Flow Visualization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Visualizing intercepted LLM calls requires a specialized timeline component capable of handling highly nested execution data. Following distributed tracing patterns, an agent trace is composed of a root span with nested child spans representing discrete tasks, tools, embeddings, and retrievals.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D">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Waterfall Visualization:</w:t>
      </w:r>
      <w:r w:rsidDel="00000000" w:rsidR="00000000" w:rsidRPr="00000000">
        <w:rPr>
          <w:rFonts w:ascii="Google Sans" w:cs="Google Sans" w:eastAsia="Google Sans" w:hAnsi="Google Sans"/>
          <w:color w:val="1f1f1f"/>
          <w:rtl w:val="0"/>
        </w:rPr>
        <w:t xml:space="preserve"> Traces are displayed as an interactive, collapsible waterfall chart. The horizontal axis represents absolute time, while horizontal bars represent the duration of each specific span.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Clicking a span expands it to reveal prompt previews, response payloads, and token consumption metrics.</w:t>
      </w:r>
    </w:p>
    <w:p w:rsidR="00000000" w:rsidDel="00000000" w:rsidP="00000000" w:rsidRDefault="00000000" w:rsidRPr="00000000" w14:paraId="0000009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Taint Flow Overlay:</w:t>
      </w:r>
      <w:r w:rsidDel="00000000" w:rsidR="00000000" w:rsidRPr="00000000">
        <w:rPr>
          <w:rFonts w:ascii="Google Sans" w:cs="Google Sans" w:eastAsia="Google Sans" w:hAnsi="Google Sans"/>
          <w:color w:val="1f1f1f"/>
          <w:rtl w:val="0"/>
        </w:rPr>
        <w:t xml:space="preserve"> To show provenance and ensure that unverified, untrusted LLM output does not reach critical system sinks without sanitization, the trace component includes a static taint analysis overlay. Tainted data streams (e.g., external prompt injections or unverified file reads) are highlighted with a red stroke, and visual connecting arrows demonstrate the propagation path of the tainted data through the agent's logic flow, identifying vulnerabilities before they are committed to the codebase.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Graph: Causality and Hybrid Vector Clocks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Force-directed Directed Acyclic Graphs (DAGs), such as those rendered by Cytoscape.js, frequently degenerate into an unreadable visual "hairball" when nodes scale into the hundreds, rendering them useless for debugging distributed logic. The redesign replaces the standard force layout with a structured timeline based on Hybrid Vector Clocks.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1">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Swimlane Architecture:</w:t>
      </w:r>
      <w:r w:rsidDel="00000000" w:rsidR="00000000" w:rsidRPr="00000000">
        <w:rPr>
          <w:rFonts w:ascii="Google Sans" w:cs="Google Sans" w:eastAsia="Google Sans" w:hAnsi="Google Sans"/>
          <w:color w:val="1f1f1f"/>
          <w:rtl w:val="0"/>
        </w:rPr>
        <w:t xml:space="preserve"> The graph is organized into horizontal swimlanes, with each lane representing an active agent, human user, or microservice.</w:t>
      </w:r>
    </w:p>
    <w:p w:rsidR="00000000" w:rsidDel="00000000" w:rsidP="00000000" w:rsidRDefault="00000000" w:rsidRPr="00000000" w14:paraId="000000A2">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Happened-Before Edges:</w:t>
      </w:r>
      <w:r w:rsidDel="00000000" w:rsidR="00000000" w:rsidRPr="00000000">
        <w:rPr>
          <w:rFonts w:ascii="Google Sans" w:cs="Google Sans" w:eastAsia="Google Sans" w:hAnsi="Google Sans"/>
          <w:color w:val="1f1f1f"/>
          <w:rtl w:val="0"/>
        </w:rPr>
        <w:t xml:space="preserve"> Decisions are plotted as nodes on these precise timelines. Edges connecting nodes between different swimlanes represent DEPENDS_ON or SUPERSEDES relationships. This layout clearly illustrates the partial ordering of events and causality across the distributed system, eliminating the chaotic crossover of force-directed graphs and allowing engineers to trace exactly which agent's output influenced another agent's input.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Mobile and Responsive Strategy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tool dedicated to visualizing massive causality graphs, side-by-side code diffs, and dense telemetry data cannot realistically offer full functionality on a 390px wide mobile screen without severely compromising the desktop experience. VT Protocol is fundamentally a desktop-first enterprise application.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critical interventions—such as a Tech Lead approving an emergency hotfix or a CISO reviewing a sudden block on a rogue agent—often occur away from the desk. The mobile responsive strategy is strictly limited to a </w:t>
      </w:r>
      <w:r w:rsidDel="00000000" w:rsidR="00000000" w:rsidRPr="00000000">
        <w:rPr>
          <w:rFonts w:ascii="Google Sans" w:cs="Google Sans" w:eastAsia="Google Sans" w:hAnsi="Google Sans"/>
          <w:b w:val="1"/>
          <w:bCs w:val="1"/>
          <w:color w:val="1f1f1f"/>
          <w:rtl w:val="0"/>
        </w:rPr>
        <w:t xml:space="preserve">Triage Mode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viewport width drops below 768px (standard tablet breakpoint), the system automatically hides the Lattice, Axiom, and Alignment workspaces entirely. The mobile application surfaces only:</w:t>
      </w:r>
    </w:p>
    <w:p w:rsidR="00000000" w:rsidDel="00000000" w:rsidP="00000000" w:rsidRDefault="00000000" w:rsidRPr="00000000" w14:paraId="000000A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Home Dashboard KPIs:</w:t>
      </w:r>
      <w:r w:rsidDel="00000000" w:rsidR="00000000" w:rsidRPr="00000000">
        <w:rPr>
          <w:rFonts w:ascii="Google Sans" w:cs="Google Sans" w:eastAsia="Google Sans" w:hAnsi="Google Sans"/>
          <w:color w:val="1f1f1f"/>
          <w:rtl w:val="0"/>
        </w:rPr>
        <w:t xml:space="preserve"> Coherence score and active incident counts stacked vertically.</w:t>
      </w:r>
    </w:p>
    <w:p w:rsidR="00000000" w:rsidDel="00000000" w:rsidP="00000000" w:rsidRDefault="00000000" w:rsidRPr="00000000" w14:paraId="000000A8">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Urgent Triage Feed:</w:t>
      </w:r>
      <w:r w:rsidDel="00000000" w:rsidR="00000000" w:rsidRPr="00000000">
        <w:rPr>
          <w:rFonts w:ascii="Google Sans" w:cs="Google Sans" w:eastAsia="Google Sans" w:hAnsi="Google Sans"/>
          <w:color w:val="1f1f1f"/>
          <w:rtl w:val="0"/>
        </w:rPr>
        <w:t xml:space="preserve"> A list of critical open contradictions. Clicking a contradiction opens a simplified, stacked view of Decision A above Decision B (abandoning the side-by-side layout due to horizontal constraints), exposing only the summary and the action buttons (Accept A, Accept B).</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ensures that while deep forensic debugging requires a desktop, emergency operational continuity can be maintained from a mobile device.</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Page-by-Page Layout Specifications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specifications detail the exact structural composition of the newly consolidated pages, providing clear directives for engineering handoff.</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Home / Main Dashboard</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Persona:</w:t>
      </w:r>
      <w:r w:rsidDel="00000000" w:rsidR="00000000" w:rsidRPr="00000000">
        <w:rPr>
          <w:rFonts w:ascii="Google Sans" w:cs="Google Sans" w:eastAsia="Google Sans" w:hAnsi="Google Sans"/>
          <w:color w:val="1f1f1f"/>
          <w:rtl w:val="0"/>
        </w:rPr>
        <w:t xml:space="preserve"> Tech Lead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Rapid triage and top-level system health monitoring. It ruthlessly cuts secondary information, focusing entirely on actionable insights.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Layout Wireframe &amp; Spacing:</w:t>
      </w:r>
    </w:p>
    <w:p w:rsidR="00000000" w:rsidDel="00000000" w:rsidP="00000000" w:rsidRDefault="00000000" w:rsidRPr="00000000" w14:paraId="000000B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Above the Fold (Top 20%):</w:t>
      </w:r>
      <w:r w:rsidDel="00000000" w:rsidR="00000000" w:rsidRPr="00000000">
        <w:rPr>
          <w:rFonts w:ascii="Google Sans" w:cs="Google Sans" w:eastAsia="Google Sans" w:hAnsi="Google Sans"/>
          <w:color w:val="1f1f1f"/>
          <w:rtl w:val="0"/>
        </w:rPr>
        <w:t xml:space="preserve"> A CSS Grid layout containing four high-contrast KPI cards.</w:t>
      </w:r>
    </w:p>
    <w:p w:rsidR="00000000" w:rsidDel="00000000" w:rsidP="00000000" w:rsidRDefault="00000000" w:rsidRPr="00000000" w14:paraId="000000B1">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Architecture Coherence Score:</w:t>
      </w:r>
      <w:r w:rsidDel="00000000" w:rsidR="00000000" w:rsidRPr="00000000">
        <w:rPr>
          <w:rFonts w:ascii="Google Sans" w:cs="Google Sans" w:eastAsia="Google Sans" w:hAnsi="Google Sans"/>
          <w:color w:val="1f1f1f"/>
          <w:rtl w:val="0"/>
        </w:rPr>
        <w:t xml:space="preserve"> A large percentage figure (e.g., 92%) accompanied by a subtle sparkline indicating the 7-day trend.</w:t>
      </w:r>
    </w:p>
    <w:p w:rsidR="00000000" w:rsidDel="00000000" w:rsidP="00000000" w:rsidRDefault="00000000" w:rsidRPr="00000000" w14:paraId="000000B2">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Open Critical Contradictions:</w:t>
      </w:r>
      <w:r w:rsidDel="00000000" w:rsidR="00000000" w:rsidRPr="00000000">
        <w:rPr>
          <w:rFonts w:ascii="Google Sans" w:cs="Google Sans" w:eastAsia="Google Sans" w:hAnsi="Google Sans"/>
          <w:color w:val="1f1f1f"/>
          <w:rtl w:val="0"/>
        </w:rPr>
        <w:t xml:space="preserve"> A prominent red number indicating issues requiring immediate human intervention.</w:t>
      </w:r>
    </w:p>
    <w:p w:rsidR="00000000" w:rsidDel="00000000" w:rsidP="00000000" w:rsidRDefault="00000000" w:rsidRPr="00000000" w14:paraId="000000B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Highest Agent Drift:</w:t>
      </w:r>
      <w:r w:rsidDel="00000000" w:rsidR="00000000" w:rsidRPr="00000000">
        <w:rPr>
          <w:rFonts w:ascii="Google Sans" w:cs="Google Sans" w:eastAsia="Google Sans" w:hAnsi="Google Sans"/>
          <w:color w:val="1f1f1f"/>
          <w:rtl w:val="0"/>
        </w:rPr>
        <w:t xml:space="preserve"> Displays the name of the agent closest to the Lyapunov safety threshold (e.g., cursor-frontend (0.68)).</w:t>
      </w:r>
    </w:p>
    <w:p w:rsidR="00000000" w:rsidDel="00000000" w:rsidP="00000000" w:rsidRDefault="00000000" w:rsidRPr="00000000" w14:paraId="000000B4">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Anomalous LLM Calls:</w:t>
      </w:r>
      <w:r w:rsidDel="00000000" w:rsidR="00000000" w:rsidRPr="00000000">
        <w:rPr>
          <w:rFonts w:ascii="Google Sans" w:cs="Google Sans" w:eastAsia="Google Sans" w:hAnsi="Google Sans"/>
          <w:color w:val="1f1f1f"/>
          <w:rtl w:val="0"/>
        </w:rPr>
        <w:t xml:space="preserve"> A count of operations flagged for excessive cost, latency spikes, or pattern violations.</w:t>
      </w:r>
    </w:p>
    <w:p w:rsidR="00000000" w:rsidDel="00000000" w:rsidP="00000000" w:rsidRDefault="00000000" w:rsidRPr="00000000" w14:paraId="000000B5">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Middle Canvas (Next 40%):</w:t>
      </w:r>
      <w:r w:rsidDel="00000000" w:rsidR="00000000" w:rsidRPr="00000000">
        <w:rPr>
          <w:rFonts w:ascii="Google Sans" w:cs="Google Sans" w:eastAsia="Google Sans" w:hAnsi="Google Sans"/>
          <w:color w:val="1f1f1f"/>
          <w:rtl w:val="0"/>
        </w:rPr>
        <w:t xml:space="preserve"> The "Urgent Triage" section. A list view of the top 3-5 critical open contradictions. This prevents the user from having to navigate away to begin resolving critical issues. Each row shows the title, severity, and a quick "Resolve" button that opens the side-by-side resolution card in a modal slide-over.</w:t>
      </w:r>
    </w:p>
    <w:p w:rsidR="00000000" w:rsidDel="00000000" w:rsidP="00000000" w:rsidRDefault="00000000" w:rsidRPr="00000000" w14:paraId="000000B6">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Bottom Canvas (Bottom 40%):</w:t>
      </w:r>
      <w:r w:rsidDel="00000000" w:rsidR="00000000" w:rsidRPr="00000000">
        <w:rPr>
          <w:rFonts w:ascii="Google Sans" w:cs="Google Sans" w:eastAsia="Google Sans" w:hAnsi="Google Sans"/>
          <w:color w:val="1f1f1f"/>
          <w:rtl w:val="0"/>
        </w:rPr>
        <w:t xml:space="preserve"> The "Golden Signals" health matrix. A compact, high-density table displaying the seven signals (File changes, Dependency mutations, Config sensitivity, Scope creep, Intent drift, Pattern violations, LLM anomalies). Each row contains a traffic-light status indicator and a trend sparkline.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to Cut or Hide:</w:t>
      </w:r>
    </w:p>
    <w:p w:rsidR="00000000" w:rsidDel="00000000" w:rsidP="00000000" w:rsidRDefault="00000000" w:rsidRPr="00000000" w14:paraId="000000B8">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Cut:</w:t>
      </w:r>
      <w:r w:rsidDel="00000000" w:rsidR="00000000" w:rsidRPr="00000000">
        <w:rPr>
          <w:rFonts w:ascii="Google Sans" w:cs="Google Sans" w:eastAsia="Google Sans" w:hAnsi="Google Sans"/>
          <w:color w:val="1f1f1f"/>
          <w:rtl w:val="0"/>
        </w:rPr>
        <w:t xml:space="preserve"> The "Recent Activity Feed." A chronological log of every system event creates massive visual noise and provides little actionable context for a Tech Lead trying to solve a specific problem. It is relocated entirely to the Audit Trail under the Governance tab.</w:t>
      </w:r>
    </w:p>
    <w:p w:rsidR="00000000" w:rsidDel="00000000" w:rsidP="00000000" w:rsidRDefault="00000000" w:rsidRPr="00000000" w14:paraId="000000B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Hide:</w:t>
      </w:r>
      <w:r w:rsidDel="00000000" w:rsidR="00000000" w:rsidRPr="00000000">
        <w:rPr>
          <w:rFonts w:ascii="Google Sans" w:cs="Google Sans" w:eastAsia="Google Sans" w:hAnsi="Google Sans"/>
          <w:color w:val="1f1f1f"/>
          <w:rtl w:val="0"/>
        </w:rPr>
        <w:t xml:space="preserve"> The "Dimension health table" is hidden behind a secondary tab on the Axiom page. Dimension-specific health is a drill-down investigative task, not a top-level triage task.</w:t>
      </w:r>
    </w:p>
    <w:p w:rsidR="00000000" w:rsidDel="00000000" w:rsidP="00000000" w:rsidRDefault="00000000" w:rsidRPr="00000000" w14:paraId="000000BA">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Hide:</w:t>
      </w:r>
      <w:r w:rsidDel="00000000" w:rsidR="00000000" w:rsidRPr="00000000">
        <w:rPr>
          <w:rFonts w:ascii="Google Sans" w:cs="Google Sans" w:eastAsia="Google Sans" w:hAnsi="Google Sans"/>
          <w:color w:val="1f1f1f"/>
          <w:rtl w:val="0"/>
        </w:rPr>
        <w:t xml:space="preserve"> The list of onboarded agents is removed from the dashboard. Agents belong in Governance; only the </w:t>
      </w:r>
      <w:r w:rsidDel="00000000" w:rsidR="00000000" w:rsidRPr="00000000">
        <w:rPr>
          <w:rFonts w:ascii="Google Sans" w:cs="Google Sans" w:eastAsia="Google Sans" w:hAnsi="Google Sans"/>
          <w:i w:val="1"/>
          <w:iCs w:val="1"/>
          <w:color w:val="1f1f1f"/>
          <w:rtl w:val="0"/>
        </w:rPr>
        <w:t xml:space="preserve">drift score</w:t>
      </w:r>
      <w:r w:rsidDel="00000000" w:rsidR="00000000" w:rsidRPr="00000000">
        <w:rPr>
          <w:rFonts w:ascii="Google Sans" w:cs="Google Sans" w:eastAsia="Google Sans" w:hAnsi="Google Sans"/>
          <w:color w:val="1f1f1f"/>
          <w:rtl w:val="0"/>
        </w:rPr>
        <w:t xml:space="preserve"> of the most unstable agent deserves prime real estate.</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Lattice (Observation)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Persona:</w:t>
      </w:r>
      <w:r w:rsidDel="00000000" w:rsidR="00000000" w:rsidRPr="00000000">
        <w:rPr>
          <w:rFonts w:ascii="Google Sans" w:cs="Google Sans" w:eastAsia="Google Sans" w:hAnsi="Google Sans"/>
          <w:color w:val="1f1f1f"/>
          <w:rtl w:val="0"/>
        </w:rPr>
        <w:t xml:space="preserve"> Tech Lead, QA</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Unify Signals, Traces, Provenance, and the MCP Inventory into a single investigative environment for debugging agent behavior.</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Layout Wireframe &amp; Spacing:</w:t>
      </w:r>
    </w:p>
    <w:p w:rsidR="00000000" w:rsidDel="00000000" w:rsidP="00000000" w:rsidRDefault="00000000" w:rsidRPr="00000000" w14:paraId="000000BF">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Left Sidebar (20% width):</w:t>
      </w:r>
      <w:r w:rsidDel="00000000" w:rsidR="00000000" w:rsidRPr="00000000">
        <w:rPr>
          <w:rFonts w:ascii="Google Sans" w:cs="Google Sans" w:eastAsia="Google Sans" w:hAnsi="Google Sans"/>
          <w:color w:val="1f1f1f"/>
          <w:rtl w:val="0"/>
        </w:rPr>
        <w:t xml:space="preserve"> A sticky filter panel. Users can filter the feed by Agent ID, Action Type (read, write, LLM call), Model Provider, Time Range, or Taint Status.</w:t>
      </w:r>
    </w:p>
    <w:p w:rsidR="00000000" w:rsidDel="00000000" w:rsidP="00000000" w:rsidRDefault="00000000" w:rsidRPr="00000000" w14:paraId="000000C0">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Main Feed (40% width):</w:t>
      </w:r>
      <w:r w:rsidDel="00000000" w:rsidR="00000000" w:rsidRPr="00000000">
        <w:rPr>
          <w:rFonts w:ascii="Google Sans" w:cs="Google Sans" w:eastAsia="Google Sans" w:hAnsi="Google Sans"/>
          <w:color w:val="1f1f1f"/>
          <w:rtl w:val="0"/>
        </w:rPr>
        <w:t xml:space="preserve"> A high-density, continuously updating list of intercepted LLM calls and system operations. Each row uses JetBrains Mono for the timestamp and Trace ID. Standardized iconography indicates whether the row is a file write, a shell command, or an LLM call.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C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Right Detail Pane (40% width):</w:t>
      </w:r>
      <w:r w:rsidDel="00000000" w:rsidR="00000000" w:rsidRPr="00000000">
        <w:rPr>
          <w:rFonts w:ascii="Google Sans" w:cs="Google Sans" w:eastAsia="Google Sans" w:hAnsi="Google Sans"/>
          <w:color w:val="1f1f1f"/>
          <w:rtl w:val="0"/>
        </w:rPr>
        <w:t xml:space="preserve"> When a trace is selected in the main feed, this pane slides in to populate the deep dive. It is vertically split into two tabs:</w:t>
      </w:r>
    </w:p>
    <w:p w:rsidR="00000000" w:rsidDel="00000000" w:rsidP="00000000" w:rsidRDefault="00000000" w:rsidRPr="00000000" w14:paraId="000000C2">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Trace Detail Tab:</w:t>
      </w:r>
      <w:r w:rsidDel="00000000" w:rsidR="00000000" w:rsidRPr="00000000">
        <w:rPr>
          <w:rFonts w:ascii="Google Sans" w:cs="Google Sans" w:eastAsia="Google Sans" w:hAnsi="Google Sans"/>
          <w:color w:val="1f1f1f"/>
          <w:rtl w:val="0"/>
        </w:rPr>
        <w:t xml:space="preserve"> The Trace Waterfall, displaying the latency and token usage of the specific LLM call, prompt preview, response preview, and the taint flow overlay.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3">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Provenance Tab:</w:t>
      </w:r>
      <w:r w:rsidDel="00000000" w:rsidR="00000000" w:rsidRPr="00000000">
        <w:rPr>
          <w:rFonts w:ascii="Google Sans" w:cs="Google Sans" w:eastAsia="Google Sans" w:hAnsi="Google Sans"/>
          <w:color w:val="1f1f1f"/>
          <w:rtl w:val="0"/>
        </w:rPr>
        <w:t xml:space="preserve"> A localized vector clock graph showing the specific input/output lineage of the selected trace, allowing the user to trace a faulty output back to the specific prompt or file read that caused it.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to Cut or Hide:</w:t>
      </w:r>
    </w:p>
    <w:p w:rsidR="00000000" w:rsidDel="00000000" w:rsidP="00000000" w:rsidRDefault="00000000" w:rsidRPr="00000000" w14:paraId="000000C5">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Cut:</w:t>
      </w:r>
      <w:r w:rsidDel="00000000" w:rsidR="00000000" w:rsidRPr="00000000">
        <w:rPr>
          <w:rFonts w:ascii="Google Sans" w:cs="Google Sans" w:eastAsia="Google Sans" w:hAnsi="Google Sans"/>
          <w:color w:val="1f1f1f"/>
          <w:rtl w:val="0"/>
        </w:rPr>
        <w:t xml:space="preserve"> The standalone "MCP Inventory" page is eliminated. MCP server calls are subsumed into the Lattice feed as standard tool_call spans.</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Axiom (Memory)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Persona:</w:t>
      </w:r>
      <w:r w:rsidDel="00000000" w:rsidR="00000000" w:rsidRPr="00000000">
        <w:rPr>
          <w:rFonts w:ascii="Google Sans" w:cs="Google Sans" w:eastAsia="Google Sans" w:hAnsi="Google Sans"/>
          <w:color w:val="1f1f1f"/>
          <w:rtl w:val="0"/>
        </w:rPr>
        <w:t xml:space="preserve"> Tech Lead, PM</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Act as the architectural ledger, combining the tracking of decisions and the resolution of contradictions.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Layout Wireframe &amp; Spacing:</w:t>
      </w:r>
    </w:p>
    <w:p w:rsidR="00000000" w:rsidDel="00000000" w:rsidP="00000000" w:rsidRDefault="00000000" w:rsidRPr="00000000" w14:paraId="000000CA">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Top Navigation:</w:t>
      </w:r>
      <w:r w:rsidDel="00000000" w:rsidR="00000000" w:rsidRPr="00000000">
        <w:rPr>
          <w:rFonts w:ascii="Google Sans" w:cs="Google Sans" w:eastAsia="Google Sans" w:hAnsi="Google Sans"/>
          <w:color w:val="1f1f1f"/>
          <w:rtl w:val="0"/>
        </w:rPr>
        <w:t xml:space="preserve"> Two prominent tabs: Contradictions (Open: 4) and Decision Ledger. The interface defaults to Contradictions, as this represents work to be done.</w:t>
      </w:r>
    </w:p>
    <w:p w:rsidR="00000000" w:rsidDel="00000000" w:rsidP="00000000" w:rsidRDefault="00000000" w:rsidRPr="00000000" w14:paraId="000000CB">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Contradictions View:</w:t>
      </w:r>
    </w:p>
    <w:p w:rsidR="00000000" w:rsidDel="00000000" w:rsidP="00000000" w:rsidRDefault="00000000" w:rsidRPr="00000000" w14:paraId="000000C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A master-detail layout. The left pane (30% width) lists open contradictions, sorted strictly by severity (CRITICAL at the top).</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C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The right pane (70% width) displays the Side-by-Side Resolution Card detailed in the component section.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layout ensures the user can rapidly cycle through conflicts using keyboard navigation (up/down arrows to select, Cmd+1 for Pick A, Cmd+2 for Pick B).</w:t>
      </w:r>
    </w:p>
    <w:p w:rsidR="00000000" w:rsidDel="00000000" w:rsidP="00000000" w:rsidRDefault="00000000" w:rsidRPr="00000000" w14:paraId="000000C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Decision Ledger View:</w:t>
      </w:r>
    </w:p>
    <w:p w:rsidR="00000000" w:rsidDel="00000000" w:rsidP="00000000" w:rsidRDefault="00000000" w:rsidRPr="00000000" w14:paraId="000000CF">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When switched to this tab, the screen presents the swimlane-based Hybrid Vector Clock diagram.</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D0">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A time slider persists at the bottom of the screen, allowing the user to scrub backwards through time, watching nodes (decisions) appear and edges (dependencies) form, acting as a playback of the architecture's evolution.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to Cut or Hide:</w:t>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Hide:</w:t>
      </w:r>
      <w:r w:rsidDel="00000000" w:rsidR="00000000" w:rsidRPr="00000000">
        <w:rPr>
          <w:rFonts w:ascii="Google Sans" w:cs="Google Sans" w:eastAsia="Google Sans" w:hAnsi="Google Sans"/>
          <w:color w:val="1f1f1f"/>
          <w:rtl w:val="0"/>
        </w:rPr>
        <w:t xml:space="preserve"> The LLM-generated "Explanation of why this matters" on the contradiction card is hidden behind a "View Rationale" disclosure triangle. Tech Leads generally understand the conflict from the code diff and the reachability graph alone; forcing them to read a paragraph of LLM text slows down triage.</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Relocate:</w:t>
      </w:r>
      <w:r w:rsidDel="00000000" w:rsidR="00000000" w:rsidRPr="00000000">
        <w:rPr>
          <w:rFonts w:ascii="Google Sans" w:cs="Google Sans" w:eastAsia="Google Sans" w:hAnsi="Google Sans"/>
          <w:color w:val="1f1f1f"/>
          <w:rtl w:val="0"/>
        </w:rPr>
        <w:t xml:space="preserve"> The dismissal learning stats are moved to the global Settings page.</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Alignment (Specs &amp; Contracts)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Primary Persona:</w:t>
      </w:r>
      <w:r w:rsidDel="00000000" w:rsidR="00000000" w:rsidRPr="00000000">
        <w:rPr>
          <w:rFonts w:ascii="Google Sans" w:cs="Google Sans" w:eastAsia="Google Sans" w:hAnsi="Google Sans"/>
          <w:color w:val="1f1f1f"/>
          <w:rtl w:val="0"/>
        </w:rPr>
        <w:t xml:space="preserve"> PM, QA</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Ensure autonomous agents are building what was requested and adhering to API schemas without drift.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Layout Wireframe &amp; Spacing:</w:t>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Top Header:</w:t>
      </w:r>
      <w:r w:rsidDel="00000000" w:rsidR="00000000" w:rsidRPr="00000000">
        <w:rPr>
          <w:rFonts w:ascii="Google Sans" w:cs="Google Sans" w:eastAsia="Google Sans" w:hAnsi="Google Sans"/>
          <w:color w:val="1f1f1f"/>
          <w:rtl w:val="0"/>
        </w:rPr>
        <w:t xml:space="preserve"> A large, horizontal progress bar indicating total Product Requirements Document (PRD) coverage (e.g., 84% Requirements Implemented).</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Main Canvas (Vertical Split):</w:t>
      </w:r>
    </w:p>
    <w:p w:rsidR="00000000" w:rsidDel="00000000" w:rsidP="00000000" w:rsidRDefault="00000000" w:rsidRPr="00000000" w14:paraId="000000DA">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Top Section (Living Specs):</w:t>
      </w:r>
      <w:r w:rsidDel="00000000" w:rsidR="00000000" w:rsidRPr="00000000">
        <w:rPr>
          <w:rFonts w:ascii="Google Sans" w:cs="Google Sans" w:eastAsia="Google Sans" w:hAnsi="Google Sans"/>
          <w:color w:val="1f1f1f"/>
          <w:rtl w:val="0"/>
        </w:rPr>
        <w:t xml:space="preserve"> A data table mapping extracted PRD requirements to specific architectural decisions in the Axiom hub. Statuses are indicated by strictly semantic colors: Implemented (Green), Partial (Amber), Diverged (Orange), Not Started (Subdued Gray).</w:t>
      </w:r>
    </w:p>
    <w:p w:rsidR="00000000" w:rsidDel="00000000" w:rsidP="00000000" w:rsidRDefault="00000000" w:rsidRPr="00000000" w14:paraId="000000DB">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Bottom Section (Contracts):</w:t>
      </w:r>
      <w:r w:rsidDel="00000000" w:rsidR="00000000" w:rsidRPr="00000000">
        <w:rPr>
          <w:rFonts w:ascii="Google Sans" w:cs="Google Sans" w:eastAsia="Google Sans" w:hAnsi="Google Sans"/>
          <w:color w:val="1f1f1f"/>
          <w:rtl w:val="0"/>
        </w:rPr>
        <w:t xml:space="preserve"> A grid of cards, one for each microservice. Each card displays an API contract consistency score. If a cross-service violation is detected (e.g., Service A expects XML, Service B returns JSON), the card border illuminates in Alert Red (#F87171), and the specific route mismatch is detailed inside the card.</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to Cut or Hide:</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Cut:</w:t>
      </w:r>
      <w:r w:rsidDel="00000000" w:rsidR="00000000" w:rsidRPr="00000000">
        <w:rPr>
          <w:rFonts w:ascii="Google Sans" w:cs="Google Sans" w:eastAsia="Google Sans" w:hAnsi="Google Sans"/>
          <w:color w:val="1f1f1f"/>
          <w:rtl w:val="0"/>
        </w:rPr>
        <w:t xml:space="preserve"> The "Cross-project insights" and "Architecture DNA fingerprint" from the Phase 4 Intelligence page are highly abstract, computationally expensive to render, and rarely actionable for daily governance tasks. They are removed from the main navigation entirely and placed behind a subtle "View Analytics" link in the Alignment header.</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Governance &amp; Config</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Primary Persona:</w:t>
      </w:r>
      <w:r w:rsidDel="00000000" w:rsidR="00000000" w:rsidRPr="00000000">
        <w:rPr>
          <w:rFonts w:ascii="Google Sans" w:cs="Google Sans" w:eastAsia="Google Sans" w:hAnsi="Google Sans"/>
          <w:color w:val="1f1f1f"/>
          <w:rtl w:val="0"/>
        </w:rPr>
        <w:t xml:space="preserve"> CISO, Admin </w:t>
      </w: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Cater to the compliance and administrative personas, focusing on access control, security, and cryptographic proof of compliance.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Layout Wireframe &amp; Spacing:</w:t>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Left Sidebar (Internal):</w:t>
      </w:r>
      <w:r w:rsidDel="00000000" w:rsidR="00000000" w:rsidRPr="00000000">
        <w:rPr>
          <w:rFonts w:ascii="Google Sans" w:cs="Google Sans" w:eastAsia="Google Sans" w:hAnsi="Google Sans"/>
          <w:color w:val="1f1f1f"/>
          <w:rtl w:val="0"/>
        </w:rPr>
        <w:t xml:space="preserve"> Secondary vertical navigation containing: Agents, Compliance, Audit Trail, and Settings.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Agents View:</w:t>
      </w:r>
    </w:p>
    <w:p w:rsidR="00000000" w:rsidDel="00000000" w:rsidP="00000000" w:rsidRDefault="00000000" w:rsidRPr="00000000" w14:paraId="000000E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A responsive grid of Agent Profile cards. Each card displays the agent's role, status, and the Lyapunov Drift gauge.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E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A prominent primary button (#818CF8) triggers an "Onboard Agent" modal wizard.</w:t>
      </w:r>
    </w:p>
    <w:p w:rsidR="00000000" w:rsidDel="00000000" w:rsidP="00000000" w:rsidRDefault="00000000" w:rsidRPr="00000000" w14:paraId="000000E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Pending Approvals:</w:t>
      </w:r>
      <w:r w:rsidDel="00000000" w:rsidR="00000000" w:rsidRPr="00000000">
        <w:rPr>
          <w:rFonts w:ascii="Google Sans" w:cs="Google Sans" w:eastAsia="Google Sans" w:hAnsi="Google Sans"/>
          <w:color w:val="1f1f1f"/>
          <w:rtl w:val="0"/>
        </w:rPr>
        <w:t xml:space="preserve"> Displayed as a sticky banner at the very top of the grid. If an agent attempts to modify a restricted dimension, the CISO can approve or deny directly from this banner without hunting through logs.</w:t>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Compliance View:</w:t>
      </w:r>
    </w:p>
    <w:p w:rsidR="00000000" w:rsidDel="00000000" w:rsidP="00000000" w:rsidRDefault="00000000" w:rsidRPr="00000000" w14:paraId="000000E7">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Framework cards (SOC 2, HIPAA, EU AI Act) dominate the top. Clicking a framework filters the lower half of the page to show relevant data.</w:t>
      </w:r>
    </w:p>
    <w:p w:rsidR="00000000" w:rsidDel="00000000" w:rsidP="00000000" w:rsidRDefault="00000000" w:rsidRPr="00000000" w14:paraId="000000E8">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color w:val="1f1f1f"/>
          <w:rtl w:val="0"/>
        </w:rPr>
        <w:t xml:space="preserve">Below, the Merkle tree status table provides cryptographic proof of the system's integrity. To prevent visual clutter, the raw Merkle leaf numbers and root hashes are displayed in a highly condensed, monospace table. A single, primary "Export Evidence Bundle" button sits aligned to the top right.</w:t>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Audit Trail View:</w:t>
      </w:r>
    </w:p>
    <w:p w:rsidR="00000000" w:rsidDel="00000000" w:rsidP="00000000" w:rsidRDefault="00000000" w:rsidRPr="00000000" w14:paraId="000000EA">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1050" w:hanging="360"/>
      </w:pPr>
      <w:r w:rsidDel="00000000" w:rsidR="00000000" w:rsidRPr="00000000">
        <w:rPr>
          <w:rFonts w:ascii="Google Sans" w:cs="Google Sans" w:eastAsia="Google Sans" w:hAnsi="Google Sans"/>
          <w:color w:val="1f1f1f"/>
          <w:rtl w:val="0"/>
        </w:rPr>
        <w:t xml:space="preserve">A dense, chronological, read-only table.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Event types are color-coded with subtle background tints. A powerful search bar allows the CISO to filter by user, agent, or specific event type.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to Cut or Hide:</w:t>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Hide:</w:t>
      </w:r>
      <w:r w:rsidDel="00000000" w:rsidR="00000000" w:rsidRPr="00000000">
        <w:rPr>
          <w:rFonts w:ascii="Google Sans" w:cs="Google Sans" w:eastAsia="Google Sans" w:hAnsi="Google Sans"/>
          <w:color w:val="1f1f1f"/>
          <w:rtl w:val="0"/>
        </w:rPr>
        <w:t xml:space="preserve"> Inline YAML editing for the governance.yaml file is hidden behind an "Advanced Configuration" toggle in the Settings tab. Exposing raw YAML editing by default in a primary view invites syntax errors and intimidates non-technical stakeholders such as compliance officers. Standard users should interact with visual dropdowns for LLM providers and contradiction thresholds; only power users should access the raw YAML text area.</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Conclusion</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redesigned VT Protocol dashboard leverages progressive disclosure, semantic visual hierarchies, and workflow-aligned information architecture to tame the profound complexity of multi-agent AI governance. By collapsing fourteen fragmented pages into five cohesive workspaces, implementing a persistent command palette, and transitioning from overwhelming DAG hairballs to structured vector clock timelines, the interface drastically reduces cognitive load for all personas.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interface ceases to be a passive monitor of disjointed system logs; it becomes an active, unified control plane. Tech Leads can surgically resolve contradictions through high-density, side-by-side code comparisons and reachability graphs, while CISOs maintain overarching security through aggregated compliance metrics and Lyapunov drift gauges. This specification ensures that as the power and autonomy of the underlying AI agents scale exponentially, the human capacity to direct, audit, and understand them scales proportionately.</w:t>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effective executive dashboards with Datadog | Datadog, accessed April 12, 2026, </w:t>
      </w:r>
      <w:hyperlink r:id="rId6">
        <w:r w:rsidDel="00000000" w:rsidR="00000000" w:rsidRPr="00000000">
          <w:rPr>
            <w:rFonts w:ascii="Google Sans" w:cs="Google Sans" w:eastAsia="Google Sans" w:hAnsi="Google Sans"/>
            <w:color w:val="0000ee"/>
            <w:sz w:val="24"/>
            <w:szCs w:val="24"/>
            <w:u w:val="single"/>
            <w:rtl w:val="0"/>
          </w:rPr>
          <w:t xml:space="preserve">https://www.datadoghq.com/blog/datadog-executive-dashboards/</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DRUIDS, the design system that powers Datadog, accessed April 12, 2026, </w:t>
      </w:r>
      <w:hyperlink r:id="rId7">
        <w:r w:rsidDel="00000000" w:rsidR="00000000" w:rsidRPr="00000000">
          <w:rPr>
            <w:rFonts w:ascii="Google Sans" w:cs="Google Sans" w:eastAsia="Google Sans" w:hAnsi="Google Sans"/>
            <w:color w:val="0000ee"/>
            <w:sz w:val="24"/>
            <w:szCs w:val="24"/>
            <w:u w:val="single"/>
            <w:rtl w:val="0"/>
          </w:rPr>
          <w:t xml:space="preserve">https://www.datadoghq.com/blog/engineering/druids-the-design-system-that-powers-datadog/</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Principles for Crafting SaaS Design for Every User Level - Koru UX, accessed April 12, 2026, </w:t>
      </w:r>
      <w:hyperlink r:id="rId8">
        <w:r w:rsidDel="00000000" w:rsidR="00000000" w:rsidRPr="00000000">
          <w:rPr>
            <w:rFonts w:ascii="Google Sans" w:cs="Google Sans" w:eastAsia="Google Sans" w:hAnsi="Google Sans"/>
            <w:color w:val="0000ee"/>
            <w:sz w:val="24"/>
            <w:szCs w:val="24"/>
            <w:u w:val="single"/>
            <w:rtl w:val="0"/>
          </w:rPr>
          <w:t xml:space="preserve">https://www.koruux.com/blog/principles-for-crafting-saas-design/</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Architecture for SaaS Dashboards: Ship Clarity, Not Chaos | by Brandon McCrae, accessed April 12, 2026, </w:t>
      </w:r>
      <w:hyperlink r:id="rId9">
        <w:r w:rsidDel="00000000" w:rsidR="00000000" w:rsidRPr="00000000">
          <w:rPr>
            <w:rFonts w:ascii="Google Sans" w:cs="Google Sans" w:eastAsia="Google Sans" w:hAnsi="Google Sans"/>
            <w:color w:val="0000ee"/>
            <w:sz w:val="24"/>
            <w:szCs w:val="24"/>
            <w:u w:val="single"/>
            <w:rtl w:val="0"/>
          </w:rPr>
          <w:t xml:space="preserve">https://medium.com/@brandon.mccrae/information-architecture-for-saas-dashboards-ship-clarity-not-chaos-da5295cb8e82</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Your SaaS Navigation Menu for Maximum Discoverability, accessed April 12, 2026, </w:t>
      </w:r>
      <w:hyperlink r:id="rId10">
        <w:r w:rsidDel="00000000" w:rsidR="00000000" w:rsidRPr="00000000">
          <w:rPr>
            <w:rFonts w:ascii="Google Sans" w:cs="Google Sans" w:eastAsia="Google Sans" w:hAnsi="Google Sans"/>
            <w:color w:val="0000ee"/>
            <w:sz w:val="24"/>
            <w:szCs w:val="24"/>
            <w:u w:val="single"/>
            <w:rtl w:val="0"/>
          </w:rPr>
          <w:t xml:space="preserve">https://lollypop.design/blog/2025/december/saas-navigation-menu-design/</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Tips for Creating an Excellent CISO Dashboard | Vistrada, accessed April 12, 2026, </w:t>
      </w:r>
      <w:hyperlink r:id="rId11">
        <w:r w:rsidDel="00000000" w:rsidR="00000000" w:rsidRPr="00000000">
          <w:rPr>
            <w:rFonts w:ascii="Google Sans" w:cs="Google Sans" w:eastAsia="Google Sans" w:hAnsi="Google Sans"/>
            <w:color w:val="0000ee"/>
            <w:sz w:val="24"/>
            <w:szCs w:val="24"/>
            <w:u w:val="single"/>
            <w:rtl w:val="0"/>
          </w:rPr>
          <w:t xml:space="preserve">https://vistrada.com/resources/insights/tips-for-creating-an-excellent-ciso-dashboard</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Datadog on Design Systems, accessed April 12, 2026, </w:t>
      </w:r>
      <w:hyperlink r:id="rId12">
        <w:r w:rsidDel="00000000" w:rsidR="00000000" w:rsidRPr="00000000">
          <w:rPr>
            <w:rFonts w:ascii="Google Sans" w:cs="Google Sans" w:eastAsia="Google Sans" w:hAnsi="Google Sans"/>
            <w:color w:val="0000ee"/>
            <w:sz w:val="24"/>
            <w:szCs w:val="24"/>
            <w:u w:val="single"/>
            <w:rtl w:val="0"/>
          </w:rPr>
          <w:t xml:space="preserve">https://datadogon.datadoghq.com/episodes/datadog-on-design-systems/</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Patterns | Vercel Academy, accessed April 12, 2026, </w:t>
      </w:r>
      <w:hyperlink r:id="rId13">
        <w:r w:rsidDel="00000000" w:rsidR="00000000" w:rsidRPr="00000000">
          <w:rPr>
            <w:rFonts w:ascii="Google Sans" w:cs="Google Sans" w:eastAsia="Google Sans" w:hAnsi="Google Sans"/>
            <w:color w:val="0000ee"/>
            <w:sz w:val="24"/>
            <w:szCs w:val="24"/>
            <w:u w:val="single"/>
            <w:rtl w:val="0"/>
          </w:rPr>
          <w:t xml:space="preserve">https://vercel.com/academy/microfrontends-on-vercel/architecture-patterns</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&amp; shadcn/ui Admin Dashboard Template - Vercel, accessed April 12, 2026, </w:t>
      </w:r>
      <w:hyperlink r:id="rId14">
        <w:r w:rsidDel="00000000" w:rsidR="00000000" w:rsidRPr="00000000">
          <w:rPr>
            <w:rFonts w:ascii="Google Sans" w:cs="Google Sans" w:eastAsia="Google Sans" w:hAnsi="Google Sans"/>
            <w:color w:val="0000ee"/>
            <w:sz w:val="24"/>
            <w:szCs w:val="24"/>
            <w:u w:val="single"/>
            <w:rtl w:val="0"/>
          </w:rPr>
          <w:t xml:space="preserve">https://vercel.com/templates/next.js/next-js-and-shadcn-ui-admin-dashboard</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Observability Terms and Concepts - Datadog Docs, accessed April 12, 2026, </w:t>
      </w:r>
      <w:hyperlink r:id="rId15">
        <w:r w:rsidDel="00000000" w:rsidR="00000000" w:rsidRPr="00000000">
          <w:rPr>
            <w:rFonts w:ascii="Google Sans" w:cs="Google Sans" w:eastAsia="Google Sans" w:hAnsi="Google Sans"/>
            <w:color w:val="0000ee"/>
            <w:sz w:val="24"/>
            <w:szCs w:val="24"/>
            <w:u w:val="single"/>
            <w:rtl w:val="0"/>
          </w:rPr>
          <w:t xml:space="preserve">https://docs.datadoghq.com/llm_observability/terms/</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Clocks Explained: Master Distributed Causality - YouTube, accessed April 12,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https://www.youtube.com/watch?v=oPi_rVzDOIE</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Vector Clocks in Distributed Systems | by SystemDesign - Medium, accessed April 12, 2026, </w:t>
      </w:r>
      <w:hyperlink r:id="rId17">
        <w:r w:rsidDel="00000000" w:rsidR="00000000" w:rsidRPr="00000000">
          <w:rPr>
            <w:rFonts w:ascii="Google Sans" w:cs="Google Sans" w:eastAsia="Google Sans" w:hAnsi="Google Sans"/>
            <w:color w:val="0000ee"/>
            <w:sz w:val="24"/>
            <w:szCs w:val="24"/>
            <w:u w:val="single"/>
            <w:rtl w:val="0"/>
          </w:rPr>
          <w:t xml:space="preserve">https://medium.com/double-pointer/understanding-vector-clocks-in-distributed-systems-edbdbd17c9c9</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by Design: A CISO's Guide to a Practical Approach | Deloitte US, accessed April 12, 2026, </w:t>
      </w:r>
      <w:hyperlink r:id="rId18">
        <w:r w:rsidDel="00000000" w:rsidR="00000000" w:rsidRPr="00000000">
          <w:rPr>
            <w:rFonts w:ascii="Google Sans" w:cs="Google Sans" w:eastAsia="Google Sans" w:hAnsi="Google Sans"/>
            <w:color w:val="0000ee"/>
            <w:sz w:val="24"/>
            <w:szCs w:val="24"/>
            <w:u w:val="single"/>
            <w:rtl w:val="0"/>
          </w:rPr>
          <w:t xml:space="preserve">https://www.deloitte.com/us/en/services/consulting/articles/secure-by-design-ciso-guide.html</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Progressive disclosure - Wikipedia, accessed April 12, 2026, </w:t>
      </w:r>
      <w:hyperlink r:id="rId19">
        <w:r w:rsidDel="00000000" w:rsidR="00000000" w:rsidRPr="00000000">
          <w:rPr>
            <w:rFonts w:ascii="Google Sans" w:cs="Google Sans" w:eastAsia="Google Sans" w:hAnsi="Google Sans"/>
            <w:color w:val="0000ee"/>
            <w:sz w:val="24"/>
            <w:szCs w:val="24"/>
            <w:u w:val="single"/>
            <w:rtl w:val="0"/>
          </w:rPr>
          <w:t xml:space="preserve">https://en.wikipedia.org/wiki/Progressive_disclosure</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Progressive Disclosure UX: Making Experience Convenient - Gapsy Studio, accessed April 12, 2026, </w:t>
      </w:r>
      <w:hyperlink r:id="rId20">
        <w:r w:rsidDel="00000000" w:rsidR="00000000" w:rsidRPr="00000000">
          <w:rPr>
            <w:rFonts w:ascii="Google Sans" w:cs="Google Sans" w:eastAsia="Google Sans" w:hAnsi="Google Sans"/>
            <w:color w:val="0000ee"/>
            <w:sz w:val="24"/>
            <w:szCs w:val="24"/>
            <w:u w:val="single"/>
            <w:rtl w:val="0"/>
          </w:rPr>
          <w:t xml:space="preserve">https://gapsystudio.com/blog/progressive-disclosure-ux/</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Progressive Disclosure - NN/G, accessed April 12, 2026, </w:t>
      </w:r>
      <w:hyperlink r:id="rId21">
        <w:r w:rsidDel="00000000" w:rsidR="00000000" w:rsidRPr="00000000">
          <w:rPr>
            <w:rFonts w:ascii="Google Sans" w:cs="Google Sans" w:eastAsia="Google Sans" w:hAnsi="Google Sans"/>
            <w:color w:val="0000ee"/>
            <w:sz w:val="24"/>
            <w:szCs w:val="24"/>
            <w:u w:val="single"/>
            <w:rtl w:val="0"/>
          </w:rPr>
          <w:t xml:space="preserve">https://www.nngroup.com/articles/progressive-disclosure/</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list of awesome command palette implementations. - GitHub, accessed April 12, 2026, </w:t>
      </w:r>
      <w:hyperlink r:id="rId22">
        <w:r w:rsidDel="00000000" w:rsidR="00000000" w:rsidRPr="00000000">
          <w:rPr>
            <w:rFonts w:ascii="Google Sans" w:cs="Google Sans" w:eastAsia="Google Sans" w:hAnsi="Google Sans"/>
            <w:color w:val="0000ee"/>
            <w:sz w:val="24"/>
            <w:szCs w:val="24"/>
            <w:u w:val="single"/>
            <w:rtl w:val="0"/>
          </w:rPr>
          <w:t xml:space="preserve">https://github.com/stefanjudis/awesome-command-palette</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the Visual Studio Code Command Palette - YouTube, accessed April 12,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https://www.youtube.com/watch?v=fZnS4DA9egU</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Command Palette - Retool Docs, accessed April 12, 2026, </w:t>
      </w:r>
      <w:hyperlink r:id="rId24">
        <w:r w:rsidDel="00000000" w:rsidR="00000000" w:rsidRPr="00000000">
          <w:rPr>
            <w:rFonts w:ascii="Google Sans" w:cs="Google Sans" w:eastAsia="Google Sans" w:hAnsi="Google Sans"/>
            <w:color w:val="0000ee"/>
            <w:sz w:val="24"/>
            <w:szCs w:val="24"/>
            <w:u w:val="single"/>
            <w:rtl w:val="0"/>
          </w:rPr>
          <w:t xml:space="preserve">https://docs.retool.com/mobile/concepts/command-palette</w:t>
        </w:r>
      </w:hyperlink>
      <w:r w:rsidDel="00000000" w:rsidR="00000000" w:rsidRPr="00000000">
        <w:rPr>
          <w:rtl w:val="0"/>
        </w:rPr>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Figma and Design Principles - CanDIG, accessed April 12, 2026, </w:t>
      </w:r>
      <w:hyperlink r:id="rId25">
        <w:r w:rsidDel="00000000" w:rsidR="00000000" w:rsidRPr="00000000">
          <w:rPr>
            <w:rFonts w:ascii="Google Sans" w:cs="Google Sans" w:eastAsia="Google Sans" w:hAnsi="Google Sans"/>
            <w:color w:val="0000ee"/>
            <w:sz w:val="24"/>
            <w:szCs w:val="24"/>
            <w:u w:val="single"/>
            <w:rtl w:val="0"/>
          </w:rPr>
          <w:t xml:space="preserve">https://www.distributedgenomics.ca/posts/introduction-to-figma-and-design-principles/</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powerful data visualizations with the new Datadog dashboards experience, accessed April 12, 2026, </w:t>
      </w:r>
      <w:hyperlink r:id="rId26">
        <w:r w:rsidDel="00000000" w:rsidR="00000000" w:rsidRPr="00000000">
          <w:rPr>
            <w:rFonts w:ascii="Google Sans" w:cs="Google Sans" w:eastAsia="Google Sans" w:hAnsi="Google Sans"/>
            <w:color w:val="0000ee"/>
            <w:sz w:val="24"/>
            <w:szCs w:val="24"/>
            <w:u w:val="single"/>
            <w:rtl w:val="0"/>
          </w:rPr>
          <w:t xml:space="preserve">https://www.datadoghq.com/blog/datadog-dashboards/</w:t>
        </w:r>
      </w:hyperlink>
      <w:r w:rsidDel="00000000" w:rsidR="00000000" w:rsidRPr="00000000">
        <w:rPr>
          <w:rtl w:val="0"/>
        </w:rPr>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display comparison of 2 products with similarities - UX Stack Exchange, accessed April 12, 2026, </w:t>
      </w:r>
      <w:hyperlink r:id="rId27">
        <w:r w:rsidDel="00000000" w:rsidR="00000000" w:rsidRPr="00000000">
          <w:rPr>
            <w:rFonts w:ascii="Google Sans" w:cs="Google Sans" w:eastAsia="Google Sans" w:hAnsi="Google Sans"/>
            <w:color w:val="0000ee"/>
            <w:sz w:val="24"/>
            <w:szCs w:val="24"/>
            <w:u w:val="single"/>
            <w:rtl w:val="0"/>
          </w:rPr>
          <w:t xml:space="preserve">https://ux.stackexchange.com/questions/99190/how-to-display-comparison-of-2-products-with-similarities</w:t>
        </w:r>
      </w:hyperlink>
      <w:r w:rsidDel="00000000" w:rsidR="00000000" w:rsidRPr="00000000">
        <w:rPr>
          <w:rtl w:val="0"/>
        </w:rPr>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Products: Design Practices to Help Your Users Avoid Fragmented Comparison, accessed April 12, 2026, </w:t>
      </w:r>
      <w:hyperlink r:id="rId28">
        <w:r w:rsidDel="00000000" w:rsidR="00000000" w:rsidRPr="00000000">
          <w:rPr>
            <w:rFonts w:ascii="Google Sans" w:cs="Google Sans" w:eastAsia="Google Sans" w:hAnsi="Google Sans"/>
            <w:color w:val="0000ee"/>
            <w:sz w:val="24"/>
            <w:szCs w:val="24"/>
            <w:u w:val="single"/>
            <w:rtl w:val="0"/>
          </w:rPr>
          <w:t xml:space="preserve">https://contentsquare.com/blog/product-comparison-ui-ux/</w:t>
        </w:r>
      </w:hyperlink>
      <w:r w:rsidDel="00000000" w:rsidR="00000000" w:rsidRPr="00000000">
        <w:rPr>
          <w:rtl w:val="0"/>
        </w:rPr>
      </w:r>
    </w:p>
    <w:p w:rsidR="00000000" w:rsidDel="00000000" w:rsidP="00000000" w:rsidRDefault="00000000" w:rsidRPr="00000000" w14:paraId="0000010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use the power of comparison to unlock better design | by Patrick Morgan, accessed April 12, 2026, </w:t>
      </w:r>
      <w:hyperlink r:id="rId29">
        <w:r w:rsidDel="00000000" w:rsidR="00000000" w:rsidRPr="00000000">
          <w:rPr>
            <w:rFonts w:ascii="Google Sans" w:cs="Google Sans" w:eastAsia="Google Sans" w:hAnsi="Google Sans"/>
            <w:color w:val="0000ee"/>
            <w:sz w:val="24"/>
            <w:szCs w:val="24"/>
            <w:u w:val="single"/>
            <w:rtl w:val="0"/>
          </w:rPr>
          <w:t xml:space="preserve">https://uxdesign.cc/design-to-win-how-i-use-the-power-of-comparison-to-unlock-better-design-e0e3cdac40f8</w:t>
        </w:r>
      </w:hyperlink>
      <w:r w:rsidDel="00000000" w:rsidR="00000000" w:rsidRPr="00000000">
        <w:rPr>
          <w:rtl w:val="0"/>
        </w:rPr>
      </w:r>
    </w:p>
    <w:p w:rsidR="00000000" w:rsidDel="00000000" w:rsidP="00000000" w:rsidRDefault="00000000" w:rsidRPr="00000000" w14:paraId="0000010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Side-by-side code diff view UX - User Experience Stack Exchange, accessed April 12, 2026, </w:t>
      </w:r>
      <w:hyperlink r:id="rId30">
        <w:r w:rsidDel="00000000" w:rsidR="00000000" w:rsidRPr="00000000">
          <w:rPr>
            <w:rFonts w:ascii="Google Sans" w:cs="Google Sans" w:eastAsia="Google Sans" w:hAnsi="Google Sans"/>
            <w:color w:val="0000ee"/>
            <w:sz w:val="24"/>
            <w:szCs w:val="24"/>
            <w:u w:val="single"/>
            <w:rtl w:val="0"/>
          </w:rPr>
          <w:t xml:space="preserve">https://ux.stackexchange.com/questions/111074/side-by-side-code-diff-view-ux</w:t>
        </w:r>
      </w:hyperlink>
      <w:r w:rsidDel="00000000" w:rsidR="00000000" w:rsidRPr="00000000">
        <w:rPr>
          <w:rtl w:val="0"/>
        </w:rPr>
      </w:r>
    </w:p>
    <w:p w:rsidR="00000000" w:rsidDel="00000000" w:rsidP="00000000" w:rsidRDefault="00000000" w:rsidRPr="00000000" w14:paraId="0000010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Reachability analysis | Snyk User Docs, accessed April 12, 2026, </w:t>
      </w:r>
      <w:hyperlink r:id="rId31">
        <w:r w:rsidDel="00000000" w:rsidR="00000000" w:rsidRPr="00000000">
          <w:rPr>
            <w:rFonts w:ascii="Google Sans" w:cs="Google Sans" w:eastAsia="Google Sans" w:hAnsi="Google Sans"/>
            <w:color w:val="0000ee"/>
            <w:sz w:val="24"/>
            <w:szCs w:val="24"/>
            <w:u w:val="single"/>
            <w:rtl w:val="0"/>
          </w:rPr>
          <w:t xml:space="preserve">https://docs.snyk.io/manage-risk/prioritize-issues-for-fixing/reachability-analysis</w:t>
        </w:r>
      </w:hyperlink>
      <w:r w:rsidDel="00000000" w:rsidR="00000000" w:rsidRPr="00000000">
        <w:rPr>
          <w:rtl w:val="0"/>
        </w:rPr>
      </w:r>
    </w:p>
    <w:p w:rsidR="00000000" w:rsidDel="00000000" w:rsidP="00000000" w:rsidRDefault="00000000" w:rsidRPr="00000000" w14:paraId="000001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Reachability Analysis (And Why It Misses Real Vulnerabilities) - Konvu, accessed April 12, 2026, </w:t>
      </w:r>
      <w:hyperlink r:id="rId32">
        <w:r w:rsidDel="00000000" w:rsidR="00000000" w:rsidRPr="00000000">
          <w:rPr>
            <w:rFonts w:ascii="Google Sans" w:cs="Google Sans" w:eastAsia="Google Sans" w:hAnsi="Google Sans"/>
            <w:color w:val="0000ee"/>
            <w:sz w:val="24"/>
            <w:szCs w:val="24"/>
            <w:u w:val="single"/>
            <w:rtl w:val="0"/>
          </w:rPr>
          <w:t xml:space="preserve">https://konvu.com/blog/reachability-analysis</w:t>
        </w:r>
      </w:hyperlink>
      <w:r w:rsidDel="00000000" w:rsidR="00000000" w:rsidRPr="00000000">
        <w:rPr>
          <w:rtl w:val="0"/>
        </w:rPr>
      </w:r>
    </w:p>
    <w:p w:rsidR="00000000" w:rsidDel="00000000" w:rsidP="00000000" w:rsidRDefault="00000000" w:rsidRPr="00000000" w14:paraId="0000010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prioritization with deep application-level context | Snyk, accessed April 12, 2026, </w:t>
      </w:r>
      <w:hyperlink r:id="rId33">
        <w:r w:rsidDel="00000000" w:rsidR="00000000" w:rsidRPr="00000000">
          <w:rPr>
            <w:rFonts w:ascii="Google Sans" w:cs="Google Sans" w:eastAsia="Google Sans" w:hAnsi="Google Sans"/>
            <w:color w:val="0000ee"/>
            <w:sz w:val="24"/>
            <w:szCs w:val="24"/>
            <w:u w:val="single"/>
            <w:rtl w:val="0"/>
          </w:rPr>
          <w:t xml:space="preserve">https://snyk.io/blog/optimizing-prioritization-with-deep-application-level-context/</w:t>
        </w:r>
      </w:hyperlink>
      <w:r w:rsidDel="00000000" w:rsidR="00000000" w:rsidRPr="00000000">
        <w:rPr>
          <w:rtl w:val="0"/>
        </w:rPr>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Lyapunov Optimization: An Introduction - Semantic Scholar, accessed April 12, 2026, </w:t>
      </w:r>
      <w:hyperlink r:id="rId34">
        <w:r w:rsidDel="00000000" w:rsidR="00000000" w:rsidRPr="00000000">
          <w:rPr>
            <w:rFonts w:ascii="Google Sans" w:cs="Google Sans" w:eastAsia="Google Sans" w:hAnsi="Google Sans"/>
            <w:color w:val="0000ee"/>
            <w:sz w:val="24"/>
            <w:szCs w:val="24"/>
            <w:u w:val="single"/>
            <w:rtl w:val="0"/>
          </w:rPr>
          <w:t xml:space="preserve">https://pdfs.semanticscholar.org/61bc/6047859fbad800bb17ed0986462ff4f119fd.pdf</w:t>
        </w:r>
      </w:hyperlink>
      <w:r w:rsidDel="00000000" w:rsidR="00000000" w:rsidRPr="00000000">
        <w:rPr>
          <w:rtl w:val="0"/>
        </w:rPr>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Measure Inspired by Lyapunov Exponents for the Characterization of Dynamics in State-Transition Networks - MDPI, accessed April 12, 2026, </w:t>
      </w:r>
      <w:hyperlink r:id="rId35">
        <w:r w:rsidDel="00000000" w:rsidR="00000000" w:rsidRPr="00000000">
          <w:rPr>
            <w:rFonts w:ascii="Google Sans" w:cs="Google Sans" w:eastAsia="Google Sans" w:hAnsi="Google Sans"/>
            <w:color w:val="0000ee"/>
            <w:sz w:val="24"/>
            <w:szCs w:val="24"/>
            <w:u w:val="single"/>
            <w:rtl w:val="0"/>
          </w:rPr>
          <w:t xml:space="preserve">https://www.mdpi.com/1099-4300/23/1/103</w:t>
        </w:r>
      </w:hyperlink>
      <w:r w:rsidDel="00000000" w:rsidR="00000000" w:rsidRPr="00000000">
        <w:rPr>
          <w:rtl w:val="0"/>
        </w:rPr>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&gt; Global Lyapunov Exponent (Stanford Encyclopedia of Philosophy), accessed April 12, 2026, </w:t>
      </w:r>
      <w:hyperlink r:id="rId36">
        <w:r w:rsidDel="00000000" w:rsidR="00000000" w:rsidRPr="00000000">
          <w:rPr>
            <w:rFonts w:ascii="Google Sans" w:cs="Google Sans" w:eastAsia="Google Sans" w:hAnsi="Google Sans"/>
            <w:color w:val="0000ee"/>
            <w:sz w:val="24"/>
            <w:szCs w:val="24"/>
            <w:u w:val="single"/>
            <w:rtl w:val="0"/>
          </w:rPr>
          <w:t xml:space="preserve">https://plato.stanford.edu/entries/chaos/global-lyapunov-exponents.html</w:t>
        </w:r>
      </w:hyperlink>
      <w:r w:rsidDel="00000000" w:rsidR="00000000" w:rsidRPr="00000000">
        <w:rPr>
          <w:rtl w:val="0"/>
        </w:rPr>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Visual Explanation of Lyapunov Stability - YouTube, accessed April 12,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https://www.youtube.com/watch?v=W8YpgG0KuOo</w:t>
        </w:r>
      </w:hyperlink>
      <w:r w:rsidDel="00000000" w:rsidR="00000000" w:rsidRPr="00000000">
        <w:rPr>
          <w:rtl w:val="0"/>
        </w:rPr>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[2202.04944] Supervised machine learning to estimate instabilities in chaotic systems: estimation of local Lyapunov exponents - arXiv, accessed April 12, 2026, </w:t>
      </w:r>
      <w:hyperlink r:id="rId38">
        <w:r w:rsidDel="00000000" w:rsidR="00000000" w:rsidRPr="00000000">
          <w:rPr>
            <w:rFonts w:ascii="Google Sans" w:cs="Google Sans" w:eastAsia="Google Sans" w:hAnsi="Google Sans"/>
            <w:color w:val="0000ee"/>
            <w:sz w:val="24"/>
            <w:szCs w:val="24"/>
            <w:u w:val="single"/>
            <w:rtl w:val="0"/>
          </w:rPr>
          <w:t xml:space="preserve">https://arxiv.org/abs/2202.04944</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Tracing Tutorial - Phoenix - Arize AI, accessed April 12, 2026, </w:t>
      </w:r>
      <w:hyperlink r:id="rId39">
        <w:r w:rsidDel="00000000" w:rsidR="00000000" w:rsidRPr="00000000">
          <w:rPr>
            <w:rFonts w:ascii="Google Sans" w:cs="Google Sans" w:eastAsia="Google Sans" w:hAnsi="Google Sans"/>
            <w:color w:val="0000ee"/>
            <w:sz w:val="24"/>
            <w:szCs w:val="24"/>
            <w:u w:val="single"/>
            <w:rtl w:val="0"/>
          </w:rPr>
          <w:t xml:space="preserve">https://arize.com/docs/phoenix/tracing/tutorial</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Tracing and Instrumentation with Arize Phoenix - YouTube, accessed April 12,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https://www.youtube.com/watch?v=j5WwaknZVDY</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Taint Analysis? | Qodana - JetBrains, accessed April 12, 2026, </w:t>
      </w:r>
      <w:hyperlink r:id="rId41">
        <w:r w:rsidDel="00000000" w:rsidR="00000000" w:rsidRPr="00000000">
          <w:rPr>
            <w:rFonts w:ascii="Google Sans" w:cs="Google Sans" w:eastAsia="Google Sans" w:hAnsi="Google Sans"/>
            <w:color w:val="0000ee"/>
            <w:sz w:val="24"/>
            <w:szCs w:val="24"/>
            <w:u w:val="single"/>
            <w:rtl w:val="0"/>
          </w:rPr>
          <w:t xml:space="preserve">https://www.jetbrains.com/pages/static-code-analysis-guide/what-is-taint-analysis/</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Taint Analysis - LDRA, accessed April 12, 2026, </w:t>
      </w:r>
      <w:hyperlink r:id="rId42">
        <w:r w:rsidDel="00000000" w:rsidR="00000000" w:rsidRPr="00000000">
          <w:rPr>
            <w:rFonts w:ascii="Google Sans" w:cs="Google Sans" w:eastAsia="Google Sans" w:hAnsi="Google Sans"/>
            <w:color w:val="0000ee"/>
            <w:sz w:val="24"/>
            <w:szCs w:val="24"/>
            <w:u w:val="single"/>
            <w:rtl w:val="0"/>
          </w:rPr>
          <w:t xml:space="preserve">https://ldra.com/capabilities/taint-analysis/</w:t>
        </w:r>
      </w:hyperlink>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Taint Analysis - Key Concepts Explained - Qt, accessed April 12, 2026, </w:t>
      </w:r>
      <w:hyperlink r:id="rId43">
        <w:r w:rsidDel="00000000" w:rsidR="00000000" w:rsidRPr="00000000">
          <w:rPr>
            <w:rFonts w:ascii="Google Sans" w:cs="Google Sans" w:eastAsia="Google Sans" w:hAnsi="Google Sans"/>
            <w:color w:val="0000ee"/>
            <w:sz w:val="24"/>
            <w:szCs w:val="24"/>
            <w:u w:val="single"/>
            <w:rtl w:val="0"/>
          </w:rPr>
          <w:t xml:space="preserve">https://www.qt.io/software-insights/taint-analysis-key-concepts-explained</w:t>
        </w:r>
      </w:hyperlink>
      <w:r w:rsidDel="00000000" w:rsidR="00000000" w:rsidRPr="00000000">
        <w:rPr>
          <w:rtl w:val="0"/>
        </w:rPr>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Taint analysis overview - Semgrep, accessed April 12, 2026, </w:t>
      </w:r>
      <w:hyperlink r:id="rId44">
        <w:r w:rsidDel="00000000" w:rsidR="00000000" w:rsidRPr="00000000">
          <w:rPr>
            <w:rFonts w:ascii="Google Sans" w:cs="Google Sans" w:eastAsia="Google Sans" w:hAnsi="Google Sans"/>
            <w:color w:val="0000ee"/>
            <w:sz w:val="24"/>
            <w:szCs w:val="24"/>
            <w:u w:val="single"/>
            <w:rtl w:val="0"/>
          </w:rPr>
          <w:t xml:space="preserve">https://semgrep.dev/docs/writing-rules/data-flow/taint-mode/overview</w:t>
        </w:r>
      </w:hyperlink>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[2311.07535] Causality Diagrams using Hybrid Vector Clocks - arXiv, accessed April 12, 2026, </w:t>
      </w:r>
      <w:hyperlink r:id="rId45">
        <w:r w:rsidDel="00000000" w:rsidR="00000000" w:rsidRPr="00000000">
          <w:rPr>
            <w:rFonts w:ascii="Google Sans" w:cs="Google Sans" w:eastAsia="Google Sans" w:hAnsi="Google Sans"/>
            <w:color w:val="0000ee"/>
            <w:sz w:val="24"/>
            <w:szCs w:val="24"/>
            <w:u w:val="single"/>
            <w:rtl w:val="0"/>
          </w:rPr>
          <w:t xml:space="preserve">https://arxiv.org/abs/2311.07535</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First Traces - Phoenix - Arize AI, accessed April 12, 2026, </w:t>
      </w:r>
      <w:hyperlink r:id="rId46">
        <w:r w:rsidDel="00000000" w:rsidR="00000000" w:rsidRPr="00000000">
          <w:rPr>
            <w:rFonts w:ascii="Google Sans" w:cs="Google Sans" w:eastAsia="Google Sans" w:hAnsi="Google Sans"/>
            <w:color w:val="0000ee"/>
            <w:sz w:val="24"/>
            <w:szCs w:val="24"/>
            <w:u w:val="single"/>
            <w:rtl w:val="0"/>
          </w:rPr>
          <w:t xml:space="preserve">https://arize.com/docs/phoenix/tracing/tutorial/your-first-traces</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Dashboard Design UX Patterns Best Practices - Pencil &amp; Paper, accessed April 12, 2026, </w:t>
      </w:r>
      <w:hyperlink r:id="rId47">
        <w:r w:rsidDel="00000000" w:rsidR="00000000" w:rsidRPr="00000000">
          <w:rPr>
            <w:rFonts w:ascii="Google Sans" w:cs="Google Sans" w:eastAsia="Google Sans" w:hAnsi="Google Sans"/>
            <w:color w:val="0000ee"/>
            <w:sz w:val="24"/>
            <w:szCs w:val="24"/>
            <w:u w:val="single"/>
            <w:rtl w:val="0"/>
          </w:rPr>
          <w:t xml:space="preserve">https://www.pencilandpaper.io/articles/ux-pattern-analysis-data-dashboards</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Fingerprint Analysis Project Fingerprint Constituents - UNT Digital Library, accessed April 12, 2026, </w:t>
      </w:r>
      <w:hyperlink r:id="rId48">
        <w:r w:rsidDel="00000000" w:rsidR="00000000" w:rsidRPr="00000000">
          <w:rPr>
            <w:rFonts w:ascii="Google Sans" w:cs="Google Sans" w:eastAsia="Google Sans" w:hAnsi="Google Sans"/>
            <w:color w:val="0000ee"/>
            <w:sz w:val="24"/>
            <w:szCs w:val="24"/>
            <w:u w:val="single"/>
            <w:rtl w:val="0"/>
          </w:rPr>
          <w:t xml:space="preserve">https://digital.library.unt.edu/ark:/67531/metadc622532/</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Architecture Search for Website Fingerprinting - UWSpace, accessed April 12, 2026, </w:t>
      </w:r>
      <w:hyperlink r:id="rId49">
        <w:r w:rsidDel="00000000" w:rsidR="00000000" w:rsidRPr="00000000">
          <w:rPr>
            <w:rFonts w:ascii="Google Sans" w:cs="Google Sans" w:eastAsia="Google Sans" w:hAnsi="Google Sans"/>
            <w:color w:val="0000ee"/>
            <w:sz w:val="24"/>
            <w:szCs w:val="24"/>
            <w:u w:val="single"/>
            <w:rtl w:val="0"/>
          </w:rPr>
          <w:t xml:space="preserve">https://uwspace.uwaterloo.ca/items/ea9fa91d-6a9f-4da1-9123-cd1f0fbe7f6c</w:t>
        </w:r>
      </w:hyperlink>
      <w:r w:rsidDel="00000000" w:rsidR="00000000" w:rsidRPr="00000000">
        <w:rPr>
          <w:rtl w:val="0"/>
        </w:rPr>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Navigation UX Best Practices For SaaS Products - Pencil &amp; Paper, accessed April 12, 2026, </w:t>
      </w:r>
      <w:hyperlink r:id="rId50">
        <w:r w:rsidDel="00000000" w:rsidR="00000000" w:rsidRPr="00000000">
          <w:rPr>
            <w:rFonts w:ascii="Google Sans" w:cs="Google Sans" w:eastAsia="Google Sans" w:hAnsi="Google Sans"/>
            <w:color w:val="0000ee"/>
            <w:sz w:val="24"/>
            <w:szCs w:val="24"/>
            <w:u w:val="single"/>
            <w:rtl w:val="0"/>
          </w:rPr>
          <w:t xml:space="preserve">https://www.pencilandpaper.io/articles/ux-pattern-analysis-navigation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j5WwaknZVDY" TargetMode="External"/><Relationship Id="rId42" Type="http://schemas.openxmlformats.org/officeDocument/2006/relationships/hyperlink" Target="https://ldra.com/capabilities/taint-analysis/" TargetMode="External"/><Relationship Id="rId41" Type="http://schemas.openxmlformats.org/officeDocument/2006/relationships/hyperlink" Target="https://www.jetbrains.com/pages/static-code-analysis-guide/what-is-taint-analysis/" TargetMode="External"/><Relationship Id="rId44" Type="http://schemas.openxmlformats.org/officeDocument/2006/relationships/hyperlink" Target="https://semgrep.dev/docs/writing-rules/data-flow/taint-mode/overview" TargetMode="External"/><Relationship Id="rId43" Type="http://schemas.openxmlformats.org/officeDocument/2006/relationships/hyperlink" Target="https://www.qt.io/software-insights/taint-analysis-key-concepts-explained" TargetMode="External"/><Relationship Id="rId46" Type="http://schemas.openxmlformats.org/officeDocument/2006/relationships/hyperlink" Target="https://arize.com/docs/phoenix/tracing/tutorial/your-first-traces" TargetMode="External"/><Relationship Id="rId45" Type="http://schemas.openxmlformats.org/officeDocument/2006/relationships/hyperlink" Target="https://arxiv.org/abs/2311.075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brandon.mccrae/information-architecture-for-saas-dashboards-ship-clarity-not-chaos-da5295cb8e82" TargetMode="External"/><Relationship Id="rId48" Type="http://schemas.openxmlformats.org/officeDocument/2006/relationships/hyperlink" Target="https://digital.library.unt.edu/ark:/67531/metadc622532/" TargetMode="External"/><Relationship Id="rId47" Type="http://schemas.openxmlformats.org/officeDocument/2006/relationships/hyperlink" Target="https://www.pencilandpaper.io/articles/ux-pattern-analysis-data-dashboards" TargetMode="External"/><Relationship Id="rId49" Type="http://schemas.openxmlformats.org/officeDocument/2006/relationships/hyperlink" Target="https://uwspace.uwaterloo.ca/items/ea9fa91d-6a9f-4da1-9123-cd1f0fbe7f6c" TargetMode="External"/><Relationship Id="rId5" Type="http://schemas.openxmlformats.org/officeDocument/2006/relationships/styles" Target="styles.xml"/><Relationship Id="rId6" Type="http://schemas.openxmlformats.org/officeDocument/2006/relationships/hyperlink" Target="https://www.datadoghq.com/blog/datadog-executive-dashboards/" TargetMode="External"/><Relationship Id="rId7" Type="http://schemas.openxmlformats.org/officeDocument/2006/relationships/hyperlink" Target="https://www.datadoghq.com/blog/engineering/druids-the-design-system-that-powers-datadog/" TargetMode="External"/><Relationship Id="rId8" Type="http://schemas.openxmlformats.org/officeDocument/2006/relationships/hyperlink" Target="https://www.koruux.com/blog/principles-for-crafting-saas-design/" TargetMode="External"/><Relationship Id="rId31" Type="http://schemas.openxmlformats.org/officeDocument/2006/relationships/hyperlink" Target="https://docs.snyk.io/manage-risk/prioritize-issues-for-fixing/reachability-analysis" TargetMode="External"/><Relationship Id="rId30" Type="http://schemas.openxmlformats.org/officeDocument/2006/relationships/hyperlink" Target="https://ux.stackexchange.com/questions/111074/side-by-side-code-diff-view-ux" TargetMode="External"/><Relationship Id="rId33" Type="http://schemas.openxmlformats.org/officeDocument/2006/relationships/hyperlink" Target="https://snyk.io/blog/optimizing-prioritization-with-deep-application-level-context/" TargetMode="External"/><Relationship Id="rId32" Type="http://schemas.openxmlformats.org/officeDocument/2006/relationships/hyperlink" Target="https://konvu.com/blog/reachability-analysis" TargetMode="External"/><Relationship Id="rId35" Type="http://schemas.openxmlformats.org/officeDocument/2006/relationships/hyperlink" Target="https://www.mdpi.com/1099-4300/23/1/103" TargetMode="External"/><Relationship Id="rId34" Type="http://schemas.openxmlformats.org/officeDocument/2006/relationships/hyperlink" Target="https://pdfs.semanticscholar.org/61bc/6047859fbad800bb17ed0986462ff4f119fd.pdf" TargetMode="External"/><Relationship Id="rId37" Type="http://schemas.openxmlformats.org/officeDocument/2006/relationships/hyperlink" Target="https://www.youtube.com/watch?v=W8YpgG0KuOo" TargetMode="External"/><Relationship Id="rId36" Type="http://schemas.openxmlformats.org/officeDocument/2006/relationships/hyperlink" Target="https://plato.stanford.edu/entries/chaos/global-lyapunov-exponents.html" TargetMode="External"/><Relationship Id="rId39" Type="http://schemas.openxmlformats.org/officeDocument/2006/relationships/hyperlink" Target="https://arize.com/docs/phoenix/tracing/tutorial" TargetMode="External"/><Relationship Id="rId38" Type="http://schemas.openxmlformats.org/officeDocument/2006/relationships/hyperlink" Target="https://arxiv.org/abs/2202.04944" TargetMode="External"/><Relationship Id="rId20" Type="http://schemas.openxmlformats.org/officeDocument/2006/relationships/hyperlink" Target="https://gapsystudio.com/blog/progressive-disclosure-ux/" TargetMode="External"/><Relationship Id="rId22" Type="http://schemas.openxmlformats.org/officeDocument/2006/relationships/hyperlink" Target="https://github.com/stefanjudis/awesome-command-palette" TargetMode="External"/><Relationship Id="rId21" Type="http://schemas.openxmlformats.org/officeDocument/2006/relationships/hyperlink" Target="https://www.nngroup.com/articles/progressive-disclosure/" TargetMode="External"/><Relationship Id="rId24" Type="http://schemas.openxmlformats.org/officeDocument/2006/relationships/hyperlink" Target="https://docs.retool.com/mobile/concepts/command-palette" TargetMode="External"/><Relationship Id="rId23" Type="http://schemas.openxmlformats.org/officeDocument/2006/relationships/hyperlink" Target="https://www.youtube.com/watch?v=fZnS4DA9egU" TargetMode="External"/><Relationship Id="rId26" Type="http://schemas.openxmlformats.org/officeDocument/2006/relationships/hyperlink" Target="https://www.datadoghq.com/blog/datadog-dashboards/" TargetMode="External"/><Relationship Id="rId25" Type="http://schemas.openxmlformats.org/officeDocument/2006/relationships/hyperlink" Target="https://www.distributedgenomics.ca/posts/introduction-to-figma-and-design-principles/" TargetMode="External"/><Relationship Id="rId28" Type="http://schemas.openxmlformats.org/officeDocument/2006/relationships/hyperlink" Target="https://contentsquare.com/blog/product-comparison-ui-ux/" TargetMode="External"/><Relationship Id="rId27" Type="http://schemas.openxmlformats.org/officeDocument/2006/relationships/hyperlink" Target="https://ux.stackexchange.com/questions/99190/how-to-display-comparison-of-2-products-with-similarities" TargetMode="External"/><Relationship Id="rId29" Type="http://schemas.openxmlformats.org/officeDocument/2006/relationships/hyperlink" Target="https://uxdesign.cc/design-to-win-how-i-use-the-power-of-comparison-to-unlock-better-design-e0e3cdac40f8" TargetMode="External"/><Relationship Id="rId50" Type="http://schemas.openxmlformats.org/officeDocument/2006/relationships/hyperlink" Target="https://www.pencilandpaper.io/articles/ux-pattern-analysis-navigation" TargetMode="External"/><Relationship Id="rId11" Type="http://schemas.openxmlformats.org/officeDocument/2006/relationships/hyperlink" Target="https://vistrada.com/resources/insights/tips-for-creating-an-excellent-ciso-dashboard" TargetMode="External"/><Relationship Id="rId10" Type="http://schemas.openxmlformats.org/officeDocument/2006/relationships/hyperlink" Target="https://lollypop.design/blog/2025/december/saas-navigation-menu-design/" TargetMode="External"/><Relationship Id="rId13" Type="http://schemas.openxmlformats.org/officeDocument/2006/relationships/hyperlink" Target="https://vercel.com/academy/microfrontends-on-vercel/architecture-patterns" TargetMode="External"/><Relationship Id="rId12" Type="http://schemas.openxmlformats.org/officeDocument/2006/relationships/hyperlink" Target="https://datadogon.datadoghq.com/episodes/datadog-on-design-systems/" TargetMode="External"/><Relationship Id="rId15" Type="http://schemas.openxmlformats.org/officeDocument/2006/relationships/hyperlink" Target="https://docs.datadoghq.com/llm_observability/terms/" TargetMode="External"/><Relationship Id="rId14" Type="http://schemas.openxmlformats.org/officeDocument/2006/relationships/hyperlink" Target="https://vercel.com/templates/next.js/next-js-and-shadcn-ui-admin-dashboard" TargetMode="External"/><Relationship Id="rId17" Type="http://schemas.openxmlformats.org/officeDocument/2006/relationships/hyperlink" Target="https://medium.com/double-pointer/understanding-vector-clocks-in-distributed-systems-edbdbd17c9c9" TargetMode="External"/><Relationship Id="rId16" Type="http://schemas.openxmlformats.org/officeDocument/2006/relationships/hyperlink" Target="https://www.youtube.com/watch?v=oPi_rVzDOIE" TargetMode="External"/><Relationship Id="rId19" Type="http://schemas.openxmlformats.org/officeDocument/2006/relationships/hyperlink" Target="https://en.wikipedia.org/wiki/Progressive_disclosure" TargetMode="External"/><Relationship Id="rId18" Type="http://schemas.openxmlformats.org/officeDocument/2006/relationships/hyperlink" Target="https://www.deloitte.com/us/en/services/consulting/articles/secure-by-design-ciso-guid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