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Assumption Governance: Theoretical Foundations, Feasibility, and Implementation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Phenomenological Validation and Canonical Terminology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autonomous artificial intelligence coding agents has initiated a paradigm shift in software engineering, migrating the primary development bottleneck from syntactic code generation to semantic and domain validation. The core problem articulated—that AI coding agents formulate architecturally sound but domain-incorrect implicit business logic assumptions—is a highly consequential and empirically validated failure mode. Current static analysis, architectural governance, and standard code review tooling operate on the principle of structural and syntactical correctness. They are equipped to identify type safety violations, security vulnerabilities, and recognized anti-patterns. However, business logic correctness relies on strict alignment with "silent needs" or implicit requirements that are rarely formalized in prompts, standard documentation, or interface definitions.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AI agent generates a database interaction or an API endpoint, it inherently binds the generated code to a specific set of operational premises. If these premises misalign with the unstated reality of the business domain, the output manifests as a delayed-onset semantic defect. This section explores the canonical terminology surrounding this phenomenon, existing taxonomies, and recent empirical research validating the severity of the problem.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Canonical Terminology and Existing Frameworks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literature addresses the components of this phenomenon across several distinct subfields, though the specific intersection of AI-generated code and business logic assumptions is a rapidly emerging domain. The canonical terminology encompasses several distinct areas of research: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w:t>
      </w:r>
      <w:r w:rsidDel="00000000" w:rsidR="00000000" w:rsidRPr="00000000">
        <w:rPr>
          <w:rFonts w:ascii="Google Sans" w:cs="Google Sans" w:eastAsia="Google Sans" w:hAnsi="Google Sans"/>
          <w:b w:val="1"/>
          <w:bCs w:val="1"/>
          <w:color w:val="1f1f1f"/>
          <w:rtl w:val="0"/>
        </w:rPr>
        <w:t xml:space="preserve">Assumption Management</w:t>
      </w:r>
      <w:r w:rsidDel="00000000" w:rsidR="00000000" w:rsidRPr="00000000">
        <w:rPr>
          <w:rFonts w:ascii="Google Sans" w:cs="Google Sans" w:eastAsia="Google Sans" w:hAnsi="Google Sans"/>
          <w:color w:val="1f1f1f"/>
          <w:rtl w:val="0"/>
        </w:rPr>
        <w:t xml:space="preserve"> is the formal process of identifying, documenting, and validating the premises upon which software architectures are built. Frameworks such as KAOS and Obstacle Analysis are established methodologies for explicitly modeling these assumptions and tracking their violations throughout the software lifecycle.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w:t>
      </w:r>
      <w:r w:rsidDel="00000000" w:rsidR="00000000" w:rsidRPr="00000000">
        <w:rPr>
          <w:rFonts w:ascii="Google Sans" w:cs="Google Sans" w:eastAsia="Google Sans" w:hAnsi="Google Sans"/>
          <w:b w:val="1"/>
          <w:bCs w:val="1"/>
          <w:color w:val="1f1f1f"/>
          <w:rtl w:val="0"/>
        </w:rPr>
        <w:t xml:space="preserve">Tacit Knowledge Extraction</w:t>
      </w:r>
      <w:r w:rsidDel="00000000" w:rsidR="00000000" w:rsidRPr="00000000">
        <w:rPr>
          <w:rFonts w:ascii="Google Sans" w:cs="Google Sans" w:eastAsia="Google Sans" w:hAnsi="Google Sans"/>
          <w:color w:val="1f1f1f"/>
          <w:rtl w:val="0"/>
        </w:rPr>
        <w:t xml:space="preserve"> refers to the automated or semi-automated process of surfacing know-how, domain rules, or contextual dependencies that stakeholders hold but cannot easily verbalize or document in formal specifications.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Implicit Requirements Detection</w:t>
      </w:r>
      <w:r w:rsidDel="00000000" w:rsidR="00000000" w:rsidRPr="00000000">
        <w:rPr>
          <w:rFonts w:ascii="Google Sans" w:cs="Google Sans" w:eastAsia="Google Sans" w:hAnsi="Google Sans"/>
          <w:color w:val="1f1f1f"/>
          <w:rtl w:val="0"/>
        </w:rPr>
        <w:t xml:space="preserve"> involves the identification of constraints and business rules that are essential for system correctness but are absent from formal requirement documents.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w:t>
      </w:r>
      <w:r w:rsidDel="00000000" w:rsidR="00000000" w:rsidRPr="00000000">
        <w:rPr>
          <w:rFonts w:ascii="Google Sans" w:cs="Google Sans" w:eastAsia="Google Sans" w:hAnsi="Google Sans"/>
          <w:b w:val="1"/>
          <w:bCs w:val="1"/>
          <w:color w:val="1f1f1f"/>
          <w:rtl w:val="0"/>
        </w:rPr>
        <w:t xml:space="preserve">Design Rationale Mining</w:t>
      </w:r>
      <w:r w:rsidDel="00000000" w:rsidR="00000000" w:rsidRPr="00000000">
        <w:rPr>
          <w:rFonts w:ascii="Google Sans" w:cs="Google Sans" w:eastAsia="Google Sans" w:hAnsi="Google Sans"/>
          <w:color w:val="1f1f1f"/>
          <w:rtl w:val="0"/>
        </w:rPr>
        <w:t xml:space="preserve"> is the automated extraction of the underlying motivations behind architectural decisions from code changes, version control history, or developer discussions.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taxonomies, research into Deep Learning frameworks has yielded the most robust formal ontology of assumptions, specifically the concept of Self-Claimed Assumptions (SCAs). This taxonomy classifies assumptions along dimensions of validity and content, mapping closely to the proposed assumption categories for Domain Assumption Governance.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Taxonomy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Alignment with Proposed Governance Categories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 SCA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Assumptions currently true within the operational context.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validated Data Scope or Access Assumption.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Invalid SCA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Assumptions proven incorrect, leading to system failure.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rejected assumption that becomes a domain contradiction.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Conditional SCA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Assumptions true only under specific constraints (e.g., "if", "when").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and Integration Assumptions.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Assumptions regarding the environment or external settings.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configurations and Webhook validation dependencies.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Pertains to architectural decisions and design-level choices.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System-wide Data Scope and multi-tenancy Access Assumptions.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Tensor/Variable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to data structures, dimensions, or types.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Completeness Assumptions (e.g., enum values, pagination limits).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Mapping the proposed Domain Assumption Governance categories to this ontology reveals that Data Scope, Temporal, Access, Completeness, and Integration assumptions primarily fall under Conditional Design and Variable SCAs. These represent dynamic constraints that must be continuously validated against the evolving business context to prevent technical debt and system failures.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AI Agent Semantic Gap: Empirical Findings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premise that AI agents introduce undisclosed assumptions is empirically validated by research conducted between 2024 and 2026. The phenomenon stems from a breakdown in stateful execution. Current software engineering agents do not explicitly maintain structured states or track their intermediate hypotheses. Consequently, the assumptions they formulate across actions are forgotten or overridden, leading to outputs that contradict earlier contextual understanding.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landmark randomized controlled trial conducted by the Model Evaluation and Threat Research group in 2025 demonstrated the severe consequences of this gap. Evaluating experienced open-source developers using AI tools, the study found that AI assistance actually increased task completion time by nineteen percent.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primary cause of this slowdown was the AI's inability to navigate implicit requirements and high-quality repository standards that human developers learn contextually over 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an empirical study of failed agentic pull requests on GitHub by Ehsani et al. (2026) highlighted that agent failures frequently stem from incorrect implementations where the agent solves the wrong problem despite correct syntax, and incomplete implementations lacking required business logic.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findings confirm that Domain Assumption Governance addresses a critical, validated gap in the current AI-assisted development lifecycle, one that is not mitigated by advanced prompting or foundational model scaling alone.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Academic Foundations: Literature Synthesis and System Application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an automated assumption governance pipeline must be grounded in established software engineering methodologies. The following sections synthesize the literature across seven critical areas, detailing exactly how specific methodologies and findings apply directly to the extraction and governance of business assumptions in the proposed platform.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Area 1: Assumption Management in Software Engineering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Assumption management literature focuses on how unstated premises propagate through systems, create hidden coupling, and ultimately induce technical debt. The governance platform must treat assumptions not as ephemeral thoughts, but as structural load-bearing elements of the codebase.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evaluation of architectural assumption management by Roeller et al. (2018) in Science of Computer Programming demonstrated that goal-oriented frameworks like KAOS and Obstacle Analysis provide the most robust mechanisms for explicitly modeling assumptions and tracing their violations.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applies directly to the proposed platform's decision storage mechanism. Once a developer validates a Data Scope assumption, it must be modeled structurally similar to a KAOS goal. If subsequent code generated by an AI violates this established goal, the platform must register an obstacle rather than a mere syntax error.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 advancing this domain, Yang, Liang, and Ma (2024) conducted an exploratory study on the automatic identification of assumptions in deep learning frameworks, publishing their findings at EASE and constructing the AssuEval dataset.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Their research highlighted that Self-Claimed Assumptions are frequently embedded in code comments and commits, characterized by linguistic markers such as "unless," "as long as," and "by default".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application to the proposed platform involves integrating these linguistic markers into the natural language processing pipeline. When an LLM generates code accompanied by comments or commit messages containing these markers, the system should automatically assign a higher probability score to the presence of a Conditional Assumption.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Assumptions do not exist in isolation; they form complex dependency networks. Fassi et al. proposed an assumption network-based approach for allocating and managing margins in system design, tracking how assumptions depend on one another across component boundaries.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Similarly, Xiong et al. analyzed 832 assumptions from the Hibernate open-source project, mapping their propagation and expression trends over time.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governance platform, this implies that the database must model assumptions as a directed graph. A Data Scope assumption in a backend microservice inherently implies an Access assumption in the frontend application. If the frontend assumption is invalidated by a new requirement, the assumption network must automatically flag the dependent backend assumption for re-validation by the developer.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Area 2: Implicit Requirements and Tacit Knowledge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Tacit knowledge extraction addresses the fundamental gap between what stakeholders intend and what developers or AI agents actually build. This domain is critical for bridging the gap between structural code and semantic business needs.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their 2026 ICSE Research Track paper, "Unlocking the Silent Needs: Business-Logic-Driven Iterative Requirements Auto-completion," Wu, Chen, and Jin explore methodologies for recovering unstated requirements by analyzing the underlying business logic.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Their findings underscore that business logic is the primary driver for recovering silent requirements. The governance pipeline can utilize iterative auto-completion methodologies derived from this research to suggest the broader implications of an isolated assumption to the developer. Rather than simply asking if an assumption is true, the system can auto-complete the potential downstream effects of that assumption, allowing the developer to govern the trajectory of the logic.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AI into tacit knowledge extraction was systematically reviewed by Khalili and Jahanbakht (2026), who introduced the AI-Tacit Knowledge Co-Evolution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Drawing on sociotechnical learning theories and Nonaka's SECI model, they frame AI not merely as a codification tool, but as an "epistemic partner" that augments human interpretive processes.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conceptual framework is vital for the LLM enrichment step in the proposed pipeline. The LLM should not act as an absolute oracle dictating business rules; rather, it should serve as an epistemic partner that translates raw code properties into semantic propositions, partnering with the developer to externalize tacit business rules.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data-driven requirements elicitation research, such as the analysis of app reviews and user feedback streams, highlights the shift toward continuous, automated extraction.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governance platform must adopt this continuous elicitation model. Every commit and pull request generated by an AI agent serves as a new data point from which evolving business requirements are elicited dynamically, ensuring the assumption ledger remains synchronized with the current state of the business.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Area 3: Program Analysis for Business Logic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syntax requires deep static program analysis to infer business semantics, data flow, and scope. Analyzing where data originates, how it is filtered, and where it is stored is the foundational step in detecting Domain Assumptions.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research explores the analysis of SQL WHERE clauses to infer underlying business logic and application constraints. Papers utilizing benchmarks like WikiSQL-TS and TaBERT+MAPO demonstrate how predicates in WHERE clauses reveal the specific subsets of data that are semantically relevant to a given domain.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research by Liu (2025) and Qiu et al. shows that logic errors in database access codes frequently occur because developers partially understand the business criteria, leading to incorrect boolean combinations in WHERE clauses.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the proposed platform, the extraction pipeline must heavily prioritize the database access layer. Extracting and semantically evaluating WHERE clauses and INSERT paths is the most direct and reliable method to uncover Data Scope and Completeness assumptions.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infer accurate data scope, the analysis must also track data provenance. Gulzar, Interlandi, and Kim's research on automated testing for big data applications, including tools like Titian (provenance in Apache Spark) and BigSift (combining delta debugging with data provenance), demonstrates how data can be tracked backward through complex transformations to identify root causes.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Similarly, provenance-guided rollback techniques in Souffle Datalog use declarative debugging to trace logic processing across millions of tuples.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application to the governance platform is profound: to determine if a table is truly subject to a "single-source" assumption, the analysis pipeline must trace the provenance of the input variables backward through the control flow graph. This ensures that the assumption accounts for indirect data flows, such as webhooks triggering background jobs that eventually write to the database.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separating business logic from infrastructure boilerplate is a known challenge. Tilevich et al. demonstrated the complexities of client insourcing by showing how business logic and middleware functionality are deeply intermingled in server-side functions.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Because AI agents often conflate business constraints with infrastructure logic, the platform's analysis must be capable of decoupling the two. The system must differentiate between infrastructure requirements, such as a JWT validation decorator, and genuine business access assumptions, such as a role-based restriction.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Area 4: Specification Mining and Design Rule Inference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Specification mining involves automatically inferring rules, invariants, and specifications from observing existing code structure or execution behavior. Adapting these techniques from technical invariant detection to business assumption detection forms the core of the extraction engine.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work on dynamic invariant detection is epitomized by Daikon, developed by Ernst et al. (published in Science of Computer Programming, 2007).</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Daikon observes program executions to report likely invariants, such as variable bounds, linear relationships, and non-null states.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While Daikon operates dynamically, its conceptual taxonomy of invariants is directly applicable to the static, LLM-driven inference engine proposed. By abstracting Daikon's technical invariants into semantic business rules, the governance platform can map a detected invariant—such as an integer field strictly constrained to three enum values—to a Completeness Assumption. The application lies in treating the LLM as a static approximator of Daikon's dynamic execution traces.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the overgeneralization of valid behaviors is another critical challenge addressed by specification mining. Kabir, Han, and Hossain's 2021 research on SpecMiner, a heuristic-based mining tool for service behavioral models, focuses on deducing concise models without overgeneralizing valid behavior from limited interaction traces.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the context of the governance platform, this principle applies to ensuring that a specific implementation of a function generated by an AI is not overgeneralized to represent the only valid method of execution. The platform must use SpecMiner's bounding heuristics to question whether an observed behavior is a strict rule or merely one of several valid paths.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techniques for extracting highly correlated implicit rules can be leveraged for Integration Assumptions. PRMiner, introduced by Li and Zhou, automatically extracts implicit programming rules using frequent itemset mining techniques.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Enhancements like ATMiner and JCMiner improved this by processing closed inter-transaction itemsets to find profitable rules in complex dynamical systems.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methodology of finding highly correlated, unstated operational rules can be deployed across the AST of the codebase. If frequent itemset mining reveals that ninety-five percent of external API calls in the repository include retry logic, and an AI agent generates a new integration without it, a statistical rule inference engine will flag this as a high-probability Completeness or Integration assumption violation before it ever reaches the LLM enrichment phase.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Area 5: LLM-Assisted Code Understanding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on utilizing Large Language Models to map structural code properties to semantic business requirements provides the validation that the "LLM Enrichment" step of the proposed pipeline is technically viable with modern foundation models.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prerequisite for LLM understanding is accurate semantic representation. Alon et al. (2019) introduced code2vec, demonstrating how distributed representations of code can capture intent.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Subsequent systems like ATLAS generate advanced type-aware Control Flow Graphs and Data Flow Graphs, tokenizing code snippets using tools like CodeBERT combined with tree-sitter parsers.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the governance platform, the pattern matching phase must not rely purely on regular expressions. Embedding the extracted syntax trees and comparing them semantically ensures that a "single-source" assumption is detected regardless of variable naming conventions or minor syntactical variations across different AI agents.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evaluations of frontier models confirm their capability for high-level semantic code review. Studies evaluating models like GPT-5 Codex and Anthropic's Claude 3.7 Sonnet on complex scaffolds (such as OpenClaw and Nanobot) highlight their ability to understand stated intent versus actual code changes.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models successfully perform semantic code review, identifying hidden side-effects—such as command-injection vulnerabilities masquerading as benign configuration reads.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LLM enrichment step in the proposed pipeline is highly feasible given these capabilities. By providing the LLM with the extracted structural dependencies and explicitly prompting it to translate those technical constraints into the predefined assumption categories, the model can reliably generate human-readable business propositions.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Area 6: Design Rationale and Knowledge Management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Governing assumptions requires managing the cognitive alignment between humans and artificial intelligence. Design rationale systems traditionally capture why decisions were made, but in the era of AI generation, the focus shifts to ensuring the human maintains the cognitive capacity to understand those decisions.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2026 position paper introduces the Cognitive Integrity Threshold (CIT), defining Functional Cognitive Integrity as the capacity of a human operator to maintain and update a task-relevant mental model that captures domain logic, system dynamics, and operational boundaries.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research asserts that human-centric AI requires a minimum viable level of human understanding. Below the CIT, oversight becomes a hollow, procedural formality where humans blindly approve AI actions, lacking the cognitive footing to reconstruct reasoning or detect boundary violations.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framework is the theoretical cornerstone of the entire Domain Assumption Governance platform. By deliberately surfacing implicit assumptions and interrupting the automated workflow, the platform actively fights cognitive drift. It forces the developer to maintain Functional Cognitive Integrity, bridging the gap left by traditional Architecture Decision Records (ADRs) that fail to capture the granular, micro-architectural assumptions injected by autonomous agents.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maintain this cognitive integrity, the platform must employ active learning strategies. Educational research on software engineering curricula demonstrates that active learning—encouraging engagement through peer instruction and critical questioning—prevents the creation of incorrect mental models associated with passive learning.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governance system acts as an automated active learning mechanism. By presenting the developer with a clearly articulated business assumption derived from the code, it shifts the developer from a passive code reviewer to an active domain architect.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Area 7: AI Agent Behavior Analysis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specific modalities of how and why AI coding agents fail is essential for targeting the detection algorithms effectively.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Randomized Controlled Trial by the Model Evaluation and Threat Research (METR) group provides the definitive baseline for AI coding tool effectiveness. The study proved that AI assistance slowed experienced developers down by nineteen percent due to friction with implicit requirements, complex repository structures, and rigorous formatting rules.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the study identified a massive gap between perceived and actual performance: developers believed the AI made them twenty percent faster despite the empirical slowdown.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perception-reality gap validates the absolute necessity of the governance tool. Developers do not realize the AI has made an incorrect domain assumption because they suffer from over-optimism and automation bias.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 analyzing these failures, Ehsani et al. (2026) published an empirical study in the International Conference on Mining Software Repositories titled "Where Do AI Coding Agents Fail?".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analysis of agentic pull requests revealed that failures are often socio-technical. The dominant failure categories included "Incorrect Implementation" (where the implementation is technically correct but solves the wrong problem) and "Incomplete Implementation" (where the contribution lacks required logic or completeness).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Additionally, they noted that nearly seventy percent of failures relate to architectural reasoning gaps, and these failures frequently result in "reviewer abandonment," where pull requests receive no human engagement before being closed.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the governance platform, this implies that detection algorithms must prioritize areas involving architectural changes, complex business logic additions, and API integrations, as these are the statistically proven failure zones for current agents that lead to project stagnation.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Feasibility Assessment and Pipeline Architecture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the academic literature, the proposed approach is not only highly feasible but addresses an urgent, validated market need. However, the architectural implementation requires specific technological choices to be viable in a production environment.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Static Extraction: Tree-sitter vs. Code Property Graphs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technical question is whether Tree-sitter is sufficient for extracting the described patterns, or if full Code Property Graphs are required.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Tree-sitter is highly efficient for generating Abstract Syntax Trees. Syntax-based Control Flow Graph construction using Tree-sitter is remarkably fast, taking mere seconds compared to complex graph databases.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Tree-sitter can easily identify the presence of an INSERT statement, locate specific WHERE clauses, or extract enumeration definitions. However, Tree-sitter fundamentally lacks inter-procedural data flow tracking. It cannot determine if two structurally different implementations are semantically identical, nor can it track data flow across function or file boundaries reliably.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detect a complex Data Scope assumption—such as verifying that absolutely no other code path writes to a specific database collection—the system must utilize a Code Property Graph. Tools like Joern generate CPGs that combine the Abstract Syntax Tree, the Control Dependence Graph, and the Data Dependence Graph.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More advanced academic systems like ATLAS provide type-aware graphs that track dependencies across the entire program.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Governance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Tree-sitter (AST)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fast, high-accuracy syntax parsing. Identifies keywords, decorators, and basic structure.</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inter-procedural data flow tracking. Cannot resolve variable provenance.</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 High-speed heuristic filtering to flag potentially modified business logic zones.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Joern / CPG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Combines AST, Control Dependence, and Data Dependence into a queryable graph.</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Computationally expensive. Creates isolated function graphs in some configurations.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Deep tracking of variable provenance and access paths within bounded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ATLAS (Type-aware DFG)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long-range inter-functional dependencies across the entire program.</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setup overhead. Complex to maintain for dynamically typed languages.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Exhaustive verification of System-Wide Data Scope and Integration assumptions.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Tree-sitter alone is insufficient. The minimum analysis depth needed to detect that a table is only written from one function requires a hybrid approach: use Tree-sitter as an initial, low-latency filter to flag high-risk nodes (e.g., database writes, authentication decorators), and upon detection, trigger a targeted Code Property Graph analysis to trace the data flow and confirm the isolation of the logic before passing it to the LLM.</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Boundary of LLM Enrichment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enrichment step is strictly necessary and cannot be replaced entirely by static analysis. Static analysis and Code Property Graphs can prove the structural reality that "Function A is the only writer to Table B." However, static analysis cannot determine if this is a temporary technical artifact or a permanent domain assumption.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LLM is required to act as the semantic bridge, translating the structural fact into a human-readable business constraint. For simple patterns like a single INSERT path, the LLM translates the graph output into a coherent sentence. For complex patterns, such as data scope assumptions spanning multiple microservices, the LLM utilizes its pre-trained semantic understanding to infer the business intent behind the architectural boundary. The line between the two technologies is strict: static analysis provides the mathematically provable structural constraints, while the LLM provides the semantic business translation.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Mitigating False Positives and Alert Fatigue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system flags every single-source database write, developers will quickly experience alert fatigue, leading to the "reviewer abandonment" phenomenon identified by Ehsani et 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Balancing sensitivity and specificity is paramount.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false positives, the system must employ contextual diffing and adaptive thresholding. The analysis should only flag net-new constraints introduced by the AI agent. If a table was historically single-source and the AI adds another single-source function to it, this is a continuation of existing logic, not a novel assumption. Furthermore, the LLM should assign a confidence score based on the rigidity of the constraint. Hardcoded dates or explicit exclusions warrant immediate flagging, whereas ambiguous logical loops may be suppressed. Finally, as developers validate or reject assumptions, the system should use active learning to adjust the threshold for surfacing similar patterns, essentially training a repository-specific classifier over time.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Interactive Elicitation and Question Phrasing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phrasing of the elicited question is a critical human-computer interaction challenge. The user's proposal to use "yes/no" questions is theoretically flawed and will induce system failure.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research on survey methodology and requirements elicitation demonstrates that yes/no questions induce "acquiescence bias"—the psychological tendency for respondents to agree with any assertion presented to them, inflating agreement rates by upwards of ten percent.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a fast-paced development environment, developers will habitually click "Yes" to clear the alert, completely neutralizing the goal of maintaining Cognitive Integrity.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Conversely, purely open-ended questions require too much effort, disrupt flow, and are difficult to parse automatically.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Elicitation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Cognitive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Yes/No (Closed-ended)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susceptible to acquiescence bias. Fast completion time.</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Negative. Encourages procedural oversight and automation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 Not Use.</w:t>
            </w:r>
            <w:r w:rsidDel="00000000" w:rsidR="00000000" w:rsidRPr="00000000">
              <w:rPr>
                <w:rFonts w:ascii="Google Sans" w:cs="Google Sans" w:eastAsia="Google Sans" w:hAnsi="Google Sans"/>
                <w:color w:val="1f1f1f"/>
                <w:shd w:fill="auto" w:val="clear"/>
                <w:rtl w:val="0"/>
              </w:rPr>
              <w:t xml:space="preserve"> Fails to stimulate active domain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Open-ended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deep qualitative insights. Hard to automatically parse.</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 but unsustainable. High cognitive friction disrupts developer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Sparingly.</w:t>
            </w:r>
            <w:r w:rsidDel="00000000" w:rsidR="00000000" w:rsidRPr="00000000">
              <w:rPr>
                <w:rFonts w:ascii="Google Sans" w:cs="Google Sans" w:eastAsia="Google Sans" w:hAnsi="Google Sans"/>
                <w:color w:val="1f1f1f"/>
                <w:shd w:fill="auto" w:val="clear"/>
                <w:rtl w:val="0"/>
              </w:rPr>
              <w:t xml:space="preserve"> Only for highly complex, novel architectural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Bounded Multiple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selection between distinct domain realities based on code context.</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Positive. Forces active evaluation without overwhelming 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Format.</w:t>
            </w:r>
            <w:r w:rsidDel="00000000" w:rsidR="00000000" w:rsidRPr="00000000">
              <w:rPr>
                <w:rFonts w:ascii="Google Sans" w:cs="Google Sans" w:eastAsia="Google Sans" w:hAnsi="Google Sans"/>
                <w:color w:val="1f1f1f"/>
                <w:shd w:fill="auto" w:val="clear"/>
                <w:rtl w:val="0"/>
              </w:rPr>
              <w:t xml:space="preserve"> Present the extracted constraint and ask the developer to define the business boundary.</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should utilize bounded multiple choice formats. The interface must provide the code snippet, state the extracted structural fact, and ask the developer to define the business boundary. For example, rather than asking, "Does this code correctly assume that only internal sources can create transactions?", the prompt should state: "The AI restricted transaction creation to internal sources. Which applies to this business domain?" with options to validate the constraint, flag it as a contradiction, or defer it as a partial implementation.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The Minimum Viable Product: Data Scope Prioritization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early bug detection and prove the platform's efficacy, Data Scope Assumptions should be the exclusive focus of the initial release.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research on software defects indicates that database access bugs are among the most severe and difficult to debug, often caused by logic errors in SQL queries where developers partially understand business criteria.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data provenance tracking provides a highly structured, mathematically rigorous methodology for proving data scope.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makes Data Scope the most technically feasible category to implement cleanly using Code Property Graphs and WHERE clause analysis before advancing to softer, more ambiguous categories like Temporal or Completeness assumptions.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Blind Spots, Edge Cases, and Governance Integration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proposed architecture is robust, the academic literature reveals several blind spots and secondary considerations that must be addressed to ensure long-term viability and defensibility.</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Unidentified Assumption Categories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identified five robust categories. Based on the Self-Claimed Assumptions taxonomy derived from deep learning frameworks, two critical categories are missing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w:t>
      </w:r>
      <w:r w:rsidDel="00000000" w:rsidR="00000000" w:rsidRPr="00000000">
        <w:rPr>
          <w:rFonts w:ascii="Google Sans" w:cs="Google Sans" w:eastAsia="Google Sans" w:hAnsi="Google Sans"/>
          <w:b w:val="1"/>
          <w:bCs w:val="1"/>
          <w:color w:val="1f1f1f"/>
          <w:rtl w:val="0"/>
        </w:rPr>
        <w:t xml:space="preserve">Configuration and Context Assumptions</w:t>
      </w:r>
      <w:r w:rsidDel="00000000" w:rsidR="00000000" w:rsidRPr="00000000">
        <w:rPr>
          <w:rFonts w:ascii="Google Sans" w:cs="Google Sans" w:eastAsia="Google Sans" w:hAnsi="Google Sans"/>
          <w:color w:val="1f1f1f"/>
          <w:rtl w:val="0"/>
        </w:rPr>
        <w:t xml:space="preserve"> must be tracked. AI agents frequently assume the presence of specific environment variables, deployment environments, or hardware profiles. For example, an agent might write code assuming the temporary directory is always writable and has unlimited space. Second, </w:t>
      </w:r>
      <w:r w:rsidDel="00000000" w:rsidR="00000000" w:rsidRPr="00000000">
        <w:rPr>
          <w:rFonts w:ascii="Google Sans" w:cs="Google Sans" w:eastAsia="Google Sans" w:hAnsi="Google Sans"/>
          <w:b w:val="1"/>
          <w:bCs w:val="1"/>
          <w:color w:val="1f1f1f"/>
          <w:rtl w:val="0"/>
        </w:rPr>
        <w:t xml:space="preserve">System-Wide Framework Assumptions</w:t>
      </w:r>
      <w:r w:rsidDel="00000000" w:rsidR="00000000" w:rsidRPr="00000000">
        <w:rPr>
          <w:rFonts w:ascii="Google Sans" w:cs="Google Sans" w:eastAsia="Google Sans" w:hAnsi="Google Sans"/>
          <w:color w:val="1f1f1f"/>
          <w:rtl w:val="0"/>
        </w:rPr>
        <w:t xml:space="preserve"> must be monitored. These involve assumptions regarding the underlying framework's default behavior that may not hold true across version updates, such as assuming an Object-Relational Mapper defaults to lazy loading for a newly created relationship entity.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Known Failure Modes of Assumption Detection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failure mode of detection systems is context degradation. AI coding agents suffer from severe context degradation over long horizons. Summaries compress history and mask failure signals, causing agents to forget which files they modified or the implicit rules they established earlier in the session.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If the assumption governance system relies on the agent's internal memory to enforce rules, it will fail. The governance platform must maintain a stateful, externalized ledger of all validated assumptions that is independently injected into the agent's context window via retrieval-augmented mechanisms.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Cost-Benefit and Cognitive Load Analysis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Surfacing assumptions will introduce micro-interruptions during the development workflow. Will this slow development down more than the bugs they prevent?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immediate term, velocity may decrease. However, the METR study definitively proves that developers already lose massive amounts of time to AI due to friction with implicit requirements.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Cognitive Integrity Threshold framework asserts that this localized slowdown is a necessary feature, not a bug.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By forcing the developer to engage with the business logic iteratively, the platform preserves Functional Cognitive Integrity, preventing catastrophic, delayed-onset systemic logic failures that consume exponentially more time to debug in production.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Legal and Compliance Implications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documentation of assumptions fundamentally alters the liability landscape for software manufacturers.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legal perspective, software errors are categorized into Design Errors (incorrect assumptions about how a program should be used) and Implementation Errors (incorrect coding of those assumptions).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If an AI generates a flawed assumption and it goes undocumented, it is treated as an implementation error demonstrating negligence. If the governance platform surfaces the assumption, the developer validates it, and it later proves false, it becomes a documented Design Error.</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documenting a flaw appears legally risky, legal frameworks view the lack of documentation and the failure to use adequate complexity-management tools as a lack of due diligence.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Documenting assumptions, analyzing alternatives, and explicitly accepting risks actually reduces manufacturer liability because it demonstrates rigorous quality assurance, informed risk acceptance, and compliance with strict liability paradigms governing modern software deployment.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Interaction with Contradiction Engines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developer rejects an assumption, it should not automatically become a hard architectural contradiction. A rejected assumption simply means the AI guessed the business domain incorrectly for that specific implementation. It should trigger an immediate refactor prompt for the agent to correct the code.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validated assumptions must feed directly into the contradiction engine. If a developer validates the assumption that "only internal sources create transactions," this becomes an immutable domain law. If a subsequent AI agent attempts to create a webhook that writes to the transactions table, the contradiction engine must strictly block it based on the previously established governance constraint.</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Competitive Landscape and Strategic Defensibility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Domain Assumption Governance positions the platform at the forefront of a shifting market, moving from generic AI code generation to domain-aware semantic governance.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Market Categorization and Industrial Precedents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is transitioning from "AI-first" solutions—where AI is grafted onto existing processes—to "AI-native" execution, bringing intense focus to Business Logic Governance and Semantic Code Review.</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tools are beginning to claim semantic capabilities but fall short of domain assumption extraction. Platforms like Aikido offer "semantic code review" but focus almost entirely on exploitable security vulnerabilities rather than bespoke business logic.</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AI Code Reviewers like PR-Agent and tools powered by GPT-5 Codex perform semantic reviews by comparing stated pull request intent against actual code changes.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these systems evaluate execution against stated intent, entirely missing the problem of execution against unstated, tacit domain truth.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closest industrial precedent is Microsoft's recent integration of "custom AI skills" into M365 Copilot. These skills act as "packages of business logic, governance rules, and terminology" to provide active guardrails for AI behavior.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While this targets a similar problem, it appears focused on enterprise workflow and post-hoc terminology alignment rather than deep, graph-based codebase analysis and assumption extraction.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Strategic Positioning: Feature vs. Standalone Product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Assumption Governance is strategically best positioned as a core feature of a broader governance platform, such as VT Protocol, rather than a standalone product. Assumption governance inherently requires deep integration with an existing contradiction engine, context-injection pipelines for agents, and CI/CD workflows. As a standalone tool, it risks becoming another noisy linter that developers ignore. Integrated deeply into a governance platform, it becomes the definitive, stateful source of truth for the project's domain logic, actively guiding agent behavior before code is even generated.</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Intellectual Property and Defensibility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exhibits strong potential for intellectual property protection. The novelty lies not in the utilization of static analysis or Large Language Models independently, but in the closed-loop extraction, translation, validation, and enforcement of tacit domain knowledge specifically designed to mitigate the cognitive integrity degradation introduced by autonomous AI coding agents.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viable patent claim would focus on the specific, automated pipeline bridging structural graph extraction and semantic NLP elicitation. A conceptual claim could be structured as: "A system and method for the automated extraction and governance of implicit business logic assumptions in synthetically generated source code, comprising: a static analysis engine configured to generate inter-procedural data flow graphs; a neural translation layer configured to convert extracted structural constraints into domain-specific semantic propositions; an interactive elicitation interface configured via bounded parameters to mitigate acquiescence bias; and a stateful ledger that dynamically injects validated semantic constraints into the context window of an autonomous code generation agent."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formalizing the silent needs of the business domain, Domain Assumption Governance eliminates the architectural reasoning gap, transitioning AI agents from highly-variable reactive code generators into mathematically and semantically constrained epistemic partners.</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the Implicit: A Comparative Evaluation of Modeling Approaches for Environmental Assumptions - MDPI, accessed April 12, 2026, </w:t>
      </w:r>
      <w:hyperlink r:id="rId6">
        <w:r w:rsidDel="00000000" w:rsidR="00000000" w:rsidRPr="00000000">
          <w:rPr>
            <w:rFonts w:ascii="Google Sans" w:cs="Google Sans" w:eastAsia="Google Sans" w:hAnsi="Google Sans"/>
            <w:color w:val="0000ee"/>
            <w:sz w:val="24"/>
            <w:szCs w:val="24"/>
            <w:u w:val="single"/>
            <w:rtl w:val="0"/>
          </w:rPr>
          <w:t xml:space="preserve">https://www.mdpi.com/2076-3417/15/19/10345</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Capturing Tacit Knowledge of Experts through the Study of Visual Attention: Applications for Human Expertise and AI Àlex Armeng - DSpace@MIT, accessed April 12, 2026, </w:t>
      </w:r>
      <w:hyperlink r:id="rId7">
        <w:r w:rsidDel="00000000" w:rsidR="00000000" w:rsidRPr="00000000">
          <w:rPr>
            <w:rFonts w:ascii="Google Sans" w:cs="Google Sans" w:eastAsia="Google Sans" w:hAnsi="Google Sans"/>
            <w:color w:val="0000ee"/>
            <w:sz w:val="24"/>
            <w:szCs w:val="24"/>
            <w:u w:val="single"/>
            <w:rtl w:val="0"/>
          </w:rPr>
          <w:t xml:space="preserve">https://dspace.mit.edu/bitstream/handle/1721.1/151880/ArmengolUrpi-armengol-phd-meche-2023-thesis.pdf?sequence=1&amp;isAllowed=y</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Unspoken: A Conceptual Framework for AI-Enabled Tacit Knowledge Co-Evolution - MDPI, accessed April 12, 2026, </w:t>
      </w:r>
      <w:hyperlink r:id="rId8">
        <w:r w:rsidDel="00000000" w:rsidR="00000000" w:rsidRPr="00000000">
          <w:rPr>
            <w:rFonts w:ascii="Google Sans" w:cs="Google Sans" w:eastAsia="Google Sans" w:hAnsi="Google Sans"/>
            <w:color w:val="0000ee"/>
            <w:sz w:val="24"/>
            <w:szCs w:val="24"/>
            <w:u w:val="single"/>
            <w:rtl w:val="0"/>
          </w:rPr>
          <w:t xml:space="preserve">https://www.mdpi.com/2673-9585/6/1/1</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ICSE 2026 - Research Track - ICSE 2026 - conf.researchr.org, accessed April 12, 2026, </w:t>
      </w:r>
      <w:hyperlink r:id="rId9">
        <w:r w:rsidDel="00000000" w:rsidR="00000000" w:rsidRPr="00000000">
          <w:rPr>
            <w:rFonts w:ascii="Google Sans" w:cs="Google Sans" w:eastAsia="Google Sans" w:hAnsi="Google Sans"/>
            <w:color w:val="0000ee"/>
            <w:sz w:val="24"/>
            <w:szCs w:val="24"/>
            <w:u w:val="single"/>
            <w:rtl w:val="0"/>
          </w:rPr>
          <w:t xml:space="preserve">https://conf.researchr.org/track/icse-2026/icse-2026-research-track</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challenge of data-driven requirements elicitation techniques - Diva-portal.org, accessed April 12, 2026, </w:t>
      </w:r>
      <w:hyperlink r:id="rId10">
        <w:r w:rsidDel="00000000" w:rsidR="00000000" w:rsidRPr="00000000">
          <w:rPr>
            <w:rFonts w:ascii="Google Sans" w:cs="Google Sans" w:eastAsia="Google Sans" w:hAnsi="Google Sans"/>
            <w:color w:val="0000ee"/>
            <w:sz w:val="24"/>
            <w:szCs w:val="24"/>
            <w:u w:val="single"/>
            <w:rtl w:val="0"/>
          </w:rPr>
          <w:t xml:space="preserve">https://www.diva-portal.org/smash/get/diva2:1405202/FULLTEXT02.pdf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Reasoning Depth of Small Language Models in Software Architecture - arXiv, accessed April 12, 2026, </w:t>
      </w:r>
      <w:hyperlink r:id="rId11">
        <w:r w:rsidDel="00000000" w:rsidR="00000000" w:rsidRPr="00000000">
          <w:rPr>
            <w:rFonts w:ascii="Google Sans" w:cs="Google Sans" w:eastAsia="Google Sans" w:hAnsi="Google Sans"/>
            <w:color w:val="0000ee"/>
            <w:sz w:val="24"/>
            <w:szCs w:val="24"/>
            <w:u w:val="single"/>
            <w:rtl w:val="0"/>
          </w:rPr>
          <w:t xml:space="preserve">https://arxiv.org/pdf/2603.07091</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Self-Claimed Assumptions in Deep Learning Frameworks: An ... - arXiv, accessed April 12, 2026, </w:t>
      </w:r>
      <w:hyperlink r:id="rId12">
        <w:r w:rsidDel="00000000" w:rsidR="00000000" w:rsidRPr="00000000">
          <w:rPr>
            <w:rFonts w:ascii="Google Sans" w:cs="Google Sans" w:eastAsia="Google Sans" w:hAnsi="Google Sans"/>
            <w:color w:val="0000ee"/>
            <w:sz w:val="24"/>
            <w:szCs w:val="24"/>
            <w:u w:val="single"/>
            <w:rtl w:val="0"/>
          </w:rPr>
          <w:t xml:space="preserve">https://arxiv.org/pdf/2104.14208</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Towards Structured, State-Aware, and Execution-Grounded ..., accessed April 12,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https://www.researchgate.net/publication/400458891_Towards_Structured_State-Aware_and_Execution-Grounded_Reasoning_for_Software_Engineering_Agents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tools make developers slower, study finds - The Register, accessed April 12, 2026, </w:t>
      </w:r>
      <w:hyperlink r:id="rId14">
        <w:r w:rsidDel="00000000" w:rsidR="00000000" w:rsidRPr="00000000">
          <w:rPr>
            <w:rFonts w:ascii="Google Sans" w:cs="Google Sans" w:eastAsia="Google Sans" w:hAnsi="Google Sans"/>
            <w:color w:val="0000ee"/>
            <w:sz w:val="24"/>
            <w:szCs w:val="24"/>
            <w:u w:val="single"/>
            <w:rtl w:val="0"/>
          </w:rPr>
          <w:t xml:space="preserve">https://www.theregister.com/2025/07/11/ai_code_tools_slow_down/</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the Impact of Early-2025 AI on Experienced Open ..., accessed April 12, 2026, </w:t>
      </w:r>
      <w:hyperlink r:id="rId15">
        <w:r w:rsidDel="00000000" w:rsidR="00000000" w:rsidRPr="00000000">
          <w:rPr>
            <w:rFonts w:ascii="Google Sans" w:cs="Google Sans" w:eastAsia="Google Sans" w:hAnsi="Google Sans"/>
            <w:color w:val="0000ee"/>
            <w:sz w:val="24"/>
            <w:szCs w:val="24"/>
            <w:u w:val="single"/>
            <w:rtl w:val="0"/>
          </w:rPr>
          <w:t xml:space="preserve">https://metr.org/blog/2025-07-10-early-2025-ai-experienced-os-dev-study/</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AI Coding Agents Fail? An Empirical Study of Failed Agentic Pull Requests in GitHub - arXiv, accessed April 12, 2026, </w:t>
      </w:r>
      <w:hyperlink r:id="rId16">
        <w:r w:rsidDel="00000000" w:rsidR="00000000" w:rsidRPr="00000000">
          <w:rPr>
            <w:rFonts w:ascii="Google Sans" w:cs="Google Sans" w:eastAsia="Google Sans" w:hAnsi="Google Sans"/>
            <w:color w:val="0000ee"/>
            <w:sz w:val="24"/>
            <w:szCs w:val="24"/>
            <w:u w:val="single"/>
            <w:rtl w:val="0"/>
          </w:rPr>
          <w:t xml:space="preserve">https://arxiv.org/html/2601.15195v1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Resolution Rates: Behavioral Drivers of Coding Agent Success and Failure - arXiv, accessed April 12, 2026, </w:t>
      </w:r>
      <w:hyperlink r:id="rId17">
        <w:r w:rsidDel="00000000" w:rsidR="00000000" w:rsidRPr="00000000">
          <w:rPr>
            <w:rFonts w:ascii="Google Sans" w:cs="Google Sans" w:eastAsia="Google Sans" w:hAnsi="Google Sans"/>
            <w:color w:val="0000ee"/>
            <w:sz w:val="24"/>
            <w:szCs w:val="24"/>
            <w:u w:val="single"/>
            <w:rtl w:val="0"/>
          </w:rPr>
          <w:t xml:space="preserve">https://arxiv.org/html/2604.02547v1</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Peng Liang 0001 - DBLP, accessed April 12, 2026, </w:t>
      </w:r>
      <w:hyperlink r:id="rId18">
        <w:r w:rsidDel="00000000" w:rsidR="00000000" w:rsidRPr="00000000">
          <w:rPr>
            <w:rFonts w:ascii="Google Sans" w:cs="Google Sans" w:eastAsia="Google Sans" w:hAnsi="Google Sans"/>
            <w:color w:val="0000ee"/>
            <w:sz w:val="24"/>
            <w:szCs w:val="24"/>
            <w:u w:val="single"/>
            <w:rtl w:val="0"/>
          </w:rPr>
          <w:t xml:space="preserve">https://dblp.org/pid/57/3505-1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Environmental Assumptions in Shaping Requirements Technical Debt - OUCI, accessed April 12, 2026, </w:t>
      </w:r>
      <w:hyperlink r:id="rId19">
        <w:r w:rsidDel="00000000" w:rsidR="00000000" w:rsidRPr="00000000">
          <w:rPr>
            <w:rFonts w:ascii="Google Sans" w:cs="Google Sans" w:eastAsia="Google Sans" w:hAnsi="Google Sans"/>
            <w:color w:val="0000ee"/>
            <w:sz w:val="24"/>
            <w:szCs w:val="24"/>
            <w:u w:val="single"/>
            <w:rtl w:val="0"/>
          </w:rPr>
          <w:t xml:space="preserve">https://ouci.dntb.gov.ua/en/works/986Y6Z1Y/</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Exploratory Study on Automatic Identification of Assumptions in the Development of Deep Learning Frameworks - ResearchGate, accessed April 12,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https://www.researchgate.net/publication/377558476_An_Exploratory_Study_on_Automatic_Identification_of_Assumptions_in_the_Development_of_Deep_Learning_Frameworks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Using AI and NLP for Tacit Knowledge Conversion in Knowledge Management Systems: A Comparative Analysis - ResearchGate, accessed April 12,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https://www.researchgate.net/publication/389163877_Using_AI_and_NLP_for_Tacit_Knowledge_Conversion_in_Knowledge_Management_Systems_A_Comparative_Analysis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Jaydeep SEN | Rsearch Software Engineer | IBM, Armonk | IBM Research India | Research profile - ResearchGate, accessed April 12,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https://www.researchgate.net/profile/Jaydeep-Sen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Transferable Table Question Answering - ACL Anthology, accessed April 12, 2026, </w:t>
      </w:r>
      <w:hyperlink r:id="rId23">
        <w:r w:rsidDel="00000000" w:rsidR="00000000" w:rsidRPr="00000000">
          <w:rPr>
            <w:rFonts w:ascii="Google Sans" w:cs="Google Sans" w:eastAsia="Google Sans" w:hAnsi="Google Sans"/>
            <w:color w:val="0000ee"/>
            <w:sz w:val="24"/>
            <w:szCs w:val="24"/>
            <w:u w:val="single"/>
            <w:rtl w:val="0"/>
          </w:rPr>
          <w:t xml:space="preserve">https://aclanthology.org/2021.emnlp-main.342.pdf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Locating Quality Issues in the Database Access Code of Database-Backed Applications - Concordia's Spectrum, accessed April 12, 2026, </w:t>
      </w:r>
      <w:hyperlink r:id="rId24">
        <w:r w:rsidDel="00000000" w:rsidR="00000000" w:rsidRPr="00000000">
          <w:rPr>
            <w:rFonts w:ascii="Google Sans" w:cs="Google Sans" w:eastAsia="Google Sans" w:hAnsi="Google Sans"/>
            <w:color w:val="0000ee"/>
            <w:sz w:val="24"/>
            <w:szCs w:val="24"/>
            <w:u w:val="single"/>
            <w:rtl w:val="0"/>
          </w:rPr>
          <w:t xml:space="preserve">https://spectrum.library.concordia.ca/994856/1/Liu_PhD_S2025.pdf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data provenance support to Apache Spark - PMC, accessed April 12,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https://pmc.ncbi.nlm.nih.gov/articles/PMC6474385/</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Miryung Kim: Research and Scholarship, accessed April 12, 2026, </w:t>
      </w:r>
      <w:hyperlink r:id="rId26">
        <w:r w:rsidDel="00000000" w:rsidR="00000000" w:rsidRPr="00000000">
          <w:rPr>
            <w:rFonts w:ascii="Google Sans" w:cs="Google Sans" w:eastAsia="Google Sans" w:hAnsi="Google Sans"/>
            <w:color w:val="0000ee"/>
            <w:sz w:val="24"/>
            <w:szCs w:val="24"/>
            <w:u w:val="single"/>
            <w:rtl w:val="0"/>
          </w:rPr>
          <w:t xml:space="preserve">https://web.cs.ucla.edu/~miryung/research_kim.pdf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and Interactive Debugging of Big Data Analytics, accessed April 12, 2026, </w:t>
      </w:r>
      <w:hyperlink r:id="rId27">
        <w:r w:rsidDel="00000000" w:rsidR="00000000" w:rsidRPr="00000000">
          <w:rPr>
            <w:rFonts w:ascii="Google Sans" w:cs="Google Sans" w:eastAsia="Google Sans" w:hAnsi="Google Sans"/>
            <w:color w:val="0000ee"/>
            <w:sz w:val="24"/>
            <w:szCs w:val="24"/>
            <w:u w:val="single"/>
            <w:rtl w:val="0"/>
          </w:rPr>
          <w:t xml:space="preserve">https://people.cs.vt.edu/~gulzar/assets/pdf/SRC-icse18.pdf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Provenance Guided Rollback Suggestions | Theory and Practice of Logic Programming, accessed April 12, 2026, </w:t>
      </w:r>
      <w:hyperlink r:id="rId28">
        <w:r w:rsidDel="00000000" w:rsidR="00000000" w:rsidRPr="00000000">
          <w:rPr>
            <w:rFonts w:ascii="Google Sans" w:cs="Google Sans" w:eastAsia="Google Sans" w:hAnsi="Google Sans"/>
            <w:color w:val="0000ee"/>
            <w:sz w:val="24"/>
            <w:szCs w:val="24"/>
            <w:u w:val="single"/>
            <w:rtl w:val="0"/>
          </w:rPr>
          <w:t xml:space="preserve">https://www.cambridge.org/core/journals/theory-and-practice-of-logic-programming/article/provenance-guided-rollback-suggestions/B95F33BD5A3D55E58F8B4A68F4437595</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Provenance for Large-scale Datalog - Soufflé, accessed April 12, 2026, </w:t>
      </w:r>
      <w:hyperlink r:id="rId29">
        <w:r w:rsidDel="00000000" w:rsidR="00000000" w:rsidRPr="00000000">
          <w:rPr>
            <w:rFonts w:ascii="Google Sans" w:cs="Google Sans" w:eastAsia="Google Sans" w:hAnsi="Google Sans"/>
            <w:color w:val="0000ee"/>
            <w:sz w:val="24"/>
            <w:szCs w:val="24"/>
            <w:u w:val="single"/>
            <w:rtl w:val="0"/>
          </w:rPr>
          <w:t xml:space="preserve">https://souffle-lang.github.io/pdf/provenance-tr.pdf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Insourcing: Bringing Ops In-House for Seamless Re-engineering of Full-Stack JavaScript Applications - People, accessed April 12, 2026, </w:t>
      </w:r>
      <w:hyperlink r:id="rId30">
        <w:r w:rsidDel="00000000" w:rsidR="00000000" w:rsidRPr="00000000">
          <w:rPr>
            <w:rFonts w:ascii="Google Sans" w:cs="Google Sans" w:eastAsia="Google Sans" w:hAnsi="Google Sans"/>
            <w:color w:val="0000ee"/>
            <w:sz w:val="24"/>
            <w:szCs w:val="24"/>
            <w:u w:val="single"/>
            <w:rtl w:val="0"/>
          </w:rPr>
          <w:t xml:space="preserve">https://people.cs.vt.edu/~tilevich/papers/Client_Insourcing_WebConf2020.pdf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Daikon system for dynamic detection of likely invariants - Electrical Engineering and Computer Science, accessed April 12, 2026, </w:t>
      </w:r>
      <w:hyperlink r:id="rId31">
        <w:r w:rsidDel="00000000" w:rsidR="00000000" w:rsidRPr="00000000">
          <w:rPr>
            <w:rFonts w:ascii="Google Sans" w:cs="Google Sans" w:eastAsia="Google Sans" w:hAnsi="Google Sans"/>
            <w:color w:val="0000ee"/>
            <w:sz w:val="24"/>
            <w:szCs w:val="24"/>
            <w:u w:val="single"/>
            <w:rtl w:val="0"/>
          </w:rPr>
          <w:t xml:space="preserve">https://web.eecs.umich.edu/~weimerw/2024-481F/readings/daikon-tool-scp2007.pdf</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Specification Completion for Systems with Emergent Behavior based on DevOps | Request PDF - ResearchGate, accessed April 12,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https://www.researchgate.net/publication/373401710_Towards_Specification_Completion_for_Systems_with_Emergent_Behavior_based_on_DevOps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Automatically Generating Test Cases for Specification Mining - ResearchGate, accessed April 12,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https://www.researchgate.net/publication/224262408_Automatically_Generating_Test_Cases_for_Specification_Mining</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Rule Discovery from Large Datasets by Sampling | Request PDF - ResearchGate, accessed April 12,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https://www.researchgate.net/publication/361247007_Parallel_Rule_Discovery_from_Large_Datasets_by_Sampling</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Paper on Software Engineering Areas Implementing Data Mining Tools &amp; Techniques - Research India Publications, accessed April 12, 2026, </w:t>
      </w:r>
      <w:hyperlink r:id="rId35">
        <w:r w:rsidDel="00000000" w:rsidR="00000000" w:rsidRPr="00000000">
          <w:rPr>
            <w:rFonts w:ascii="Google Sans" w:cs="Google Sans" w:eastAsia="Google Sans" w:hAnsi="Google Sans"/>
            <w:color w:val="0000ee"/>
            <w:sz w:val="24"/>
            <w:szCs w:val="24"/>
            <w:u w:val="single"/>
            <w:rtl w:val="0"/>
          </w:rPr>
          <w:t xml:space="preserve">https://www.ripublication.com/ijcir17/ijcirv13n4_10.pdf</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Mining of Profit Rules from Closed Inter-Transaction Itemsets - ResearchGate, accessed April 12,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https://www.researchgate.net/publication/303753858_Efficient_Mining_of_Profit_Rules_from_Closed_Inter-Transaction_Itemsets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 Detection by Learning From Syntax-Based Execution Paths of Code, accessed April 12, 2026, </w:t>
      </w:r>
      <w:hyperlink r:id="rId37">
        <w:r w:rsidDel="00000000" w:rsidR="00000000" w:rsidRPr="00000000">
          <w:rPr>
            <w:rFonts w:ascii="Google Sans" w:cs="Google Sans" w:eastAsia="Google Sans" w:hAnsi="Google Sans"/>
            <w:color w:val="0000ee"/>
            <w:sz w:val="24"/>
            <w:szCs w:val="24"/>
            <w:u w:val="single"/>
            <w:rtl w:val="0"/>
          </w:rPr>
          <w:t xml:space="preserve">https://www.computer.org/csdl/journal/ts/2023/08/10153647/1NZS852RiIU</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Automated Tree-based Language Analysis System for C and C++ source programs, accessed April 12, 2026, </w:t>
      </w:r>
      <w:hyperlink r:id="rId38">
        <w:r w:rsidDel="00000000" w:rsidR="00000000" w:rsidRPr="00000000">
          <w:rPr>
            <w:rFonts w:ascii="Google Sans" w:cs="Google Sans" w:eastAsia="Google Sans" w:hAnsi="Google Sans"/>
            <w:color w:val="0000ee"/>
            <w:sz w:val="24"/>
            <w:szCs w:val="24"/>
            <w:u w:val="single"/>
            <w:rtl w:val="0"/>
          </w:rPr>
          <w:t xml:space="preserve">https://arxiv.org/html/2512.12507v1</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ATLAS: Automated Tree-based Language Analysis System for C and C++ source programs - ResearchGate, accessed April 12,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https://www.researchgate.net/publication/398720072_ATLAS_Automated_Tree-based_Language_Analysis_System_for_C_and_C_source_programs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CodeSAM: Source Code Representation Learning by Infusing Self-Attention with Multi-Code-View Graphs - arXiv, accessed April 12, 2026, </w:t>
      </w:r>
      <w:hyperlink r:id="rId40">
        <w:r w:rsidDel="00000000" w:rsidR="00000000" w:rsidRPr="00000000">
          <w:rPr>
            <w:rFonts w:ascii="Google Sans" w:cs="Google Sans" w:eastAsia="Google Sans" w:hAnsi="Google Sans"/>
            <w:color w:val="0000ee"/>
            <w:sz w:val="24"/>
            <w:szCs w:val="24"/>
            <w:u w:val="single"/>
            <w:rtl w:val="0"/>
          </w:rPr>
          <w:t xml:space="preserve">https://arxiv.org/html/2411.14611v1</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ClawSafety: "Safe" LLMs, Unsafe Agents - arXiv, accessed April 12, 2026, </w:t>
      </w:r>
      <w:hyperlink r:id="rId41">
        <w:r w:rsidDel="00000000" w:rsidR="00000000" w:rsidRPr="00000000">
          <w:rPr>
            <w:rFonts w:ascii="Google Sans" w:cs="Google Sans" w:eastAsia="Google Sans" w:hAnsi="Google Sans"/>
            <w:color w:val="0000ee"/>
            <w:sz w:val="24"/>
            <w:szCs w:val="24"/>
            <w:u w:val="single"/>
            <w:rtl w:val="0"/>
          </w:rPr>
          <w:t xml:space="preserve">https://arxiv.org/html/2604.01438v1</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 Codex: AI-Powered Development and Autonomous Coding | FlowHunt, accessed April 12, 2026, </w:t>
      </w:r>
      <w:hyperlink r:id="rId42">
        <w:r w:rsidDel="00000000" w:rsidR="00000000" w:rsidRPr="00000000">
          <w:rPr>
            <w:rFonts w:ascii="Google Sans" w:cs="Google Sans" w:eastAsia="Google Sans" w:hAnsi="Google Sans"/>
            <w:color w:val="0000ee"/>
            <w:sz w:val="24"/>
            <w:szCs w:val="24"/>
            <w:u w:val="single"/>
            <w:rtl w:val="0"/>
          </w:rPr>
          <w:t xml:space="preserve">https://www.flowhunt.io/blog/gpt-5-codex-future-ai-powered-development/</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Human-Centric AI Requires a Minimum Viable Level of Human Understanding, accessed April 12, 2026, </w:t>
      </w:r>
      <w:hyperlink r:id="rId43">
        <w:r w:rsidDel="00000000" w:rsidR="00000000" w:rsidRPr="00000000">
          <w:rPr>
            <w:rFonts w:ascii="Google Sans" w:cs="Google Sans" w:eastAsia="Google Sans" w:hAnsi="Google Sans"/>
            <w:color w:val="0000ee"/>
            <w:sz w:val="24"/>
            <w:szCs w:val="24"/>
            <w:u w:val="single"/>
            <w:rtl w:val="0"/>
          </w:rPr>
          <w:t xml:space="preserve">https://arxiv.org/html/2602.00854</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Human-Centric AI Requires a Minimum Viable Level of Human Understanding, accessed April 12, 2026, </w:t>
      </w:r>
      <w:hyperlink r:id="rId44">
        <w:r w:rsidDel="00000000" w:rsidR="00000000" w:rsidRPr="00000000">
          <w:rPr>
            <w:rFonts w:ascii="Google Sans" w:cs="Google Sans" w:eastAsia="Google Sans" w:hAnsi="Google Sans"/>
            <w:color w:val="0000ee"/>
            <w:sz w:val="24"/>
            <w:szCs w:val="24"/>
            <w:u w:val="single"/>
            <w:rtl w:val="0"/>
          </w:rPr>
          <w:t xml:space="preserve">https://arxiv.org/html/2602.00854v1</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Human-Centric AI Requires a Minimum Viable Level of Human Understanding - arXiv, accessed April 12, 2026, </w:t>
      </w:r>
      <w:hyperlink r:id="rId45">
        <w:r w:rsidDel="00000000" w:rsidR="00000000" w:rsidRPr="00000000">
          <w:rPr>
            <w:rFonts w:ascii="Google Sans" w:cs="Google Sans" w:eastAsia="Google Sans" w:hAnsi="Google Sans"/>
            <w:color w:val="0000ee"/>
            <w:sz w:val="24"/>
            <w:szCs w:val="24"/>
            <w:u w:val="single"/>
            <w:rtl w:val="0"/>
          </w:rPr>
          <w:t xml:space="preserve">https://arxiv.org/pdf/2602.00854</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Human-Centric AI Requires a Minimum Viable Level of Human Understanding, accessed April 12,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https://www.researchgate.net/publication/400369379_Position_Human-Centric_AI_Requires_a_Minimum_Viable_Level_of_Human_Understanding</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Exercises for Active Learning in Software Verification and Validation - ISCAP Conference, accessed April 12, 2026, </w:t>
      </w:r>
      <w:hyperlink r:id="rId47">
        <w:r w:rsidDel="00000000" w:rsidR="00000000" w:rsidRPr="00000000">
          <w:rPr>
            <w:rFonts w:ascii="Google Sans" w:cs="Google Sans" w:eastAsia="Google Sans" w:hAnsi="Google Sans"/>
            <w:color w:val="0000ee"/>
            <w:sz w:val="24"/>
            <w:szCs w:val="24"/>
            <w:u w:val="single"/>
            <w:rtl w:val="0"/>
          </w:rPr>
          <w:t xml:space="preserve">https://iscap.us/proceedings/2015/pdf/3457.pdf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 Template for an Educational Software Development Methodology for Novice Computing Undergraduates: An Integrative Review - Arrow@TU Dublin, accessed April 12, 2026, </w:t>
      </w:r>
      <w:hyperlink r:id="rId48">
        <w:r w:rsidDel="00000000" w:rsidR="00000000" w:rsidRPr="00000000">
          <w:rPr>
            <w:rFonts w:ascii="Google Sans" w:cs="Google Sans" w:eastAsia="Google Sans" w:hAnsi="Google Sans"/>
            <w:color w:val="0000ee"/>
            <w:sz w:val="24"/>
            <w:szCs w:val="24"/>
            <w:u w:val="single"/>
            <w:rtl w:val="0"/>
          </w:rPr>
          <w:t xml:space="preserve">https://arrow.tudublin.ie/cgi/viewcontent.cgi?article=1605&amp;context=schfsehart</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Tools Made Developers 19% Slower: METR Study | Let's Data Science, accessed April 12, 2026, </w:t>
      </w:r>
      <w:hyperlink r:id="rId49">
        <w:r w:rsidDel="00000000" w:rsidR="00000000" w:rsidRPr="00000000">
          <w:rPr>
            <w:rFonts w:ascii="Google Sans" w:cs="Google Sans" w:eastAsia="Google Sans" w:hAnsi="Google Sans"/>
            <w:color w:val="0000ee"/>
            <w:sz w:val="24"/>
            <w:szCs w:val="24"/>
            <w:u w:val="single"/>
            <w:rtl w:val="0"/>
          </w:rPr>
          <w:t xml:space="preserve">https://letsdatascience.com/blog/developers-thought-ai-made-them-faster-the-data-said-otherwise</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AI Coding Agents Fail? An Empirical Study of Failed Agentic Pull Requests in GitHub - ResearchGate, accessed April 12,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https://www.researchgate.net/publication/399962648_Where_Do_AI_Coding_Agents_Fail_An_Empirical_Study_of_Failed_Agentic_Pull_Requests_in_GitHub</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AI Coding Agents Fail? An Empirical Study of ... - arXiv, accessed April 12, 2026, </w:t>
      </w:r>
      <w:hyperlink r:id="rId51">
        <w:r w:rsidDel="00000000" w:rsidR="00000000" w:rsidRPr="00000000">
          <w:rPr>
            <w:rFonts w:ascii="Google Sans" w:cs="Google Sans" w:eastAsia="Google Sans" w:hAnsi="Google Sans"/>
            <w:color w:val="0000ee"/>
            <w:sz w:val="24"/>
            <w:szCs w:val="24"/>
            <w:u w:val="single"/>
            <w:rtl w:val="0"/>
          </w:rPr>
          <w:t xml:space="preserve">https://arxiv.org/abs/2601.15195</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AI Coding Agents Fail? An Empirical Study of Failed, accessed April 12, 2026, </w:t>
      </w:r>
      <w:hyperlink r:id="rId52">
        <w:r w:rsidDel="00000000" w:rsidR="00000000" w:rsidRPr="00000000">
          <w:rPr>
            <w:rFonts w:ascii="Google Sans" w:cs="Google Sans" w:eastAsia="Google Sans" w:hAnsi="Google Sans"/>
            <w:color w:val="0000ee"/>
            <w:sz w:val="24"/>
            <w:szCs w:val="24"/>
            <w:u w:val="single"/>
            <w:rtl w:val="0"/>
          </w:rPr>
          <w:t xml:space="preserve">https://tldr.takara.ai/p/2601.15195v1</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Guide on Survey Research - Reference Manual on Scientific Evidence - NCBI Bookshelf, accessed April 12, 2026, </w:t>
      </w:r>
      <w:hyperlink r:id="rId53">
        <w:r w:rsidDel="00000000" w:rsidR="00000000" w:rsidRPr="00000000">
          <w:rPr>
            <w:rFonts w:ascii="Google Sans" w:cs="Google Sans" w:eastAsia="Google Sans" w:hAnsi="Google Sans"/>
            <w:color w:val="0000ee"/>
            <w:sz w:val="24"/>
            <w:szCs w:val="24"/>
            <w:u w:val="single"/>
            <w:rtl w:val="0"/>
          </w:rPr>
          <w:t xml:space="preserve">https://www.ncbi.nlm.nih.gov/books/NBK621605/</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Elicitation in Software Engineering: A Complete Guide - Testbytes, accessed April 12, 2026, </w:t>
      </w:r>
      <w:hyperlink r:id="rId54">
        <w:r w:rsidDel="00000000" w:rsidR="00000000" w:rsidRPr="00000000">
          <w:rPr>
            <w:rFonts w:ascii="Google Sans" w:cs="Google Sans" w:eastAsia="Google Sans" w:hAnsi="Google Sans"/>
            <w:color w:val="0000ee"/>
            <w:sz w:val="24"/>
            <w:szCs w:val="24"/>
            <w:u w:val="single"/>
            <w:rtl w:val="0"/>
          </w:rPr>
          <w:t xml:space="preserve">https://www.testbytes.net/blog/requirements-elicitation/</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Elicitation Follow-Up Question Generation - arXiv, accessed April 12, 2026, </w:t>
      </w:r>
      <w:hyperlink r:id="rId55">
        <w:r w:rsidDel="00000000" w:rsidR="00000000" w:rsidRPr="00000000">
          <w:rPr>
            <w:rFonts w:ascii="Google Sans" w:cs="Google Sans" w:eastAsia="Google Sans" w:hAnsi="Google Sans"/>
            <w:color w:val="0000ee"/>
            <w:sz w:val="24"/>
            <w:szCs w:val="24"/>
            <w:u w:val="single"/>
            <w:rtl w:val="0"/>
          </w:rPr>
          <w:t xml:space="preserve">https://arxiv.org/html/2507.02858v1</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Value Elicitation Formats in Contingent Valuation: A New Hope - University of Tennessee, Knoxville, accessed April 12, 2026, </w:t>
      </w:r>
      <w:hyperlink r:id="rId56">
        <w:r w:rsidDel="00000000" w:rsidR="00000000" w:rsidRPr="00000000">
          <w:rPr>
            <w:rFonts w:ascii="Google Sans" w:cs="Google Sans" w:eastAsia="Google Sans" w:hAnsi="Google Sans"/>
            <w:color w:val="0000ee"/>
            <w:sz w:val="24"/>
            <w:szCs w:val="24"/>
            <w:u w:val="single"/>
            <w:rtl w:val="0"/>
          </w:rPr>
          <w:t xml:space="preserve">http://web.utk.edu/~jhollad3/2016-02.pdf</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Coding Agents Forget: The Hidden Cost of AI Context Degradation - SmarterArticles, accessed April 12, 2026, </w:t>
      </w:r>
      <w:hyperlink r:id="rId57">
        <w:r w:rsidDel="00000000" w:rsidR="00000000" w:rsidRPr="00000000">
          <w:rPr>
            <w:rFonts w:ascii="Google Sans" w:cs="Google Sans" w:eastAsia="Google Sans" w:hAnsi="Google Sans"/>
            <w:color w:val="0000ee"/>
            <w:sz w:val="24"/>
            <w:szCs w:val="24"/>
            <w:u w:val="single"/>
            <w:rtl w:val="0"/>
          </w:rPr>
          <w:t xml:space="preserve">https://smarterarticles.co.uk/when-coding-agents-forget-the-hidden-cost-of-ai-context-degradation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errors — legal liability and how to prevent them | Blog ..., accessed April 12, 2026, </w:t>
      </w:r>
      <w:hyperlink r:id="rId58">
        <w:r w:rsidDel="00000000" w:rsidR="00000000" w:rsidRPr="00000000">
          <w:rPr>
            <w:rFonts w:ascii="Google Sans" w:cs="Google Sans" w:eastAsia="Google Sans" w:hAnsi="Google Sans"/>
            <w:color w:val="0000ee"/>
            <w:sz w:val="24"/>
            <w:szCs w:val="24"/>
            <w:u w:val="single"/>
            <w:rtl w:val="0"/>
          </w:rPr>
          <w:t xml:space="preserve">https://ardura.consulting/blog/effects-of-software-errors-legal-and-ethical-liability-in-case-of-failures-or-errors/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AI-First vs AI-Native: What's the Real Difference? - TechBlocks, accessed April 12, 2026, </w:t>
      </w:r>
      <w:hyperlink r:id="rId59">
        <w:r w:rsidDel="00000000" w:rsidR="00000000" w:rsidRPr="00000000">
          <w:rPr>
            <w:rFonts w:ascii="Google Sans" w:cs="Google Sans" w:eastAsia="Google Sans" w:hAnsi="Google Sans"/>
            <w:color w:val="0000ee"/>
            <w:sz w:val="24"/>
            <w:szCs w:val="24"/>
            <w:u w:val="single"/>
            <w:rtl w:val="0"/>
          </w:rPr>
          <w:t xml:space="preserve">https://tblocks.com/articles/ai-first-vs-ai-native/</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Graphite alternatives for AI code review in 2026, accessed April 12, 2026, </w:t>
      </w:r>
      <w:hyperlink r:id="rId60">
        <w:r w:rsidDel="00000000" w:rsidR="00000000" w:rsidRPr="00000000">
          <w:rPr>
            <w:rFonts w:ascii="Google Sans" w:cs="Google Sans" w:eastAsia="Google Sans" w:hAnsi="Google Sans"/>
            <w:color w:val="0000ee"/>
            <w:sz w:val="24"/>
            <w:szCs w:val="24"/>
            <w:u w:val="single"/>
            <w:rtl w:val="0"/>
          </w:rPr>
          <w:t xml:space="preserve">https://www.aikido.dev/blog/graphite-alternatives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MCP, and Kubernetes, Part 1 | T, accessed April 12, 2026, </w:t>
      </w:r>
      <w:hyperlink r:id="rId61">
        <w:r w:rsidDel="00000000" w:rsidR="00000000" w:rsidRPr="00000000">
          <w:rPr>
            <w:rFonts w:ascii="Google Sans" w:cs="Google Sans" w:eastAsia="Google Sans" w:hAnsi="Google Sans"/>
            <w:color w:val="0000ee"/>
            <w:sz w:val="24"/>
            <w:szCs w:val="24"/>
            <w:u w:val="single"/>
            <w:rtl w:val="0"/>
          </w:rPr>
          <w:t xml:space="preserve">https://t0.mirantis.com/agents-mcp-on-k8s-pt1/</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Microsoft's SharePoint Turns 25, Rolls Out Agentic AI Building and Governance Tools, accessed April 12, 2026, </w:t>
      </w:r>
      <w:hyperlink r:id="rId62">
        <w:r w:rsidDel="00000000" w:rsidR="00000000" w:rsidRPr="00000000">
          <w:rPr>
            <w:rFonts w:ascii="Google Sans" w:cs="Google Sans" w:eastAsia="Google Sans" w:hAnsi="Google Sans"/>
            <w:color w:val="0000ee"/>
            <w:sz w:val="24"/>
            <w:szCs w:val="24"/>
            <w:u w:val="single"/>
            <w:rtl w:val="0"/>
          </w:rPr>
          <w:t xml:space="preserve">https://redmondmag.com/articles/2026/03/03/microsoft-turns-25-on-sharepoint.aspx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11.14611v1" TargetMode="External"/><Relationship Id="rId42" Type="http://schemas.openxmlformats.org/officeDocument/2006/relationships/hyperlink" Target="https://www.flowhunt.io/blog/gpt-5-codex-future-ai-powered-development/" TargetMode="External"/><Relationship Id="rId41" Type="http://schemas.openxmlformats.org/officeDocument/2006/relationships/hyperlink" Target="https://arxiv.org/html/2604.01438v1" TargetMode="External"/><Relationship Id="rId44" Type="http://schemas.openxmlformats.org/officeDocument/2006/relationships/hyperlink" Target="https://arxiv.org/html/2602.00854v1" TargetMode="External"/><Relationship Id="rId43" Type="http://schemas.openxmlformats.org/officeDocument/2006/relationships/hyperlink" Target="https://arxiv.org/html/2602.00854" TargetMode="External"/><Relationship Id="rId46" Type="http://schemas.openxmlformats.org/officeDocument/2006/relationships/hyperlink" Target="https://www.researchgate.net/publication/400369379_Position_Human-Centric_AI_Requires_a_Minimum_Viable_Level_of_Human_Understanding" TargetMode="External"/><Relationship Id="rId45" Type="http://schemas.openxmlformats.org/officeDocument/2006/relationships/hyperlink" Target="https://arxiv.org/pdf/2602.008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f.researchr.org/track/icse-2026/icse-2026-research-track" TargetMode="External"/><Relationship Id="rId48" Type="http://schemas.openxmlformats.org/officeDocument/2006/relationships/hyperlink" Target="https://arrow.tudublin.ie/cgi/viewcontent.cgi?article=1605&amp;context=schfsehart" TargetMode="External"/><Relationship Id="rId47" Type="http://schemas.openxmlformats.org/officeDocument/2006/relationships/hyperlink" Target="https://iscap.us/proceedings/2015/pdf/3457.pdf" TargetMode="External"/><Relationship Id="rId49" Type="http://schemas.openxmlformats.org/officeDocument/2006/relationships/hyperlink" Target="https://letsdatascience.com/blog/developers-thought-ai-made-them-faster-the-data-said-otherwise" TargetMode="External"/><Relationship Id="rId5" Type="http://schemas.openxmlformats.org/officeDocument/2006/relationships/styles" Target="styles.xml"/><Relationship Id="rId6" Type="http://schemas.openxmlformats.org/officeDocument/2006/relationships/hyperlink" Target="https://www.mdpi.com/2076-3417/15/19/10345" TargetMode="External"/><Relationship Id="rId7" Type="http://schemas.openxmlformats.org/officeDocument/2006/relationships/hyperlink" Target="https://dspace.mit.edu/bitstream/handle/1721.1/151880/ArmengolUrpi-armengol-phd-meche-2023-thesis.pdf?sequence=1&amp;isAllowed=y" TargetMode="External"/><Relationship Id="rId8" Type="http://schemas.openxmlformats.org/officeDocument/2006/relationships/hyperlink" Target="https://www.mdpi.com/2673-9585/6/1/1" TargetMode="External"/><Relationship Id="rId31" Type="http://schemas.openxmlformats.org/officeDocument/2006/relationships/hyperlink" Target="https://web.eecs.umich.edu/~weimerw/2024-481F/readings/daikon-tool-scp2007.pdf" TargetMode="External"/><Relationship Id="rId30" Type="http://schemas.openxmlformats.org/officeDocument/2006/relationships/hyperlink" Target="https://people.cs.vt.edu/~tilevich/papers/Client_Insourcing_WebConf2020.pdf" TargetMode="External"/><Relationship Id="rId33" Type="http://schemas.openxmlformats.org/officeDocument/2006/relationships/hyperlink" Target="https://www.researchgate.net/publication/224262408_Automatically_Generating_Test_Cases_for_Specification_Mining" TargetMode="External"/><Relationship Id="rId32" Type="http://schemas.openxmlformats.org/officeDocument/2006/relationships/hyperlink" Target="https://www.researchgate.net/publication/373401710_Towards_Specification_Completion_for_Systems_with_Emergent_Behavior_based_on_DevOps" TargetMode="External"/><Relationship Id="rId35" Type="http://schemas.openxmlformats.org/officeDocument/2006/relationships/hyperlink" Target="https://www.ripublication.com/ijcir17/ijcirv13n4_10.pdf" TargetMode="External"/><Relationship Id="rId34" Type="http://schemas.openxmlformats.org/officeDocument/2006/relationships/hyperlink" Target="https://www.researchgate.net/publication/361247007_Parallel_Rule_Discovery_from_Large_Datasets_by_Sampling" TargetMode="External"/><Relationship Id="rId37" Type="http://schemas.openxmlformats.org/officeDocument/2006/relationships/hyperlink" Target="https://www.computer.org/csdl/journal/ts/2023/08/10153647/1NZS852RiIU" TargetMode="External"/><Relationship Id="rId36" Type="http://schemas.openxmlformats.org/officeDocument/2006/relationships/hyperlink" Target="https://www.researchgate.net/publication/303753858_Efficient_Mining_of_Profit_Rules_from_Closed_Inter-Transaction_Itemsets" TargetMode="External"/><Relationship Id="rId39" Type="http://schemas.openxmlformats.org/officeDocument/2006/relationships/hyperlink" Target="https://www.researchgate.net/publication/398720072_ATLAS_Automated_Tree-based_Language_Analysis_System_for_C_and_C_source_programs" TargetMode="External"/><Relationship Id="rId38" Type="http://schemas.openxmlformats.org/officeDocument/2006/relationships/hyperlink" Target="https://arxiv.org/html/2512.12507v1" TargetMode="External"/><Relationship Id="rId62" Type="http://schemas.openxmlformats.org/officeDocument/2006/relationships/hyperlink" Target="https://redmondmag.com/articles/2026/03/03/microsoft-turns-25-on-sharepoint.aspx" TargetMode="External"/><Relationship Id="rId61" Type="http://schemas.openxmlformats.org/officeDocument/2006/relationships/hyperlink" Target="https://t0.mirantis.com/agents-mcp-on-k8s-pt1/" TargetMode="External"/><Relationship Id="rId20" Type="http://schemas.openxmlformats.org/officeDocument/2006/relationships/hyperlink" Target="https://www.researchgate.net/publication/377558476_An_Exploratory_Study_on_Automatic_Identification_of_Assumptions_in_the_Development_of_Deep_Learning_Frameworks" TargetMode="External"/><Relationship Id="rId22" Type="http://schemas.openxmlformats.org/officeDocument/2006/relationships/hyperlink" Target="https://www.researchgate.net/profile/Jaydeep-Sen" TargetMode="External"/><Relationship Id="rId21" Type="http://schemas.openxmlformats.org/officeDocument/2006/relationships/hyperlink" Target="https://www.researchgate.net/publication/389163877_Using_AI_and_NLP_for_Tacit_Knowledge_Conversion_in_Knowledge_Management_Systems_A_Comparative_Analysis" TargetMode="External"/><Relationship Id="rId24" Type="http://schemas.openxmlformats.org/officeDocument/2006/relationships/hyperlink" Target="https://spectrum.library.concordia.ca/994856/1/Liu_PhD_S2025.pdf" TargetMode="External"/><Relationship Id="rId23" Type="http://schemas.openxmlformats.org/officeDocument/2006/relationships/hyperlink" Target="https://aclanthology.org/2021.emnlp-main.342.pdf" TargetMode="External"/><Relationship Id="rId60" Type="http://schemas.openxmlformats.org/officeDocument/2006/relationships/hyperlink" Target="https://www.aikido.dev/blog/graphite-alternatives" TargetMode="External"/><Relationship Id="rId26" Type="http://schemas.openxmlformats.org/officeDocument/2006/relationships/hyperlink" Target="https://web.cs.ucla.edu/~miryung/research_kim.pdf" TargetMode="External"/><Relationship Id="rId25" Type="http://schemas.openxmlformats.org/officeDocument/2006/relationships/hyperlink" Target="https://pmc.ncbi.nlm.nih.gov/articles/PMC6474385/" TargetMode="External"/><Relationship Id="rId28" Type="http://schemas.openxmlformats.org/officeDocument/2006/relationships/hyperlink" Target="https://www.cambridge.org/core/journals/theory-and-practice-of-logic-programming/article/provenance-guided-rollback-suggestions/B95F33BD5A3D55E58F8B4A68F4437595" TargetMode="External"/><Relationship Id="rId27" Type="http://schemas.openxmlformats.org/officeDocument/2006/relationships/hyperlink" Target="https://people.cs.vt.edu/~gulzar/assets/pdf/SRC-icse18.pdf" TargetMode="External"/><Relationship Id="rId29" Type="http://schemas.openxmlformats.org/officeDocument/2006/relationships/hyperlink" Target="https://souffle-lang.github.io/pdf/provenance-tr.pdf" TargetMode="External"/><Relationship Id="rId51" Type="http://schemas.openxmlformats.org/officeDocument/2006/relationships/hyperlink" Target="https://arxiv.org/abs/2601.15195" TargetMode="External"/><Relationship Id="rId50" Type="http://schemas.openxmlformats.org/officeDocument/2006/relationships/hyperlink" Target="https://www.researchgate.net/publication/399962648_Where_Do_AI_Coding_Agents_Fail_An_Empirical_Study_of_Failed_Agentic_Pull_Requests_in_GitHub" TargetMode="External"/><Relationship Id="rId53" Type="http://schemas.openxmlformats.org/officeDocument/2006/relationships/hyperlink" Target="https://www.ncbi.nlm.nih.gov/books/NBK621605/" TargetMode="External"/><Relationship Id="rId52" Type="http://schemas.openxmlformats.org/officeDocument/2006/relationships/hyperlink" Target="https://tldr.takara.ai/p/2601.15195v1" TargetMode="External"/><Relationship Id="rId11" Type="http://schemas.openxmlformats.org/officeDocument/2006/relationships/hyperlink" Target="https://arxiv.org/pdf/2603.07091" TargetMode="External"/><Relationship Id="rId55" Type="http://schemas.openxmlformats.org/officeDocument/2006/relationships/hyperlink" Target="https://arxiv.org/html/2507.02858v1" TargetMode="External"/><Relationship Id="rId10" Type="http://schemas.openxmlformats.org/officeDocument/2006/relationships/hyperlink" Target="https://www.diva-portal.org/smash/get/diva2:1405202/FULLTEXT02.pdf" TargetMode="External"/><Relationship Id="rId54" Type="http://schemas.openxmlformats.org/officeDocument/2006/relationships/hyperlink" Target="https://www.testbytes.net/blog/requirements-elicitation/" TargetMode="External"/><Relationship Id="rId13" Type="http://schemas.openxmlformats.org/officeDocument/2006/relationships/hyperlink" Target="https://www.researchgate.net/publication/400458891_Towards_Structured_State-Aware_and_Execution-Grounded_Reasoning_for_Software_Engineering_Agents" TargetMode="External"/><Relationship Id="rId57" Type="http://schemas.openxmlformats.org/officeDocument/2006/relationships/hyperlink" Target="https://smarterarticles.co.uk/when-coding-agents-forget-the-hidden-cost-of-ai-context-degradation" TargetMode="External"/><Relationship Id="rId12" Type="http://schemas.openxmlformats.org/officeDocument/2006/relationships/hyperlink" Target="https://arxiv.org/pdf/2104.14208" TargetMode="External"/><Relationship Id="rId56" Type="http://schemas.openxmlformats.org/officeDocument/2006/relationships/hyperlink" Target="http://web.utk.edu/~jhollad3/2016-02.pdf" TargetMode="External"/><Relationship Id="rId15" Type="http://schemas.openxmlformats.org/officeDocument/2006/relationships/hyperlink" Target="https://metr.org/blog/2025-07-10-early-2025-ai-experienced-os-dev-study/" TargetMode="External"/><Relationship Id="rId59" Type="http://schemas.openxmlformats.org/officeDocument/2006/relationships/hyperlink" Target="https://tblocks.com/articles/ai-first-vs-ai-native/" TargetMode="External"/><Relationship Id="rId14" Type="http://schemas.openxmlformats.org/officeDocument/2006/relationships/hyperlink" Target="https://www.theregister.com/2025/07/11/ai_code_tools_slow_down/" TargetMode="External"/><Relationship Id="rId58" Type="http://schemas.openxmlformats.org/officeDocument/2006/relationships/hyperlink" Target="https://ardura.consulting/blog/effects-of-software-errors-legal-and-ethical-liability-in-case-of-failures-or-errors/" TargetMode="External"/><Relationship Id="rId17" Type="http://schemas.openxmlformats.org/officeDocument/2006/relationships/hyperlink" Target="https://arxiv.org/html/2604.02547v1" TargetMode="External"/><Relationship Id="rId16" Type="http://schemas.openxmlformats.org/officeDocument/2006/relationships/hyperlink" Target="https://arxiv.org/html/2601.15195v1" TargetMode="External"/><Relationship Id="rId19" Type="http://schemas.openxmlformats.org/officeDocument/2006/relationships/hyperlink" Target="https://ouci.dntb.gov.ua/en/works/986Y6Z1Y/" TargetMode="External"/><Relationship Id="rId18" Type="http://schemas.openxmlformats.org/officeDocument/2006/relationships/hyperlink" Target="https://dblp.org/pid/57/350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