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</w:pPr>
      <w:r>
        <w:rPr>
          <w:rFonts w:ascii="Arial" w:cs="Arial" w:eastAsia="Arial" w:hAnsi="Arial"/>
          <w:b/>
          <w:bCs/>
          <w:color w:val="0A1628"/>
          <w:sz w:val="52"/>
          <w:szCs w:val="52"/>
        </w:rPr>
        <w:t xml:space="preserve">Clever Investor Platform</w:t>
      </w:r>
    </w:p>
    <w:p>
      <w:pPr>
        <w:spacing w:before="0" w:after="80"/>
      </w:pPr>
      <w:r>
        <w:rPr>
          <w:rFonts w:ascii="Arial" w:cs="Arial" w:eastAsia="Arial" w:hAnsi="Arial"/>
          <w:color w:val="1877D9"/>
          <w:sz w:val="30"/>
          <w:szCs w:val="30"/>
        </w:rPr>
        <w:t xml:space="preserve">Product &amp; Org Proposal</w:t>
      </w:r>
    </w:p>
    <w:p>
      <w:pPr>
        <w:pBdr>
          <w:bottom w:val="single" w:color="1877D9" w:sz="6" w:space="1"/>
        </w:pBdr>
        <w:spacing w:before="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6B7F96"/>
                <w:sz w:val="20"/>
                <w:szCs w:val="20"/>
              </w:rPr>
              <w:t xml:space="preserve">Prepared for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Luke Babich &amp; Ben Mizes, Clever Real Estate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6B7F96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Varun Raghavan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6B7F96"/>
                <w:sz w:val="20"/>
                <w:szCs w:val="20"/>
              </w:rPr>
              <w:t xml:space="preserve">Date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6B7F96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Confidential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1877D9" w:sz="4" w:space="1"/>
        </w:pBdr>
        <w:spacing w:before="80" w:after="160"/>
      </w:pPr>
      <w:r>
        <w:rPr>
          <w:rFonts w:ascii="Arial" w:cs="Arial" w:eastAsia="Arial" w:hAnsi="Arial"/>
        </w:rPr>
        <w:t xml:space="preserve"/>
      </w:r>
    </w:p>
    <w:p>
      <w:pPr>
        <w:spacing w:before="320" w:after="100"/>
      </w:pPr>
      <w:r>
        <w:rPr>
          <w:rFonts w:ascii="Arial" w:cs="Arial" w:eastAsia="Arial" w:hAnsi="Arial"/>
          <w:b/>
          <w:bCs/>
          <w:color w:val="1877D9"/>
          <w:spacing w:val="40"/>
          <w:sz w:val="18"/>
          <w:szCs w:val="18"/>
        </w:rPr>
        <w:t xml:space="preserve">SITUATION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the seller experience actually looks like</w:t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 mystery-shopped cleveroffers.com end-to-end and spoke with two Clever-connected agents — Luke Smith (Rise Group, ~17 minutes) and Jacob Mkhitarian (~12 minutes). I also went through InvestorLift and HomeLight Simple Sale as benchmarks. Five things stood out: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Contact gate before value.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Name, email, and phone required before the seller sees anything about what happens next. Most likely the primary drop-off point.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Dead zone after submission.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The confirmation screen says "Cash offers are on the way!" — no timeline, no next step, no account to land on. The platform goes silent at exactly the moment it should show up.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The promise doesn't match the delivery.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Both agents spent roughly two minutes on investor options before spending the rest of the call pitching traditional listings. The platform promises cash buyers. Sellers get agent calls.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No investor ever surfaces.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Jacob mentioned 40,000 investors he reaches via cell phone photos and a mass blast. Luke described requiring an in-person visit before any investor sees the property. Neither is a platform — it's two people's personal contact lists.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The channel conflict is structural.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Listing agents earn more on open market sales. Both agents defaulted there independently. The investor path is treated as a fallback for distressed sellers, not a competitive product Clever owns.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5A1E" w:val="clear"/>
            <w:tcMar>
              <w:top w:type="dxa" w:w="120"/>
              <w:left w:type="dxa" w:w="0"/>
              <w:bottom w:type="dxa" w:w="120"/>
              <w:right w:type="dxa" w:w="0"/>
            </w:tcMar>
          </w:tcPr>
          <w:p/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E05A1E"/>
                <w:sz w:val="20"/>
                <w:szCs w:val="20"/>
              </w:rPr>
              <w:t xml:space="preserve">  </w:t>
            </w: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There is no Clever account to land on after submission. The seller goes from a trusted brand to an ambiguous text introducing two strangers. That gap is the whole problem.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8E5F3" w:sz="4" w:space="1"/>
        </w:pBdr>
        <w:spacing w:before="80" w:after="160"/>
      </w:pPr>
      <w:r>
        <w:rPr>
          <w:rFonts w:ascii="Arial" w:cs="Arial" w:eastAsia="Arial" w:hAnsi="Arial"/>
        </w:rPr>
        <w:t xml:space="preserve"/>
      </w:r>
    </w:p>
    <w:p>
      <w:pPr>
        <w:spacing w:before="320" w:after="100"/>
      </w:pPr>
      <w:r>
        <w:rPr>
          <w:rFonts w:ascii="Arial" w:cs="Arial" w:eastAsia="Arial" w:hAnsi="Arial"/>
          <w:b/>
          <w:bCs/>
          <w:color w:val="1877D9"/>
          <w:spacing w:val="40"/>
          <w:sz w:val="18"/>
          <w:szCs w:val="18"/>
        </w:rPr>
        <w:t xml:space="preserve">WHAT THE MARKET HAS ALREADY SOLVED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HomeLight and InvestorLift have each done half of this</w:t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HomeLight Simple Sale gives sellers an explicit investor vs. agent path choice, names the investor network upfront, and doesn't require an in-person visit before investors review the property. InvestorLift gives investors a buy-box matching engine, AI deal scoring, and in-app negotiation — but there's no consumer-facing interface and no agent layer.</w:t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Clever's moat over both is real: 4.9 stars across 3,400+ reviews, 18,000+ agents, and a validated seller funnel. The gaps are entirely on the investor side — no buy-box matching, no structured intake, no persistence after submission.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8E5F3" w:sz="4" w:space="1"/>
        </w:pBdr>
        <w:spacing w:before="80" w:after="160"/>
      </w:pPr>
      <w:r>
        <w:rPr>
          <w:rFonts w:ascii="Arial" w:cs="Arial" w:eastAsia="Arial" w:hAnsi="Arial"/>
        </w:rPr>
        <w:t xml:space="preserve"/>
      </w:r>
    </w:p>
    <w:p>
      <w:pPr>
        <w:spacing w:before="320" w:after="100"/>
      </w:pPr>
      <w:r>
        <w:rPr>
          <w:rFonts w:ascii="Arial" w:cs="Arial" w:eastAsia="Arial" w:hAnsi="Arial"/>
          <w:b/>
          <w:bCs/>
          <w:color w:val="1877D9"/>
          <w:spacing w:val="40"/>
          <w:sz w:val="18"/>
          <w:szCs w:val="18"/>
        </w:rPr>
        <w:t xml:space="preserve">THE HYPOTHESIS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Not a new product — the intelligence layer the front-end already promises</w:t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Clever already has what HomeLight and InvestorLift lack. The bet is: build InvestorLift-style matching intelligence behind Clever's existing consumer front-end, without breaking the agent relationship or manufacturing channel conflict. The agent shifts from bottleneck to advisor. Investor matching happens alongside the agent, not through them.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8E5F3" w:sz="4" w:space="1"/>
        </w:pBdr>
        <w:spacing w:before="80" w:after="160"/>
      </w:pPr>
      <w:r>
        <w:rPr>
          <w:rFonts w:ascii="Arial" w:cs="Arial" w:eastAsia="Arial" w:hAnsi="Arial"/>
        </w:rPr>
        <w:t xml:space="preserve"/>
      </w:r>
    </w:p>
    <w:p>
      <w:pPr>
        <w:spacing w:before="320" w:after="100"/>
      </w:pPr>
      <w:r>
        <w:rPr>
          <w:rFonts w:ascii="Arial" w:cs="Arial" w:eastAsia="Arial" w:hAnsi="Arial"/>
          <w:b/>
          <w:bCs/>
          <w:color w:val="1877D9"/>
          <w:spacing w:val="40"/>
          <w:sz w:val="18"/>
          <w:szCs w:val="18"/>
        </w:rPr>
        <w:t xml:space="preserve">PRODUCT PROPOSAL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Rec 1: Replace the dead zone with a scheduling moment</w:t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confirmation screen should become a seller-directed scheduling moment. After submitting, the seller picks how and when their concierge reaches out: phone or SMS, in 5 minutes, 10 minutes, 15 minutes, later today, or a specific time. It's also the first persistent Clever seller account — and the foundation everything else requires.</w:t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is also the first clean A/B experiment: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Control: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Cold outreach — unannounced call, cold text.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Test A: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Seller-scheduled time, phone only. Isolates the timing lift before adding channel complexity.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Test B: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Seller-scheduled time with channel selection (phone or SMS).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Primary metric: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Submit-to-connection rate. Secondary: answer rate, time-to-path-selection, offer review rate.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Rec 2: Give sellers a place to land and a reason to engage</w:t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scheduling screen unlocks a personalized seller dashboard: their home, a 5-step progress tracker, local market data, and a side-by-side comparison of cash offer vs. open market. Before the concierge calls, the seller has already seen what their zip code looks like and where they are in the process.</w:t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dashboard includes a preference module — priority, timeline, showing comfort, reason for selling. Every selection educates the seller and generates a structured brief the concierge inherits. The call starts informed, not cold. The most underrated field is path_card_clicks[]: a seller who clicks investor, then open market, then back to investor is telling you something. That behavioral signal doesn't exist anywhere in the current flow.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77D9" w:val="clear"/>
            <w:tcMar>
              <w:top w:type="dxa" w:w="120"/>
              <w:left w:type="dxa" w:w="0"/>
              <w:bottom w:type="dxa" w:w="120"/>
              <w:right w:type="dxa" w:w="0"/>
            </w:tcMar>
          </w:tcPr>
          <w:p/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877D9"/>
                <w:sz w:val="20"/>
                <w:szCs w:val="20"/>
              </w:rPr>
              <w:t xml:space="preserve">  </w:t>
            </w: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At Zillow, the account and saved-home layer is what makes the experience feel like a product rather than a lead form. The difference between a lead and an account is whether the platform holds context across touchpoints. Clever currently generates leads. This dashboard turns them into accounts.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The investor platform backend: three phases</w:t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Each phase is gated on signal from the prior one: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Phase 1 (Month 1–2, Loveable):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Agent collects a structured property package via Loveable form. Platform routes to a curated investor shortlist — not individual agents' personal contacts. Investor responses tracked in Airtable/Sheets. The question being tested: do structured packages generate more investor responses than ad-hoc outreach?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Phase 2 (Month 3–4, +engineers):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Buy-box matching replaces manual routing. Property intake auto-routes to investors whose criteria match. Seller dashboard surfaces: 'X investors reviewing your home.' ANVIL is the intended partner for buy-box scoring, subject to a capacity conversation in the live session.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Phase 3 (Month 5+):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Seller sees competing offers forming in real time, side-by-side with the open market estimate. In-platform negotiation replaces the current verbal relay through the agent.</w:t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Engineering is gated entirely on Phase 1 signal. Trigger: 15%+ increase in investor response rate versus agent-blast baseline, or 3 successful matches in 30 days. Until then, Loveable + dedicated PM only. This is the right posture given Luke's stated approach — test into what's working before committing resources.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8E5F3" w:sz="4" w:space="1"/>
        </w:pBdr>
        <w:spacing w:before="80" w:after="160"/>
      </w:pPr>
      <w:r>
        <w:rPr>
          <w:rFonts w:ascii="Arial" w:cs="Arial" w:eastAsia="Arial" w:hAnsi="Arial"/>
        </w:rPr>
        <w:t xml:space="preserve"/>
      </w:r>
    </w:p>
    <w:p>
      <w:pPr>
        <w:spacing w:before="320" w:after="100"/>
      </w:pPr>
      <w:r>
        <w:rPr>
          <w:rFonts w:ascii="Arial" w:cs="Arial" w:eastAsia="Arial" w:hAnsi="Arial"/>
          <w:b/>
          <w:bCs/>
          <w:color w:val="0D9488"/>
          <w:spacing w:val="40"/>
          <w:sz w:val="18"/>
          <w:szCs w:val="18"/>
        </w:rPr>
        <w:t xml:space="preserve">WHY THIS IS BIGGER THAN CLEVER OFFERS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The account layer compounds across every product line</w:t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Clever's model ends at the referral across every product line — agent matching, Clever Pro, Clever Title, Gravy. The platform hands off and disappears. The post-submit account layer is what changes that. It's not a Clever Offers feature. It's the infrastructure that makes Clever a platform.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Agent Matching: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Seller preferences — timeline, priority, path preference — make every agent match warmer. Same data schema, same infrastructure. Zero additional build.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Clever Pro: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Mortgage balance, timeline, reason for selling, financial priority — that's pre-qualification signal. The four top-20 servicers in Clever Pro are currently getting raw contacts. Enriched profiles make those leads meaningfully more valuable without touching the referral model.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Clever Title: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A seller with a dashboard and a progress tracker is the right place to surface title and escrow mid-journey — at Get Offers, not as a cold pitch at close.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Gravy / Lifecycle: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The Gravy acquisition was about owning the pre-purchase journey. This is the same thesis on the sell side — holding the relationship across the lifecycle, not just at the transaction. The account is the seed of that.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9488" w:val="clear"/>
            <w:tcMar>
              <w:top w:type="dxa" w:w="120"/>
              <w:left w:type="dxa" w:w="0"/>
              <w:bottom w:type="dxa" w:w="120"/>
              <w:right w:type="dxa" w:w="0"/>
            </w:tcMar>
          </w:tcPr>
          <w:p/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D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  </w:t>
            </w: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post-submission experience isn't a Clever Offers feature. It's the account layer that makes Clever a platform — and every product line benefits from it.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8E5F3" w:sz="4" w:space="1"/>
        </w:pBdr>
        <w:spacing w:before="80" w:after="160"/>
      </w:pPr>
      <w:r>
        <w:rPr>
          <w:rFonts w:ascii="Arial" w:cs="Arial" w:eastAsia="Arial" w:hAnsi="Arial"/>
        </w:rPr>
        <w:t xml:space="preserve"/>
      </w:r>
    </w:p>
    <w:p>
      <w:pPr>
        <w:spacing w:before="320" w:after="100"/>
      </w:pPr>
      <w:r>
        <w:rPr>
          <w:rFonts w:ascii="Arial" w:cs="Arial" w:eastAsia="Arial" w:hAnsi="Arial"/>
          <w:b/>
          <w:bCs/>
          <w:color w:val="1877D9"/>
          <w:spacing w:val="40"/>
          <w:sz w:val="18"/>
          <w:szCs w:val="18"/>
        </w:rPr>
        <w:t xml:space="preserve">RESOURCE ALLOCATION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to protect, what stays conditional, what to build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6360"/>
      </w:tblGrid>
      <w:tr>
        <w:tc>
          <w:tcPr>
            <w:tcW w:type="dxa" w:w="14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shd w:fill="0A162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Team</w:t>
            </w:r>
          </w:p>
        </w:tc>
        <w:tc>
          <w:tcPr>
            <w:tcW w:type="dxa" w:w="16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shd w:fill="0A162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636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shd w:fill="0A162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14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AMP</w:t>
            </w:r>
          </w:p>
        </w:tc>
        <w:tc>
          <w:tcPr>
            <w:tcW w:type="dxa" w:w="16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18"/>
                <w:szCs w:val="18"/>
              </w:rPr>
              <w:t xml:space="preserve">PROTECT</w:t>
            </w:r>
          </w:p>
        </w:tc>
        <w:tc>
          <w:tcPr>
            <w:tcW w:type="dxa" w:w="636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P1, fully staffed. Zero pull. This is the engine. Do not touch.</w:t>
            </w:r>
          </w:p>
        </w:tc>
      </w:tr>
      <w:tr>
        <w:tc>
          <w:tcPr>
            <w:tcW w:type="dxa" w:w="14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ATLAS</w:t>
            </w:r>
          </w:p>
        </w:tc>
        <w:tc>
          <w:tcPr>
            <w:tcW w:type="dxa" w:w="16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18"/>
                <w:szCs w:val="18"/>
              </w:rPr>
              <w:t xml:space="preserve">PROTECT</w:t>
            </w:r>
          </w:p>
        </w:tc>
        <w:tc>
          <w:tcPr>
            <w:tcW w:type="dxa" w:w="636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Too stretched + enterprise fire drill risk (Navy Federal, U.S. Bank). Unavailable for net-new work.</w:t>
            </w:r>
          </w:p>
        </w:tc>
      </w:tr>
      <w:tr>
        <w:tc>
          <w:tcPr>
            <w:tcW w:type="dxa" w:w="14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Agent HQ</w:t>
            </w:r>
          </w:p>
        </w:tc>
        <w:tc>
          <w:tcPr>
            <w:tcW w:type="dxa" w:w="16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9E0B"/>
                <w:sz w:val="18"/>
                <w:szCs w:val="18"/>
              </w:rPr>
              <w:t xml:space="preserve">PROTECT</w:t>
            </w:r>
          </w:p>
        </w:tc>
        <w:tc>
          <w:tcPr>
            <w:tcW w:type="dxa" w:w="636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Understaffed due to attrition. Fix the backfill first. Adding scope here would be a mistake.</w:t>
            </w:r>
          </w:p>
        </w:tc>
      </w:tr>
      <w:tr>
        <w:tc>
          <w:tcPr>
            <w:tcW w:type="dxa" w:w="14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ANVIL</w:t>
            </w:r>
          </w:p>
        </w:tc>
        <w:tc>
          <w:tcPr>
            <w:tcW w:type="dxa" w:w="16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PHASE 2 CONDITIONAL</w:t>
            </w:r>
          </w:p>
        </w:tc>
        <w:tc>
          <w:tcPr>
            <w:tcW w:type="dxa" w:w="636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Named as intended Phase 2 partner for buy-box scoring — adjacent to existing match model work. Not committed until capacity confirmed in live session. If unavailable, buy-box logic becomes an early engineering hire deliverable for the new pod.</w:t>
            </w:r>
          </w:p>
        </w:tc>
      </w:tr>
      <w:tr>
        <w:tc>
          <w:tcPr>
            <w:tcW w:type="dxa" w:w="14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Growth</w:t>
            </w:r>
          </w:p>
        </w:tc>
        <w:tc>
          <w:tcPr>
            <w:tcW w:type="dxa" w:w="16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877D9"/>
                <w:sz w:val="18"/>
                <w:szCs w:val="18"/>
              </w:rPr>
              <w:t xml:space="preserve">1 SPRINT</w:t>
            </w:r>
          </w:p>
        </w:tc>
        <w:tc>
          <w:tcPr>
            <w:tcW w:type="dxa" w:w="636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Funnel instrumentation for the A/B experiment only. One shared sprint with Ben's team.</w:t>
            </w:r>
          </w:p>
        </w:tc>
      </w:tr>
      <w:tr>
        <w:tc>
          <w:tcPr>
            <w:tcW w:type="dxa" w:w="14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NEW POD</w:t>
            </w:r>
          </w:p>
        </w:tc>
        <w:tc>
          <w:tcPr>
            <w:tcW w:type="dxa" w:w="160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877D9"/>
                <w:sz w:val="18"/>
                <w:szCs w:val="18"/>
              </w:rPr>
              <w:t xml:space="preserve">BUILD</w:t>
            </w:r>
          </w:p>
        </w:tc>
        <w:tc>
          <w:tcPr>
            <w:tcW w:type="dxa" w:w="6360"/>
            <w:tcBorders>
              <w:top w:val="single" w:color="D8E5F3" w:sz="1"/>
              <w:left w:val="single" w:color="D8E5F3" w:sz="1"/>
              <w:bottom w:val="single" w:color="D8E5F3" w:sz="1"/>
              <w:right w:val="single" w:color="D8E5F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Mandate: Offers investor matching + post-submit account layer (cross-product). 1 PM, Month 1. Engineers gated on Phase 1 signal: 15%+ investor response lift OR 3 investor matches in 30 days. Reporting structure: open question for live session.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5A1E" w:val="clear"/>
            <w:tcMar>
              <w:top w:type="dxa" w:w="120"/>
              <w:left w:type="dxa" w:w="0"/>
              <w:bottom w:type="dxa" w:w="120"/>
              <w:right w:type="dxa" w:w="0"/>
            </w:tcMar>
          </w:tcPr>
          <w:p/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E05A1E"/>
                <w:sz w:val="20"/>
                <w:szCs w:val="20"/>
              </w:rPr>
              <w:t xml:space="preserve">  </w:t>
            </w: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Phase 1 requires zero pull from any existing pod — Loveable + dedicated PM only. ANVIL capacity and the new pod's reporting structure are both open questions for the live session.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8E5F3" w:sz="4" w:space="1"/>
        </w:pBdr>
        <w:spacing w:before="80" w:after="160"/>
      </w:pPr>
      <w:r>
        <w:rPr>
          <w:rFonts w:ascii="Arial" w:cs="Arial" w:eastAsia="Arial" w:hAnsi="Arial"/>
        </w:rPr>
        <w:t xml:space="preserve"/>
      </w:r>
    </w:p>
    <w:p>
      <w:pPr>
        <w:spacing w:before="320" w:after="100"/>
      </w:pPr>
      <w:r>
        <w:rPr>
          <w:rFonts w:ascii="Arial" w:cs="Arial" w:eastAsia="Arial" w:hAnsi="Arial"/>
          <w:b/>
          <w:bCs/>
          <w:color w:val="1877D9"/>
          <w:spacing w:val="40"/>
          <w:sz w:val="18"/>
          <w:szCs w:val="18"/>
        </w:rPr>
        <w:t xml:space="preserve">RECOMMENDATION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Four bets, in order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1. Ship the scheduling screen now.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Loveable-executable, no tech allocation required. Fixes the highest-friction point in the current flow and creates the first seller account — the foundation for everything else.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2. Build the seller dashboard in parallel.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The preference module generates the data schema. The LLM turns it into agent briefs. The A/B experiment runs itself. Warm handoffs become systematic, not dependent on individual agent quality.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3. Start Phase 1 investor intake with Loveable.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Replace the agent personal-list blast with a structured package and a platform-owned routing layer. No new tech team needed for Month 1. Signal in 6–8 weeks.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4. Gate Phase 2 on Phase 1 signal.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Only pull ANVIL and fund engineering when Phase 1 shows measurable lift. Don't build the matching engine on a hypothesis.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1877D9" w:sz="4" w:space="1"/>
        </w:pBdr>
        <w:spacing w:before="80" w:after="160"/>
      </w:pPr>
      <w:r>
        <w:rPr>
          <w:rFonts w:ascii="Arial" w:cs="Arial" w:eastAsia="Arial" w:hAnsi="Arial"/>
        </w:rPr>
        <w:t xml:space="preserve"/>
      </w:r>
    </w:p>
    <w:p>
      <w:pPr>
        <w:spacing w:before="320" w:after="100"/>
      </w:pPr>
      <w:r>
        <w:rPr>
          <w:rFonts w:ascii="Arial" w:cs="Arial" w:eastAsia="Arial" w:hAnsi="Arial"/>
          <w:b/>
          <w:bCs/>
          <w:color w:val="6B7F96"/>
          <w:spacing w:val="40"/>
          <w:sz w:val="18"/>
          <w:szCs w:val="18"/>
        </w:rPr>
        <w:t xml:space="preserve">ASSUMPTIONS &amp; OPEN QUESTIONS</w:t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 few things I'd want to pressure-test in the live session: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No formal user research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— this is grounded in empirical testing, not external validation.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4–12 week hiring timelines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— assumed realistic, not optimistic.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ATLAS fire drills are unpredictable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— treated as unavailable throughout.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Hiring costs assumed flat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by role type (~$160K PM, ~$180K Eng, fully loaded).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1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And what I'd want to dig into with you: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Who owns the investor-matching POC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and what's actually been built?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Is ANVIL available for Phase 2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or does buy-box logic need to be an early engineering hire?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New pod reporting: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to Ben, to the CPO, or somewhere else given how Clever is structured?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What's been tried and abandoned on Offers?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That signal matters as much as what worked.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/>
          <w:bCs/>
          <w:color w:val="1877D9"/>
          <w:sz w:val="22"/>
          <w:szCs w:val="22"/>
        </w:rPr>
        <w:t xml:space="preserve">How often do ATLAS fire drills pull teams off roadmap?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If it's frequent, Phase 2 sequencing changes.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1877D9" w:sz="4" w:space="1"/>
        </w:pBdr>
        <w:spacing w:before="80" w:after="160"/>
      </w:pPr>
      <w:r>
        <w:rPr>
          <w:rFonts w:ascii="Arial" w:cs="Arial" w:eastAsia="Arial" w:hAnsi="Arial"/>
        </w:rPr>
        <w:t xml:space="preserve"/>
      </w:r>
    </w:p>
    <w:p>
      <w:pPr>
        <w:spacing w:before="160" w:after="0"/>
        <w:jc w:val="center"/>
      </w:pPr>
      <w:r>
        <w:rPr>
          <w:rFonts w:ascii="Arial" w:cs="Arial" w:eastAsia="Arial" w:hAnsi="Arial"/>
          <w:color w:val="6B7F96"/>
          <w:sz w:val="18"/>
          <w:szCs w:val="18"/>
        </w:rPr>
        <w:t xml:space="preserve">Varun Raghavan   ·   March 2026   ·   Confidential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E5F3" w:sz="3" w:space="1"/>
      </w:pBdr>
      <w:tabs>
        <w:tab w:val="right" w:pos="9360"/>
      </w:tabs>
      <w:spacing w:before="160" w:after="0"/>
    </w:pPr>
    <w:r>
      <w:rPr>
        <w:rFonts w:ascii="Arial" w:cs="Arial" w:eastAsia="Arial" w:hAnsi="Arial"/>
        <w:color w:val="6B7F96"/>
        <w:sz w:val="18"/>
        <w:szCs w:val="18"/>
      </w:rPr>
      <w:t xml:space="preserve">Varun Raghavan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B7F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5F3" w:sz="3" w:space="1"/>
      </w:pBdr>
      <w:tabs>
        <w:tab w:val="right" w:pos="9360"/>
      </w:tabs>
      <w:spacing w:before="0" w:after="160"/>
    </w:pPr>
    <w:r>
      <w:rPr>
        <w:rFonts w:ascii="Arial" w:cs="Arial" w:eastAsia="Arial" w:hAnsi="Arial"/>
        <w:color w:val="6B7F96"/>
        <w:sz w:val="18"/>
        <w:szCs w:val="18"/>
      </w:rPr>
      <w:t xml:space="preserve">Clever Investor Platform — Product &amp; Org Proposal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B7F96"/>
        <w:sz w:val="18"/>
        <w:szCs w:val="18"/>
      </w:rPr>
      <w:t xml:space="preserve">Confidential · March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00" w:hanging="300"/>
      </w:pPr>
      <w:rPr>
        <w:rFonts w:ascii="Arial" w:cs="Arial" w:eastAsia="Arial" w:hAnsi="Arial"/>
        <w:color w:val="1877D9"/>
        <w:sz w:val="22"/>
        <w:szCs w:val="2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00" w:hanging="300"/>
      </w:pPr>
      <w:rPr>
        <w:rFonts w:ascii="Arial" w:cs="Arial" w:eastAsia="Arial" w:hAnsi="Arial"/>
        <w:color w:val="0D9488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200"/>
      <w:outlineLvl w:val="0"/>
    </w:pPr>
    <w:rPr>
      <w:rFonts w:ascii="Arial" w:cs="Arial" w:eastAsia="Arial" w:hAnsi="Arial"/>
      <w:b/>
      <w:bCs/>
      <w:color w:val="0A1628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2026-03-23T04:26:00.927Z</dcterms:created>
  <dcterms:modified xsi:type="dcterms:W3CDTF">2026-03-23T04:26:00.928Z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