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901BC" w14:textId="77777777" w:rsidR="00C21A93" w:rsidRPr="00FC742E" w:rsidRDefault="00000000">
      <w:pPr>
        <w:spacing w:after="40"/>
        <w:jc w:val="center"/>
      </w:pPr>
      <w:r w:rsidRPr="00FC742E">
        <w:rPr>
          <w:rFonts w:ascii="Calibri" w:eastAsia="Calibri" w:hAnsi="Calibri" w:cs="Calibri"/>
          <w:b/>
          <w:bCs/>
          <w:sz w:val="32"/>
          <w:szCs w:val="32"/>
        </w:rPr>
        <w:t>Cost-Benefit Memo: Model Selection for ESI Triage Prediction</w:t>
      </w:r>
    </w:p>
    <w:p w14:paraId="123C7889" w14:textId="77777777" w:rsidR="00FC742E" w:rsidRDefault="00FC742E">
      <w:pPr>
        <w:pStyle w:val="Heading1"/>
        <w:spacing w:before="280" w:after="140"/>
        <w:rPr>
          <w:rFonts w:ascii="Calibri" w:eastAsia="Calibri" w:hAnsi="Calibri" w:cs="Calibri"/>
          <w:b/>
          <w:bCs/>
          <w:color w:val="auto"/>
          <w:sz w:val="28"/>
          <w:szCs w:val="28"/>
        </w:rPr>
      </w:pPr>
    </w:p>
    <w:p w14:paraId="2718B230" w14:textId="5A4E8B22" w:rsidR="00C21A93" w:rsidRPr="00FC742E" w:rsidRDefault="00000000">
      <w:pPr>
        <w:pStyle w:val="Heading1"/>
        <w:spacing w:before="280" w:after="140"/>
        <w:rPr>
          <w:color w:val="auto"/>
          <w:sz w:val="28"/>
          <w:szCs w:val="28"/>
        </w:rPr>
      </w:pPr>
      <w:r w:rsidRPr="00FC742E">
        <w:rPr>
          <w:rFonts w:ascii="Calibri" w:eastAsia="Calibri" w:hAnsi="Calibri" w:cs="Calibri"/>
          <w:b/>
          <w:bCs/>
          <w:color w:val="auto"/>
          <w:sz w:val="28"/>
          <w:szCs w:val="28"/>
        </w:rPr>
        <w:t>1. Verdict</w:t>
      </w:r>
    </w:p>
    <w:p w14:paraId="7978A64A" w14:textId="4B9A7004" w:rsidR="00C21A93" w:rsidRPr="00317B18" w:rsidRDefault="00FC742E">
      <w:pPr>
        <w:spacing w:after="160" w:line="300" w:lineRule="auto"/>
        <w:rPr>
          <w:sz w:val="24"/>
          <w:szCs w:val="24"/>
        </w:rPr>
      </w:pPr>
      <w:r w:rsidRPr="00317B18">
        <w:rPr>
          <w:rFonts w:ascii="Calibri" w:eastAsia="Calibri" w:hAnsi="Calibri" w:cs="Calibri"/>
          <w:sz w:val="24"/>
          <w:szCs w:val="24"/>
        </w:rPr>
        <w:t>I</w:t>
      </w:r>
      <w:r w:rsidR="00000000" w:rsidRPr="00317B18">
        <w:rPr>
          <w:rFonts w:ascii="Calibri" w:eastAsia="Calibri" w:hAnsi="Calibri" w:cs="Calibri"/>
          <w:sz w:val="24"/>
          <w:szCs w:val="24"/>
        </w:rPr>
        <w:t xml:space="preserve"> recommend adopting the Gradient Boosting model for the next phase of ESI triage prediction. It matches the best available recall for the most critical patients (ESI 1) while training over thirty times faster than the alternative with equivalent clinical performance, at the acknowledged cost of being harder to explain without additional tooling.</w:t>
      </w:r>
    </w:p>
    <w:p w14:paraId="24905055" w14:textId="77777777" w:rsidR="00C21A93" w:rsidRPr="00FC742E" w:rsidRDefault="00000000">
      <w:pPr>
        <w:pStyle w:val="Heading1"/>
        <w:spacing w:before="280" w:after="140"/>
        <w:rPr>
          <w:color w:val="auto"/>
        </w:rPr>
      </w:pPr>
      <w:r w:rsidRPr="00FC742E">
        <w:rPr>
          <w:rFonts w:ascii="Calibri" w:eastAsia="Calibri" w:hAnsi="Calibri" w:cs="Calibri"/>
          <w:b/>
          <w:bCs/>
          <w:color w:val="auto"/>
        </w:rPr>
        <w:t>2. A Note on Terms Used in This Memo</w:t>
      </w:r>
    </w:p>
    <w:p w14:paraId="4F6692A3" w14:textId="44636D6E" w:rsidR="00C21A93" w:rsidRPr="00317B18" w:rsidRDefault="00000000">
      <w:pPr>
        <w:spacing w:after="160" w:line="300" w:lineRule="auto"/>
        <w:rPr>
          <w:sz w:val="24"/>
          <w:szCs w:val="24"/>
        </w:rPr>
      </w:pPr>
      <w:r w:rsidRPr="00317B18">
        <w:rPr>
          <w:rFonts w:ascii="Calibri" w:eastAsia="Calibri" w:hAnsi="Calibri" w:cs="Calibri"/>
          <w:sz w:val="24"/>
          <w:szCs w:val="24"/>
        </w:rPr>
        <w:t xml:space="preserve">ESI (Emergency Severity Index) is the five-level scale used to rank how urgently a patient needs to be seen, where ESI 1 is the most critical. Recall for ESI 1 is the proportion of truly critical patients the model correctly flags as critical; a low recall means the model is under-triaging sick patients. Macro-F1 is a single overall accuracy-style score averaged evenly across all five ESI levels, so it does not by itself reveal how the model performs on any one level. Training time is a one-off cost paid when the model is built or retrained; inference time is paid </w:t>
      </w:r>
      <w:r w:rsidR="00FC742E" w:rsidRPr="00317B18">
        <w:rPr>
          <w:rFonts w:ascii="Calibri" w:eastAsia="Calibri" w:hAnsi="Calibri" w:cs="Calibri"/>
          <w:sz w:val="24"/>
          <w:szCs w:val="24"/>
        </w:rPr>
        <w:t>for</w:t>
      </w:r>
      <w:r w:rsidRPr="00317B18">
        <w:rPr>
          <w:rFonts w:ascii="Calibri" w:eastAsia="Calibri" w:hAnsi="Calibri" w:cs="Calibri"/>
          <w:sz w:val="24"/>
          <w:szCs w:val="24"/>
        </w:rPr>
        <w:t xml:space="preserve"> every single prediction, for every patient, indefinitely.</w:t>
      </w:r>
    </w:p>
    <w:p w14:paraId="2D14552D" w14:textId="77777777" w:rsidR="00C21A93" w:rsidRPr="00FC742E" w:rsidRDefault="00000000">
      <w:pPr>
        <w:pStyle w:val="Heading1"/>
        <w:spacing w:before="280" w:after="140"/>
        <w:rPr>
          <w:color w:val="auto"/>
        </w:rPr>
      </w:pPr>
      <w:r w:rsidRPr="00FC742E">
        <w:rPr>
          <w:rFonts w:ascii="Calibri" w:eastAsia="Calibri" w:hAnsi="Calibri" w:cs="Calibri"/>
          <w:b/>
          <w:bCs/>
          <w:color w:val="auto"/>
        </w:rPr>
        <w:t>3. Recap: Dataset and Method</w:t>
      </w:r>
    </w:p>
    <w:p w14:paraId="001470A6" w14:textId="37EA7991" w:rsidR="00C21A93" w:rsidRPr="00317B18" w:rsidRDefault="00000000">
      <w:pPr>
        <w:spacing w:after="160" w:line="300" w:lineRule="auto"/>
        <w:rPr>
          <w:sz w:val="24"/>
          <w:szCs w:val="24"/>
        </w:rPr>
      </w:pPr>
      <w:r w:rsidRPr="00317B18">
        <w:rPr>
          <w:rFonts w:ascii="Calibri" w:eastAsia="Calibri" w:hAnsi="Calibri" w:cs="Calibri"/>
          <w:sz w:val="24"/>
          <w:szCs w:val="24"/>
        </w:rPr>
        <w:t>This analysis uses 55,121 emergency department encounter</w:t>
      </w:r>
      <w:r w:rsidR="00DB6083" w:rsidRPr="00317B18">
        <w:rPr>
          <w:rFonts w:ascii="Calibri" w:eastAsia="Calibri" w:hAnsi="Calibri" w:cs="Calibri"/>
          <w:sz w:val="24"/>
          <w:szCs w:val="24"/>
        </w:rPr>
        <w:t>s and</w:t>
      </w:r>
      <w:r w:rsidRPr="00317B18">
        <w:rPr>
          <w:rFonts w:ascii="Calibri" w:eastAsia="Calibri" w:hAnsi="Calibri" w:cs="Calibri"/>
          <w:sz w:val="24"/>
          <w:szCs w:val="24"/>
        </w:rPr>
        <w:t xml:space="preserve"> 225 raw features. The Week 6 baseline used logistic regression on a cleaned feature set with a fixed train/test split (random state 42), which is reused unchanged throughout this comparison so that every result below is directly comparable.</w:t>
      </w:r>
    </w:p>
    <w:p w14:paraId="2B3246DB" w14:textId="0818752C" w:rsidR="00C21A93" w:rsidRPr="00317B18" w:rsidRDefault="00000000">
      <w:pPr>
        <w:spacing w:after="160" w:line="300" w:lineRule="auto"/>
        <w:rPr>
          <w:sz w:val="24"/>
          <w:szCs w:val="24"/>
        </w:rPr>
      </w:pPr>
      <w:r w:rsidRPr="00317B18">
        <w:rPr>
          <w:rFonts w:ascii="Calibri" w:eastAsia="Calibri" w:hAnsi="Calibri" w:cs="Calibri"/>
          <w:sz w:val="24"/>
          <w:szCs w:val="24"/>
        </w:rPr>
        <w:t xml:space="preserve">Beyond the raw vital signs, a small set of clinical red-flag features was engineered for this comparison: whether a patient was tachypnoeic, hypoxic, febrile, or bradycardic, plus a combined red-flag count. These are intended to capture early warning signs that a single vital sign in isolation might </w:t>
      </w:r>
      <w:r w:rsidR="00FC742E" w:rsidRPr="00317B18">
        <w:rPr>
          <w:rFonts w:ascii="Calibri" w:eastAsia="Calibri" w:hAnsi="Calibri" w:cs="Calibri"/>
          <w:sz w:val="24"/>
          <w:szCs w:val="24"/>
        </w:rPr>
        <w:t>be missed</w:t>
      </w:r>
      <w:r w:rsidRPr="00317B18">
        <w:rPr>
          <w:rFonts w:ascii="Calibri" w:eastAsia="Calibri" w:hAnsi="Calibri" w:cs="Calibri"/>
          <w:sz w:val="24"/>
          <w:szCs w:val="24"/>
        </w:rPr>
        <w:t>. Demographic fields such as ethnicity and race were tested separately purely to measure their effect on model performance; per the project's standing ethics position, they are excluded from any model put forward for deployment unless governance explicitly approves their inclusion, regardless of any accuracy gain they produce.</w:t>
      </w:r>
    </w:p>
    <w:p w14:paraId="42D4FC07" w14:textId="44B4ED7B" w:rsidR="00C21A93" w:rsidRPr="00317B18" w:rsidRDefault="00000000">
      <w:pPr>
        <w:spacing w:after="160" w:line="300" w:lineRule="auto"/>
        <w:rPr>
          <w:sz w:val="24"/>
          <w:szCs w:val="24"/>
        </w:rPr>
      </w:pPr>
      <w:r w:rsidRPr="00317B18">
        <w:rPr>
          <w:rFonts w:ascii="Calibri" w:eastAsia="Calibri" w:hAnsi="Calibri" w:cs="Calibri"/>
          <w:sz w:val="24"/>
          <w:szCs w:val="24"/>
        </w:rPr>
        <w:t xml:space="preserve">Five candidate models were benchmarked this week: the Week 6 logistic regression baseline, an untuned Random Forest, a Random Forest tuned via three-fold cross-validated random search, a Gradient Boosting classifier, and a small multi-layer </w:t>
      </w:r>
      <w:r w:rsidR="00FC742E" w:rsidRPr="00317B18">
        <w:rPr>
          <w:rFonts w:ascii="Calibri" w:eastAsia="Calibri" w:hAnsi="Calibri" w:cs="Calibri"/>
          <w:sz w:val="24"/>
          <w:szCs w:val="24"/>
        </w:rPr>
        <w:t>perception</w:t>
      </w:r>
      <w:r w:rsidRPr="00317B18">
        <w:rPr>
          <w:rFonts w:ascii="Calibri" w:eastAsia="Calibri" w:hAnsi="Calibri" w:cs="Calibri"/>
          <w:sz w:val="24"/>
          <w:szCs w:val="24"/>
        </w:rPr>
        <w:t>. Each was scored on the same held-out test set across six quantitative axes plus a qualitative interpretability rating</w:t>
      </w:r>
      <w:r w:rsidR="00317B18">
        <w:rPr>
          <w:rFonts w:ascii="Calibri" w:eastAsia="Calibri" w:hAnsi="Calibri" w:cs="Calibri"/>
          <w:sz w:val="24"/>
          <w:szCs w:val="24"/>
        </w:rPr>
        <w:t>.</w:t>
      </w:r>
    </w:p>
    <w:p w14:paraId="6FBB4FE7" w14:textId="77777777" w:rsidR="00317B18" w:rsidRDefault="00317B18">
      <w:pPr>
        <w:pStyle w:val="Heading1"/>
        <w:spacing w:before="280" w:after="140"/>
        <w:rPr>
          <w:rFonts w:ascii="Calibri" w:eastAsia="Calibri" w:hAnsi="Calibri" w:cs="Calibri"/>
          <w:b/>
          <w:bCs/>
          <w:color w:val="auto"/>
        </w:rPr>
      </w:pPr>
    </w:p>
    <w:p w14:paraId="7FD5700E" w14:textId="6C075100" w:rsidR="00C21A93" w:rsidRPr="00DB6083" w:rsidRDefault="00000000">
      <w:pPr>
        <w:pStyle w:val="Heading1"/>
        <w:spacing w:before="280" w:after="140"/>
        <w:rPr>
          <w:color w:val="auto"/>
        </w:rPr>
      </w:pPr>
      <w:r w:rsidRPr="00DB6083">
        <w:rPr>
          <w:rFonts w:ascii="Calibri" w:eastAsia="Calibri" w:hAnsi="Calibri" w:cs="Calibri"/>
          <w:b/>
          <w:bCs/>
          <w:color w:val="auto"/>
        </w:rPr>
        <w:lastRenderedPageBreak/>
        <w:t>4. Benchmark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300"/>
        <w:gridCol w:w="1300"/>
        <w:gridCol w:w="1200"/>
        <w:gridCol w:w="1200"/>
        <w:gridCol w:w="1500"/>
        <w:gridCol w:w="1100"/>
      </w:tblGrid>
      <w:tr w:rsidR="00C21A93" w:rsidRPr="00317B18" w14:paraId="15B1507B" w14:textId="77777777" w:rsidTr="00DB6083">
        <w:tblPrEx>
          <w:tblCellMar>
            <w:top w:w="0" w:type="dxa"/>
            <w:bottom w:w="0" w:type="dxa"/>
          </w:tblCellMar>
        </w:tblPrEx>
        <w:trPr>
          <w:tblHeader/>
        </w:trPr>
        <w:tc>
          <w:tcPr>
            <w:tcW w:w="1900" w:type="dxa"/>
          </w:tcPr>
          <w:p w14:paraId="3A38CF48" w14:textId="77777777" w:rsidR="00C21A93" w:rsidRPr="00317B18" w:rsidRDefault="00000000">
            <w:pPr>
              <w:rPr>
                <w:sz w:val="24"/>
                <w:szCs w:val="24"/>
              </w:rPr>
            </w:pPr>
            <w:r w:rsidRPr="00317B18">
              <w:rPr>
                <w:rFonts w:ascii="Calibri" w:eastAsia="Calibri" w:hAnsi="Calibri" w:cs="Calibri"/>
                <w:b/>
                <w:bCs/>
                <w:sz w:val="24"/>
                <w:szCs w:val="24"/>
              </w:rPr>
              <w:t>Model</w:t>
            </w:r>
          </w:p>
        </w:tc>
        <w:tc>
          <w:tcPr>
            <w:tcW w:w="1300" w:type="dxa"/>
          </w:tcPr>
          <w:p w14:paraId="3074E349" w14:textId="77777777" w:rsidR="00C21A93" w:rsidRPr="00317B18" w:rsidRDefault="00000000">
            <w:pPr>
              <w:rPr>
                <w:sz w:val="24"/>
                <w:szCs w:val="24"/>
              </w:rPr>
            </w:pPr>
            <w:r w:rsidRPr="00317B18">
              <w:rPr>
                <w:rFonts w:ascii="Calibri" w:eastAsia="Calibri" w:hAnsi="Calibri" w:cs="Calibri"/>
                <w:b/>
                <w:bCs/>
                <w:sz w:val="24"/>
                <w:szCs w:val="24"/>
              </w:rPr>
              <w:t>Accuracy</w:t>
            </w:r>
          </w:p>
        </w:tc>
        <w:tc>
          <w:tcPr>
            <w:tcW w:w="1300" w:type="dxa"/>
          </w:tcPr>
          <w:p w14:paraId="0F40311A" w14:textId="77777777" w:rsidR="00C21A93" w:rsidRPr="00317B18" w:rsidRDefault="00000000">
            <w:pPr>
              <w:rPr>
                <w:sz w:val="24"/>
                <w:szCs w:val="24"/>
              </w:rPr>
            </w:pPr>
            <w:r w:rsidRPr="00317B18">
              <w:rPr>
                <w:rFonts w:ascii="Calibri" w:eastAsia="Calibri" w:hAnsi="Calibri" w:cs="Calibri"/>
                <w:b/>
                <w:bCs/>
                <w:sz w:val="24"/>
                <w:szCs w:val="24"/>
              </w:rPr>
              <w:t>Recall ESI 1</w:t>
            </w:r>
          </w:p>
        </w:tc>
        <w:tc>
          <w:tcPr>
            <w:tcW w:w="1200" w:type="dxa"/>
          </w:tcPr>
          <w:p w14:paraId="2CA87429" w14:textId="77777777" w:rsidR="00C21A93" w:rsidRPr="00317B18" w:rsidRDefault="00000000">
            <w:pPr>
              <w:rPr>
                <w:sz w:val="24"/>
                <w:szCs w:val="24"/>
              </w:rPr>
            </w:pPr>
            <w:r w:rsidRPr="00317B18">
              <w:rPr>
                <w:rFonts w:ascii="Calibri" w:eastAsia="Calibri" w:hAnsi="Calibri" w:cs="Calibri"/>
                <w:b/>
                <w:bCs/>
                <w:sz w:val="24"/>
                <w:szCs w:val="24"/>
              </w:rPr>
              <w:t>Macro F1</w:t>
            </w:r>
          </w:p>
        </w:tc>
        <w:tc>
          <w:tcPr>
            <w:tcW w:w="1200" w:type="dxa"/>
          </w:tcPr>
          <w:p w14:paraId="557D07D5" w14:textId="77777777" w:rsidR="00C21A93" w:rsidRPr="00317B18" w:rsidRDefault="00000000">
            <w:pPr>
              <w:rPr>
                <w:sz w:val="24"/>
                <w:szCs w:val="24"/>
              </w:rPr>
            </w:pPr>
            <w:r w:rsidRPr="00317B18">
              <w:rPr>
                <w:rFonts w:ascii="Calibri" w:eastAsia="Calibri" w:hAnsi="Calibri" w:cs="Calibri"/>
                <w:b/>
                <w:bCs/>
                <w:sz w:val="24"/>
                <w:szCs w:val="24"/>
              </w:rPr>
              <w:t>Train (s)</w:t>
            </w:r>
          </w:p>
        </w:tc>
        <w:tc>
          <w:tcPr>
            <w:tcW w:w="1500" w:type="dxa"/>
          </w:tcPr>
          <w:p w14:paraId="38A26666" w14:textId="77777777" w:rsidR="00C21A93" w:rsidRPr="00317B18" w:rsidRDefault="00000000">
            <w:pPr>
              <w:rPr>
                <w:sz w:val="24"/>
                <w:szCs w:val="24"/>
              </w:rPr>
            </w:pPr>
            <w:r w:rsidRPr="00317B18">
              <w:rPr>
                <w:rFonts w:ascii="Calibri" w:eastAsia="Calibri" w:hAnsi="Calibri" w:cs="Calibri"/>
                <w:b/>
                <w:bCs/>
                <w:sz w:val="24"/>
                <w:szCs w:val="24"/>
              </w:rPr>
              <w:t>Infer (ms/pred)</w:t>
            </w:r>
          </w:p>
        </w:tc>
        <w:tc>
          <w:tcPr>
            <w:tcW w:w="1100" w:type="dxa"/>
          </w:tcPr>
          <w:p w14:paraId="493F1FBC" w14:textId="77777777" w:rsidR="00C21A93" w:rsidRPr="00317B18" w:rsidRDefault="00000000">
            <w:pPr>
              <w:rPr>
                <w:sz w:val="24"/>
                <w:szCs w:val="24"/>
              </w:rPr>
            </w:pPr>
            <w:r w:rsidRPr="00317B18">
              <w:rPr>
                <w:rFonts w:ascii="Calibri" w:eastAsia="Calibri" w:hAnsi="Calibri" w:cs="Calibri"/>
                <w:b/>
                <w:bCs/>
                <w:sz w:val="24"/>
                <w:szCs w:val="24"/>
              </w:rPr>
              <w:t>Explain</w:t>
            </w:r>
          </w:p>
        </w:tc>
      </w:tr>
      <w:tr w:rsidR="00C21A93" w:rsidRPr="00317B18" w14:paraId="294693D4" w14:textId="77777777">
        <w:tblPrEx>
          <w:tblCellMar>
            <w:top w:w="0" w:type="dxa"/>
            <w:bottom w:w="0" w:type="dxa"/>
          </w:tblCellMar>
        </w:tblPrEx>
        <w:tc>
          <w:tcPr>
            <w:tcW w:w="1900" w:type="dxa"/>
          </w:tcPr>
          <w:p w14:paraId="4E6948B6" w14:textId="77777777" w:rsidR="00C21A93" w:rsidRPr="00317B18" w:rsidRDefault="00000000">
            <w:pPr>
              <w:rPr>
                <w:sz w:val="24"/>
                <w:szCs w:val="24"/>
              </w:rPr>
            </w:pPr>
            <w:r w:rsidRPr="00317B18">
              <w:rPr>
                <w:rFonts w:ascii="Calibri" w:eastAsia="Calibri" w:hAnsi="Calibri" w:cs="Calibri"/>
                <w:sz w:val="24"/>
                <w:szCs w:val="24"/>
              </w:rPr>
              <w:t>Baseline (LogReg)</w:t>
            </w:r>
          </w:p>
        </w:tc>
        <w:tc>
          <w:tcPr>
            <w:tcW w:w="1300" w:type="dxa"/>
          </w:tcPr>
          <w:p w14:paraId="381759A4" w14:textId="77777777" w:rsidR="00C21A93" w:rsidRPr="00317B18" w:rsidRDefault="00000000">
            <w:pPr>
              <w:rPr>
                <w:sz w:val="24"/>
                <w:szCs w:val="24"/>
              </w:rPr>
            </w:pPr>
            <w:r w:rsidRPr="00317B18">
              <w:rPr>
                <w:rFonts w:ascii="Calibri" w:eastAsia="Calibri" w:hAnsi="Calibri" w:cs="Calibri"/>
                <w:sz w:val="24"/>
                <w:szCs w:val="24"/>
              </w:rPr>
              <w:t>0.672</w:t>
            </w:r>
          </w:p>
        </w:tc>
        <w:tc>
          <w:tcPr>
            <w:tcW w:w="1300" w:type="dxa"/>
          </w:tcPr>
          <w:p w14:paraId="72D6B527" w14:textId="77777777" w:rsidR="00C21A93" w:rsidRPr="00317B18" w:rsidRDefault="00000000">
            <w:pPr>
              <w:rPr>
                <w:sz w:val="24"/>
                <w:szCs w:val="24"/>
              </w:rPr>
            </w:pPr>
            <w:r w:rsidRPr="00317B18">
              <w:rPr>
                <w:rFonts w:ascii="Calibri" w:eastAsia="Calibri" w:hAnsi="Calibri" w:cs="Calibri"/>
                <w:sz w:val="24"/>
                <w:szCs w:val="24"/>
              </w:rPr>
              <w:t>0.188</w:t>
            </w:r>
          </w:p>
        </w:tc>
        <w:tc>
          <w:tcPr>
            <w:tcW w:w="1200" w:type="dxa"/>
          </w:tcPr>
          <w:p w14:paraId="31F08B6F" w14:textId="77777777" w:rsidR="00C21A93" w:rsidRPr="00317B18" w:rsidRDefault="00000000">
            <w:pPr>
              <w:rPr>
                <w:sz w:val="24"/>
                <w:szCs w:val="24"/>
              </w:rPr>
            </w:pPr>
            <w:r w:rsidRPr="00317B18">
              <w:rPr>
                <w:rFonts w:ascii="Calibri" w:eastAsia="Calibri" w:hAnsi="Calibri" w:cs="Calibri"/>
                <w:sz w:val="24"/>
                <w:szCs w:val="24"/>
              </w:rPr>
              <w:t>0.480</w:t>
            </w:r>
          </w:p>
        </w:tc>
        <w:tc>
          <w:tcPr>
            <w:tcW w:w="1200" w:type="dxa"/>
          </w:tcPr>
          <w:p w14:paraId="7421FB4F" w14:textId="77777777" w:rsidR="00C21A93" w:rsidRPr="00317B18" w:rsidRDefault="00000000">
            <w:pPr>
              <w:rPr>
                <w:sz w:val="24"/>
                <w:szCs w:val="24"/>
              </w:rPr>
            </w:pPr>
            <w:r w:rsidRPr="00317B18">
              <w:rPr>
                <w:rFonts w:ascii="Calibri" w:eastAsia="Calibri" w:hAnsi="Calibri" w:cs="Calibri"/>
                <w:sz w:val="24"/>
                <w:szCs w:val="24"/>
              </w:rPr>
              <w:t>14.59</w:t>
            </w:r>
          </w:p>
        </w:tc>
        <w:tc>
          <w:tcPr>
            <w:tcW w:w="1500" w:type="dxa"/>
          </w:tcPr>
          <w:p w14:paraId="56B30BAC" w14:textId="77777777" w:rsidR="00C21A93" w:rsidRPr="00317B18" w:rsidRDefault="00000000">
            <w:pPr>
              <w:rPr>
                <w:sz w:val="24"/>
                <w:szCs w:val="24"/>
              </w:rPr>
            </w:pPr>
            <w:r w:rsidRPr="00317B18">
              <w:rPr>
                <w:rFonts w:ascii="Calibri" w:eastAsia="Calibri" w:hAnsi="Calibri" w:cs="Calibri"/>
                <w:sz w:val="24"/>
                <w:szCs w:val="24"/>
              </w:rPr>
              <w:t>0.004</w:t>
            </w:r>
          </w:p>
        </w:tc>
        <w:tc>
          <w:tcPr>
            <w:tcW w:w="1100" w:type="dxa"/>
          </w:tcPr>
          <w:p w14:paraId="2DD396A2" w14:textId="77777777" w:rsidR="00C21A93" w:rsidRPr="00317B18" w:rsidRDefault="00000000">
            <w:pPr>
              <w:rPr>
                <w:sz w:val="24"/>
                <w:szCs w:val="24"/>
              </w:rPr>
            </w:pPr>
            <w:r w:rsidRPr="00317B18">
              <w:rPr>
                <w:rFonts w:ascii="Calibri" w:eastAsia="Calibri" w:hAnsi="Calibri" w:cs="Calibri"/>
                <w:sz w:val="24"/>
                <w:szCs w:val="24"/>
              </w:rPr>
              <w:t>High</w:t>
            </w:r>
          </w:p>
        </w:tc>
      </w:tr>
      <w:tr w:rsidR="00C21A93" w:rsidRPr="00317B18" w14:paraId="4744C10E" w14:textId="77777777">
        <w:tblPrEx>
          <w:tblCellMar>
            <w:top w:w="0" w:type="dxa"/>
            <w:bottom w:w="0" w:type="dxa"/>
          </w:tblCellMar>
        </w:tblPrEx>
        <w:tc>
          <w:tcPr>
            <w:tcW w:w="1900" w:type="dxa"/>
          </w:tcPr>
          <w:p w14:paraId="13A1F0BA" w14:textId="77777777" w:rsidR="00C21A93" w:rsidRPr="00317B18" w:rsidRDefault="00000000">
            <w:pPr>
              <w:rPr>
                <w:sz w:val="24"/>
                <w:szCs w:val="24"/>
              </w:rPr>
            </w:pPr>
            <w:r w:rsidRPr="00317B18">
              <w:rPr>
                <w:rFonts w:ascii="Calibri" w:eastAsia="Calibri" w:hAnsi="Calibri" w:cs="Calibri"/>
                <w:sz w:val="24"/>
                <w:szCs w:val="24"/>
              </w:rPr>
              <w:t>Random Forest (tuned)</w:t>
            </w:r>
          </w:p>
        </w:tc>
        <w:tc>
          <w:tcPr>
            <w:tcW w:w="1300" w:type="dxa"/>
          </w:tcPr>
          <w:p w14:paraId="469CD8B3" w14:textId="77777777" w:rsidR="00C21A93" w:rsidRPr="00317B18" w:rsidRDefault="00000000">
            <w:pPr>
              <w:rPr>
                <w:sz w:val="24"/>
                <w:szCs w:val="24"/>
              </w:rPr>
            </w:pPr>
            <w:r w:rsidRPr="00317B18">
              <w:rPr>
                <w:rFonts w:ascii="Calibri" w:eastAsia="Calibri" w:hAnsi="Calibri" w:cs="Calibri"/>
                <w:sz w:val="24"/>
                <w:szCs w:val="24"/>
              </w:rPr>
              <w:t>0.608</w:t>
            </w:r>
          </w:p>
        </w:tc>
        <w:tc>
          <w:tcPr>
            <w:tcW w:w="1300" w:type="dxa"/>
          </w:tcPr>
          <w:p w14:paraId="0A322FA9" w14:textId="77777777" w:rsidR="00C21A93" w:rsidRPr="00317B18" w:rsidRDefault="00000000">
            <w:pPr>
              <w:rPr>
                <w:sz w:val="24"/>
                <w:szCs w:val="24"/>
              </w:rPr>
            </w:pPr>
            <w:r w:rsidRPr="00317B18">
              <w:rPr>
                <w:rFonts w:ascii="Calibri" w:eastAsia="Calibri" w:hAnsi="Calibri" w:cs="Calibri"/>
                <w:sz w:val="24"/>
                <w:szCs w:val="24"/>
              </w:rPr>
              <w:t>0.312</w:t>
            </w:r>
          </w:p>
        </w:tc>
        <w:tc>
          <w:tcPr>
            <w:tcW w:w="1200" w:type="dxa"/>
          </w:tcPr>
          <w:p w14:paraId="425B17B3" w14:textId="77777777" w:rsidR="00C21A93" w:rsidRPr="00317B18" w:rsidRDefault="00000000">
            <w:pPr>
              <w:rPr>
                <w:sz w:val="24"/>
                <w:szCs w:val="24"/>
              </w:rPr>
            </w:pPr>
            <w:r w:rsidRPr="00317B18">
              <w:rPr>
                <w:rFonts w:ascii="Calibri" w:eastAsia="Calibri" w:hAnsi="Calibri" w:cs="Calibri"/>
                <w:sz w:val="24"/>
                <w:szCs w:val="24"/>
              </w:rPr>
              <w:t>0.475</w:t>
            </w:r>
          </w:p>
        </w:tc>
        <w:tc>
          <w:tcPr>
            <w:tcW w:w="1200" w:type="dxa"/>
          </w:tcPr>
          <w:p w14:paraId="3BA8F56F" w14:textId="77777777" w:rsidR="00C21A93" w:rsidRPr="00317B18" w:rsidRDefault="00000000">
            <w:pPr>
              <w:rPr>
                <w:sz w:val="24"/>
                <w:szCs w:val="24"/>
              </w:rPr>
            </w:pPr>
            <w:r w:rsidRPr="00317B18">
              <w:rPr>
                <w:rFonts w:ascii="Calibri" w:eastAsia="Calibri" w:hAnsi="Calibri" w:cs="Calibri"/>
                <w:sz w:val="24"/>
                <w:szCs w:val="24"/>
              </w:rPr>
              <w:t>365.03</w:t>
            </w:r>
          </w:p>
        </w:tc>
        <w:tc>
          <w:tcPr>
            <w:tcW w:w="1500" w:type="dxa"/>
          </w:tcPr>
          <w:p w14:paraId="5BDC8122" w14:textId="77777777" w:rsidR="00C21A93" w:rsidRPr="00317B18" w:rsidRDefault="00000000">
            <w:pPr>
              <w:rPr>
                <w:sz w:val="24"/>
                <w:szCs w:val="24"/>
              </w:rPr>
            </w:pPr>
            <w:r w:rsidRPr="00317B18">
              <w:rPr>
                <w:rFonts w:ascii="Calibri" w:eastAsia="Calibri" w:hAnsi="Calibri" w:cs="Calibri"/>
                <w:sz w:val="24"/>
                <w:szCs w:val="24"/>
              </w:rPr>
              <w:t>0.071</w:t>
            </w:r>
          </w:p>
        </w:tc>
        <w:tc>
          <w:tcPr>
            <w:tcW w:w="1100" w:type="dxa"/>
          </w:tcPr>
          <w:p w14:paraId="3552DF14" w14:textId="77777777" w:rsidR="00C21A93" w:rsidRPr="00317B18" w:rsidRDefault="00000000">
            <w:pPr>
              <w:rPr>
                <w:sz w:val="24"/>
                <w:szCs w:val="24"/>
              </w:rPr>
            </w:pPr>
            <w:r w:rsidRPr="00317B18">
              <w:rPr>
                <w:rFonts w:ascii="Calibri" w:eastAsia="Calibri" w:hAnsi="Calibri" w:cs="Calibri"/>
                <w:sz w:val="24"/>
                <w:szCs w:val="24"/>
              </w:rPr>
              <w:t>Medium</w:t>
            </w:r>
          </w:p>
        </w:tc>
      </w:tr>
      <w:tr w:rsidR="00C21A93" w:rsidRPr="00317B18" w14:paraId="4972EC63" w14:textId="77777777">
        <w:tblPrEx>
          <w:tblCellMar>
            <w:top w:w="0" w:type="dxa"/>
            <w:bottom w:w="0" w:type="dxa"/>
          </w:tblCellMar>
        </w:tblPrEx>
        <w:tc>
          <w:tcPr>
            <w:tcW w:w="1900" w:type="dxa"/>
          </w:tcPr>
          <w:p w14:paraId="33AF182B" w14:textId="77777777" w:rsidR="00C21A93" w:rsidRPr="00317B18" w:rsidRDefault="00000000">
            <w:pPr>
              <w:rPr>
                <w:sz w:val="24"/>
                <w:szCs w:val="24"/>
              </w:rPr>
            </w:pPr>
            <w:r w:rsidRPr="00317B18">
              <w:rPr>
                <w:rFonts w:ascii="Calibri" w:eastAsia="Calibri" w:hAnsi="Calibri" w:cs="Calibri"/>
                <w:sz w:val="24"/>
                <w:szCs w:val="24"/>
              </w:rPr>
              <w:t>Small MLP</w:t>
            </w:r>
          </w:p>
        </w:tc>
        <w:tc>
          <w:tcPr>
            <w:tcW w:w="1300" w:type="dxa"/>
          </w:tcPr>
          <w:p w14:paraId="5F3EFA8B" w14:textId="77777777" w:rsidR="00C21A93" w:rsidRPr="00317B18" w:rsidRDefault="00000000">
            <w:pPr>
              <w:rPr>
                <w:sz w:val="24"/>
                <w:szCs w:val="24"/>
              </w:rPr>
            </w:pPr>
            <w:r w:rsidRPr="00317B18">
              <w:rPr>
                <w:rFonts w:ascii="Calibri" w:eastAsia="Calibri" w:hAnsi="Calibri" w:cs="Calibri"/>
                <w:sz w:val="24"/>
                <w:szCs w:val="24"/>
              </w:rPr>
              <w:t>0.636</w:t>
            </w:r>
          </w:p>
        </w:tc>
        <w:tc>
          <w:tcPr>
            <w:tcW w:w="1300" w:type="dxa"/>
          </w:tcPr>
          <w:p w14:paraId="0E1E86EF" w14:textId="77777777" w:rsidR="00C21A93" w:rsidRPr="00317B18" w:rsidRDefault="00000000">
            <w:pPr>
              <w:rPr>
                <w:sz w:val="24"/>
                <w:szCs w:val="24"/>
              </w:rPr>
            </w:pPr>
            <w:r w:rsidRPr="00317B18">
              <w:rPr>
                <w:rFonts w:ascii="Calibri" w:eastAsia="Calibri" w:hAnsi="Calibri" w:cs="Calibri"/>
                <w:sz w:val="24"/>
                <w:szCs w:val="24"/>
              </w:rPr>
              <w:t>0.188</w:t>
            </w:r>
          </w:p>
        </w:tc>
        <w:tc>
          <w:tcPr>
            <w:tcW w:w="1200" w:type="dxa"/>
          </w:tcPr>
          <w:p w14:paraId="442B2989" w14:textId="77777777" w:rsidR="00C21A93" w:rsidRPr="00317B18" w:rsidRDefault="00000000">
            <w:pPr>
              <w:rPr>
                <w:sz w:val="24"/>
                <w:szCs w:val="24"/>
              </w:rPr>
            </w:pPr>
            <w:r w:rsidRPr="00317B18">
              <w:rPr>
                <w:rFonts w:ascii="Calibri" w:eastAsia="Calibri" w:hAnsi="Calibri" w:cs="Calibri"/>
                <w:sz w:val="24"/>
                <w:szCs w:val="24"/>
              </w:rPr>
              <w:t>0.462</w:t>
            </w:r>
          </w:p>
        </w:tc>
        <w:tc>
          <w:tcPr>
            <w:tcW w:w="1200" w:type="dxa"/>
          </w:tcPr>
          <w:p w14:paraId="46E534C7" w14:textId="77777777" w:rsidR="00C21A93" w:rsidRPr="00317B18" w:rsidRDefault="00000000">
            <w:pPr>
              <w:rPr>
                <w:sz w:val="24"/>
                <w:szCs w:val="24"/>
              </w:rPr>
            </w:pPr>
            <w:r w:rsidRPr="00317B18">
              <w:rPr>
                <w:rFonts w:ascii="Calibri" w:eastAsia="Calibri" w:hAnsi="Calibri" w:cs="Calibri"/>
                <w:sz w:val="24"/>
                <w:szCs w:val="24"/>
              </w:rPr>
              <w:t>237.81</w:t>
            </w:r>
          </w:p>
        </w:tc>
        <w:tc>
          <w:tcPr>
            <w:tcW w:w="1500" w:type="dxa"/>
          </w:tcPr>
          <w:p w14:paraId="62267F1F" w14:textId="77777777" w:rsidR="00C21A93" w:rsidRPr="00317B18" w:rsidRDefault="00000000">
            <w:pPr>
              <w:rPr>
                <w:sz w:val="24"/>
                <w:szCs w:val="24"/>
              </w:rPr>
            </w:pPr>
            <w:r w:rsidRPr="00317B18">
              <w:rPr>
                <w:rFonts w:ascii="Calibri" w:eastAsia="Calibri" w:hAnsi="Calibri" w:cs="Calibri"/>
                <w:sz w:val="24"/>
                <w:szCs w:val="24"/>
              </w:rPr>
              <w:t>0.005</w:t>
            </w:r>
          </w:p>
        </w:tc>
        <w:tc>
          <w:tcPr>
            <w:tcW w:w="1100" w:type="dxa"/>
          </w:tcPr>
          <w:p w14:paraId="79E7B761" w14:textId="77777777" w:rsidR="00C21A93" w:rsidRPr="00317B18" w:rsidRDefault="00000000">
            <w:pPr>
              <w:rPr>
                <w:sz w:val="24"/>
                <w:szCs w:val="24"/>
              </w:rPr>
            </w:pPr>
            <w:r w:rsidRPr="00317B18">
              <w:rPr>
                <w:rFonts w:ascii="Calibri" w:eastAsia="Calibri" w:hAnsi="Calibri" w:cs="Calibri"/>
                <w:sz w:val="24"/>
                <w:szCs w:val="24"/>
              </w:rPr>
              <w:t>Low</w:t>
            </w:r>
          </w:p>
        </w:tc>
      </w:tr>
      <w:tr w:rsidR="00C21A93" w:rsidRPr="00317B18" w14:paraId="5D528620" w14:textId="77777777" w:rsidTr="00DB6083">
        <w:tblPrEx>
          <w:tblCellMar>
            <w:top w:w="0" w:type="dxa"/>
            <w:bottom w:w="0" w:type="dxa"/>
          </w:tblCellMar>
        </w:tblPrEx>
        <w:tc>
          <w:tcPr>
            <w:tcW w:w="1900" w:type="dxa"/>
          </w:tcPr>
          <w:p w14:paraId="58E37E63" w14:textId="77777777" w:rsidR="00C21A93" w:rsidRPr="00317B18" w:rsidRDefault="00000000">
            <w:pPr>
              <w:rPr>
                <w:sz w:val="24"/>
                <w:szCs w:val="24"/>
              </w:rPr>
            </w:pPr>
            <w:r w:rsidRPr="00317B18">
              <w:rPr>
                <w:rFonts w:ascii="Calibri" w:eastAsia="Calibri" w:hAnsi="Calibri" w:cs="Calibri"/>
                <w:b/>
                <w:bCs/>
                <w:sz w:val="24"/>
                <w:szCs w:val="24"/>
              </w:rPr>
              <w:t>Gradient Boosting (recommended)</w:t>
            </w:r>
          </w:p>
        </w:tc>
        <w:tc>
          <w:tcPr>
            <w:tcW w:w="1300" w:type="dxa"/>
          </w:tcPr>
          <w:p w14:paraId="2A746F70" w14:textId="77777777" w:rsidR="00C21A93" w:rsidRPr="00317B18" w:rsidRDefault="00000000">
            <w:pPr>
              <w:rPr>
                <w:sz w:val="24"/>
                <w:szCs w:val="24"/>
              </w:rPr>
            </w:pPr>
            <w:r w:rsidRPr="00317B18">
              <w:rPr>
                <w:rFonts w:ascii="Calibri" w:eastAsia="Calibri" w:hAnsi="Calibri" w:cs="Calibri"/>
                <w:sz w:val="24"/>
                <w:szCs w:val="24"/>
              </w:rPr>
              <w:t>0.539</w:t>
            </w:r>
          </w:p>
        </w:tc>
        <w:tc>
          <w:tcPr>
            <w:tcW w:w="1300" w:type="dxa"/>
          </w:tcPr>
          <w:p w14:paraId="4FE3DC80" w14:textId="77777777" w:rsidR="00C21A93" w:rsidRPr="00317B18" w:rsidRDefault="00000000">
            <w:pPr>
              <w:rPr>
                <w:sz w:val="24"/>
                <w:szCs w:val="24"/>
              </w:rPr>
            </w:pPr>
            <w:r w:rsidRPr="00317B18">
              <w:rPr>
                <w:rFonts w:ascii="Calibri" w:eastAsia="Calibri" w:hAnsi="Calibri" w:cs="Calibri"/>
                <w:b/>
                <w:bCs/>
                <w:sz w:val="24"/>
                <w:szCs w:val="24"/>
              </w:rPr>
              <w:t>0.312</w:t>
            </w:r>
          </w:p>
        </w:tc>
        <w:tc>
          <w:tcPr>
            <w:tcW w:w="1200" w:type="dxa"/>
          </w:tcPr>
          <w:p w14:paraId="738EF8E8" w14:textId="77777777" w:rsidR="00C21A93" w:rsidRPr="00317B18" w:rsidRDefault="00000000">
            <w:pPr>
              <w:rPr>
                <w:sz w:val="24"/>
                <w:szCs w:val="24"/>
              </w:rPr>
            </w:pPr>
            <w:r w:rsidRPr="00317B18">
              <w:rPr>
                <w:rFonts w:ascii="Calibri" w:eastAsia="Calibri" w:hAnsi="Calibri" w:cs="Calibri"/>
                <w:sz w:val="24"/>
                <w:szCs w:val="24"/>
              </w:rPr>
              <w:t>0.407</w:t>
            </w:r>
          </w:p>
        </w:tc>
        <w:tc>
          <w:tcPr>
            <w:tcW w:w="1200" w:type="dxa"/>
          </w:tcPr>
          <w:p w14:paraId="4EEFD763" w14:textId="77777777" w:rsidR="00C21A93" w:rsidRPr="00317B18" w:rsidRDefault="00000000">
            <w:pPr>
              <w:rPr>
                <w:sz w:val="24"/>
                <w:szCs w:val="24"/>
              </w:rPr>
            </w:pPr>
            <w:r w:rsidRPr="00317B18">
              <w:rPr>
                <w:rFonts w:ascii="Calibri" w:eastAsia="Calibri" w:hAnsi="Calibri" w:cs="Calibri"/>
                <w:b/>
                <w:bCs/>
                <w:sz w:val="24"/>
                <w:szCs w:val="24"/>
              </w:rPr>
              <w:t>9.51</w:t>
            </w:r>
          </w:p>
        </w:tc>
        <w:tc>
          <w:tcPr>
            <w:tcW w:w="1500" w:type="dxa"/>
          </w:tcPr>
          <w:p w14:paraId="6226DB96" w14:textId="77777777" w:rsidR="00C21A93" w:rsidRPr="00317B18" w:rsidRDefault="00000000">
            <w:pPr>
              <w:rPr>
                <w:sz w:val="24"/>
                <w:szCs w:val="24"/>
              </w:rPr>
            </w:pPr>
            <w:r w:rsidRPr="00317B18">
              <w:rPr>
                <w:rFonts w:ascii="Calibri" w:eastAsia="Calibri" w:hAnsi="Calibri" w:cs="Calibri"/>
                <w:sz w:val="24"/>
                <w:szCs w:val="24"/>
              </w:rPr>
              <w:t>0.015</w:t>
            </w:r>
          </w:p>
        </w:tc>
        <w:tc>
          <w:tcPr>
            <w:tcW w:w="1100" w:type="dxa"/>
          </w:tcPr>
          <w:p w14:paraId="07C2F58B" w14:textId="77777777" w:rsidR="00C21A93" w:rsidRPr="00317B18" w:rsidRDefault="00000000">
            <w:pPr>
              <w:rPr>
                <w:sz w:val="24"/>
                <w:szCs w:val="24"/>
              </w:rPr>
            </w:pPr>
            <w:r w:rsidRPr="00317B18">
              <w:rPr>
                <w:rFonts w:ascii="Calibri" w:eastAsia="Calibri" w:hAnsi="Calibri" w:cs="Calibri"/>
                <w:sz w:val="24"/>
                <w:szCs w:val="24"/>
              </w:rPr>
              <w:t>Low</w:t>
            </w:r>
          </w:p>
        </w:tc>
      </w:tr>
      <w:tr w:rsidR="00C21A93" w:rsidRPr="00317B18" w14:paraId="6A4EC493" w14:textId="77777777">
        <w:tblPrEx>
          <w:tblCellMar>
            <w:top w:w="0" w:type="dxa"/>
            <w:bottom w:w="0" w:type="dxa"/>
          </w:tblCellMar>
        </w:tblPrEx>
        <w:tc>
          <w:tcPr>
            <w:tcW w:w="1900" w:type="dxa"/>
          </w:tcPr>
          <w:p w14:paraId="41F04F0B" w14:textId="77777777" w:rsidR="00C21A93" w:rsidRPr="00317B18" w:rsidRDefault="00000000">
            <w:pPr>
              <w:rPr>
                <w:sz w:val="24"/>
                <w:szCs w:val="24"/>
              </w:rPr>
            </w:pPr>
            <w:r w:rsidRPr="00317B18">
              <w:rPr>
                <w:rFonts w:ascii="Calibri" w:eastAsia="Calibri" w:hAnsi="Calibri" w:cs="Calibri"/>
                <w:sz w:val="24"/>
                <w:szCs w:val="24"/>
              </w:rPr>
              <w:t>Random Forest (untuned)</w:t>
            </w:r>
          </w:p>
        </w:tc>
        <w:tc>
          <w:tcPr>
            <w:tcW w:w="1300" w:type="dxa"/>
          </w:tcPr>
          <w:p w14:paraId="3B153588" w14:textId="77777777" w:rsidR="00C21A93" w:rsidRPr="00317B18" w:rsidRDefault="00000000">
            <w:pPr>
              <w:rPr>
                <w:sz w:val="24"/>
                <w:szCs w:val="24"/>
              </w:rPr>
            </w:pPr>
            <w:r w:rsidRPr="00317B18">
              <w:rPr>
                <w:rFonts w:ascii="Calibri" w:eastAsia="Calibri" w:hAnsi="Calibri" w:cs="Calibri"/>
                <w:sz w:val="24"/>
                <w:szCs w:val="24"/>
              </w:rPr>
              <w:t>0.637</w:t>
            </w:r>
          </w:p>
        </w:tc>
        <w:tc>
          <w:tcPr>
            <w:tcW w:w="1300" w:type="dxa"/>
          </w:tcPr>
          <w:p w14:paraId="37B388C2" w14:textId="77777777" w:rsidR="00C21A93" w:rsidRPr="00317B18" w:rsidRDefault="00000000">
            <w:pPr>
              <w:rPr>
                <w:sz w:val="24"/>
                <w:szCs w:val="24"/>
              </w:rPr>
            </w:pPr>
            <w:r w:rsidRPr="00317B18">
              <w:rPr>
                <w:rFonts w:ascii="Calibri" w:eastAsia="Calibri" w:hAnsi="Calibri" w:cs="Calibri"/>
                <w:sz w:val="24"/>
                <w:szCs w:val="24"/>
              </w:rPr>
              <w:t>0.000</w:t>
            </w:r>
          </w:p>
        </w:tc>
        <w:tc>
          <w:tcPr>
            <w:tcW w:w="1200" w:type="dxa"/>
          </w:tcPr>
          <w:p w14:paraId="7D9258F5" w14:textId="77777777" w:rsidR="00C21A93" w:rsidRPr="00317B18" w:rsidRDefault="00000000">
            <w:pPr>
              <w:rPr>
                <w:sz w:val="24"/>
                <w:szCs w:val="24"/>
              </w:rPr>
            </w:pPr>
            <w:r w:rsidRPr="00317B18">
              <w:rPr>
                <w:rFonts w:ascii="Calibri" w:eastAsia="Calibri" w:hAnsi="Calibri" w:cs="Calibri"/>
                <w:sz w:val="24"/>
                <w:szCs w:val="24"/>
              </w:rPr>
              <w:t>0.385</w:t>
            </w:r>
          </w:p>
        </w:tc>
        <w:tc>
          <w:tcPr>
            <w:tcW w:w="1200" w:type="dxa"/>
          </w:tcPr>
          <w:p w14:paraId="726BB114" w14:textId="77777777" w:rsidR="00C21A93" w:rsidRPr="00317B18" w:rsidRDefault="00000000">
            <w:pPr>
              <w:rPr>
                <w:sz w:val="24"/>
                <w:szCs w:val="24"/>
              </w:rPr>
            </w:pPr>
            <w:r w:rsidRPr="00317B18">
              <w:rPr>
                <w:rFonts w:ascii="Calibri" w:eastAsia="Calibri" w:hAnsi="Calibri" w:cs="Calibri"/>
                <w:sz w:val="24"/>
                <w:szCs w:val="24"/>
              </w:rPr>
              <w:t>65.30</w:t>
            </w:r>
          </w:p>
        </w:tc>
        <w:tc>
          <w:tcPr>
            <w:tcW w:w="1500" w:type="dxa"/>
          </w:tcPr>
          <w:p w14:paraId="287532B2" w14:textId="77777777" w:rsidR="00C21A93" w:rsidRPr="00317B18" w:rsidRDefault="00000000">
            <w:pPr>
              <w:rPr>
                <w:sz w:val="24"/>
                <w:szCs w:val="24"/>
              </w:rPr>
            </w:pPr>
            <w:r w:rsidRPr="00317B18">
              <w:rPr>
                <w:rFonts w:ascii="Calibri" w:eastAsia="Calibri" w:hAnsi="Calibri" w:cs="Calibri"/>
                <w:sz w:val="24"/>
                <w:szCs w:val="24"/>
              </w:rPr>
              <w:t>0.244</w:t>
            </w:r>
          </w:p>
        </w:tc>
        <w:tc>
          <w:tcPr>
            <w:tcW w:w="1100" w:type="dxa"/>
          </w:tcPr>
          <w:p w14:paraId="332695D4" w14:textId="77777777" w:rsidR="00C21A93" w:rsidRPr="00317B18" w:rsidRDefault="00000000">
            <w:pPr>
              <w:rPr>
                <w:sz w:val="24"/>
                <w:szCs w:val="24"/>
              </w:rPr>
            </w:pPr>
            <w:r w:rsidRPr="00317B18">
              <w:rPr>
                <w:rFonts w:ascii="Calibri" w:eastAsia="Calibri" w:hAnsi="Calibri" w:cs="Calibri"/>
                <w:sz w:val="24"/>
                <w:szCs w:val="24"/>
              </w:rPr>
              <w:t>Medium</w:t>
            </w:r>
          </w:p>
        </w:tc>
      </w:tr>
    </w:tbl>
    <w:p w14:paraId="0006EDF0" w14:textId="749F4D89" w:rsidR="00C21A93" w:rsidRPr="00FC742E" w:rsidRDefault="00000000">
      <w:pPr>
        <w:pStyle w:val="Heading1"/>
        <w:spacing w:before="280" w:after="140"/>
        <w:rPr>
          <w:color w:val="auto"/>
        </w:rPr>
      </w:pPr>
      <w:r w:rsidRPr="00FC742E">
        <w:rPr>
          <w:rFonts w:ascii="Calibri" w:eastAsia="Calibri" w:hAnsi="Calibri" w:cs="Calibri"/>
          <w:b/>
          <w:bCs/>
          <w:color w:val="auto"/>
        </w:rPr>
        <w:t xml:space="preserve">5. Three Arguments </w:t>
      </w:r>
      <w:r w:rsidR="00FC742E" w:rsidRPr="00FC742E">
        <w:rPr>
          <w:rFonts w:ascii="Calibri" w:eastAsia="Calibri" w:hAnsi="Calibri" w:cs="Calibri"/>
          <w:b/>
          <w:bCs/>
          <w:color w:val="auto"/>
        </w:rPr>
        <w:t>for</w:t>
      </w:r>
      <w:r w:rsidRPr="00FC742E">
        <w:rPr>
          <w:rFonts w:ascii="Calibri" w:eastAsia="Calibri" w:hAnsi="Calibri" w:cs="Calibri"/>
          <w:b/>
          <w:bCs/>
          <w:color w:val="auto"/>
        </w:rPr>
        <w:t xml:space="preserve"> Gradient Boosting</w:t>
      </w:r>
    </w:p>
    <w:p w14:paraId="24E2CFA7" w14:textId="77777777" w:rsidR="00C21A93" w:rsidRPr="00317B18" w:rsidRDefault="00000000">
      <w:pPr>
        <w:pStyle w:val="ListParagraph"/>
        <w:numPr>
          <w:ilvl w:val="0"/>
          <w:numId w:val="2"/>
        </w:numPr>
        <w:spacing w:after="120"/>
        <w:rPr>
          <w:sz w:val="24"/>
          <w:szCs w:val="24"/>
        </w:rPr>
      </w:pPr>
      <w:r w:rsidRPr="00317B18">
        <w:rPr>
          <w:rFonts w:ascii="Calibri" w:eastAsia="Calibri" w:hAnsi="Calibri" w:cs="Calibri"/>
          <w:sz w:val="24"/>
          <w:szCs w:val="24"/>
        </w:rPr>
        <w:t>Clinical safety is matched, not traded away. Gradient Boosting achieves the same ESI-1 recall (0.312) as the tuned Random Forest, nearly doubling the baseline's capture rate of critically ill patients (0.188).</w:t>
      </w:r>
    </w:p>
    <w:p w14:paraId="2C450DBE" w14:textId="4B3E293B" w:rsidR="00C21A93" w:rsidRPr="00317B18" w:rsidRDefault="00000000">
      <w:pPr>
        <w:pStyle w:val="ListParagraph"/>
        <w:numPr>
          <w:ilvl w:val="0"/>
          <w:numId w:val="2"/>
        </w:numPr>
        <w:spacing w:after="120"/>
        <w:rPr>
          <w:sz w:val="24"/>
          <w:szCs w:val="24"/>
        </w:rPr>
      </w:pPr>
      <w:r w:rsidRPr="00317B18">
        <w:rPr>
          <w:rFonts w:ascii="Calibri" w:eastAsia="Calibri" w:hAnsi="Calibri" w:cs="Calibri"/>
          <w:sz w:val="24"/>
          <w:szCs w:val="24"/>
        </w:rPr>
        <w:t xml:space="preserve">Training </w:t>
      </w:r>
      <w:r w:rsidR="00FC742E" w:rsidRPr="00317B18">
        <w:rPr>
          <w:rFonts w:ascii="Calibri" w:eastAsia="Calibri" w:hAnsi="Calibri" w:cs="Calibri"/>
          <w:sz w:val="24"/>
          <w:szCs w:val="24"/>
        </w:rPr>
        <w:t>costs are</w:t>
      </w:r>
      <w:r w:rsidRPr="00317B18">
        <w:rPr>
          <w:rFonts w:ascii="Calibri" w:eastAsia="Calibri" w:hAnsi="Calibri" w:cs="Calibri"/>
          <w:sz w:val="24"/>
          <w:szCs w:val="24"/>
        </w:rPr>
        <w:t xml:space="preserve"> negligible for a model retrained occasionally. At 9.51 seconds, Gradient Boosting trains </w:t>
      </w:r>
      <w:r w:rsidR="00FC742E" w:rsidRPr="00317B18">
        <w:rPr>
          <w:rFonts w:ascii="Calibri" w:eastAsia="Calibri" w:hAnsi="Calibri" w:cs="Calibri"/>
          <w:sz w:val="24"/>
          <w:szCs w:val="24"/>
        </w:rPr>
        <w:t>are over</w:t>
      </w:r>
      <w:r w:rsidRPr="00317B18">
        <w:rPr>
          <w:rFonts w:ascii="Calibri" w:eastAsia="Calibri" w:hAnsi="Calibri" w:cs="Calibri"/>
          <w:sz w:val="24"/>
          <w:szCs w:val="24"/>
        </w:rPr>
        <w:t xml:space="preserve"> thirty-eight times faster than the tuned Random Forest (365.03 seconds)</w:t>
      </w:r>
      <w:r w:rsidR="0067623D" w:rsidRPr="00317B18">
        <w:rPr>
          <w:rFonts w:ascii="Calibri" w:eastAsia="Calibri" w:hAnsi="Calibri" w:cs="Calibri"/>
          <w:sz w:val="24"/>
          <w:szCs w:val="24"/>
        </w:rPr>
        <w:t>.</w:t>
      </w:r>
    </w:p>
    <w:p w14:paraId="702CEB7E" w14:textId="641B3D25" w:rsidR="00C21A93" w:rsidRPr="00317B18" w:rsidRDefault="00000000">
      <w:pPr>
        <w:pStyle w:val="ListParagraph"/>
        <w:numPr>
          <w:ilvl w:val="0"/>
          <w:numId w:val="2"/>
        </w:numPr>
        <w:spacing w:after="120"/>
        <w:rPr>
          <w:sz w:val="24"/>
          <w:szCs w:val="24"/>
        </w:rPr>
      </w:pPr>
      <w:r w:rsidRPr="00317B18">
        <w:rPr>
          <w:rFonts w:ascii="Calibri" w:eastAsia="Calibri" w:hAnsi="Calibri" w:cs="Calibri"/>
          <w:sz w:val="24"/>
          <w:szCs w:val="24"/>
        </w:rPr>
        <w:t>Inference is comfortably fast enough for real-time triage. At 0.015 milliseconds per prediction, it is well within any operational threshold for a live emergency department workflow</w:t>
      </w:r>
      <w:r w:rsidR="00317B18" w:rsidRPr="00317B18">
        <w:rPr>
          <w:rFonts w:ascii="Calibri" w:eastAsia="Calibri" w:hAnsi="Calibri" w:cs="Calibri"/>
          <w:sz w:val="24"/>
          <w:szCs w:val="24"/>
        </w:rPr>
        <w:t>.</w:t>
      </w:r>
    </w:p>
    <w:p w14:paraId="065326D4" w14:textId="77777777" w:rsidR="00C21A93" w:rsidRPr="00FC742E" w:rsidRDefault="00000000">
      <w:pPr>
        <w:pStyle w:val="Heading1"/>
        <w:spacing w:before="280" w:after="140"/>
        <w:rPr>
          <w:color w:val="auto"/>
        </w:rPr>
      </w:pPr>
      <w:r w:rsidRPr="00FC742E">
        <w:rPr>
          <w:rFonts w:ascii="Calibri" w:eastAsia="Calibri" w:hAnsi="Calibri" w:cs="Calibri"/>
          <w:b/>
          <w:bCs/>
          <w:color w:val="auto"/>
        </w:rPr>
        <w:t>6. Three Arguments Against Gradient Boosting</w:t>
      </w:r>
    </w:p>
    <w:p w14:paraId="3F0555C7" w14:textId="141E419A" w:rsidR="00C21A93" w:rsidRPr="00317B18" w:rsidRDefault="00000000">
      <w:pPr>
        <w:pStyle w:val="ListParagraph"/>
        <w:numPr>
          <w:ilvl w:val="0"/>
          <w:numId w:val="2"/>
        </w:numPr>
        <w:spacing w:after="120"/>
        <w:rPr>
          <w:sz w:val="24"/>
          <w:szCs w:val="24"/>
        </w:rPr>
      </w:pPr>
      <w:r w:rsidRPr="00317B18">
        <w:rPr>
          <w:rFonts w:ascii="Calibri" w:eastAsia="Calibri" w:hAnsi="Calibri" w:cs="Calibri"/>
          <w:sz w:val="24"/>
          <w:szCs w:val="24"/>
        </w:rPr>
        <w:t xml:space="preserve">Lowest overall accuracy and macro-F1 of all five models tested (0.539 and 0.407 respectively). The clinical safety gain is real but </w:t>
      </w:r>
      <w:r w:rsidR="00FC742E" w:rsidRPr="00317B18">
        <w:rPr>
          <w:rFonts w:ascii="Calibri" w:eastAsia="Calibri" w:hAnsi="Calibri" w:cs="Calibri"/>
          <w:sz w:val="24"/>
          <w:szCs w:val="24"/>
        </w:rPr>
        <w:t>narrow and</w:t>
      </w:r>
      <w:r w:rsidRPr="00317B18">
        <w:rPr>
          <w:rFonts w:ascii="Calibri" w:eastAsia="Calibri" w:hAnsi="Calibri" w:cs="Calibri"/>
          <w:sz w:val="24"/>
          <w:szCs w:val="24"/>
        </w:rPr>
        <w:t xml:space="preserve"> comes with a broader drop in general-purpose predictive quality.</w:t>
      </w:r>
    </w:p>
    <w:p w14:paraId="4AB88710" w14:textId="08F8327C" w:rsidR="00C21A93" w:rsidRPr="00317B18" w:rsidRDefault="00000000">
      <w:pPr>
        <w:pStyle w:val="ListParagraph"/>
        <w:numPr>
          <w:ilvl w:val="0"/>
          <w:numId w:val="2"/>
        </w:numPr>
        <w:spacing w:after="120"/>
        <w:rPr>
          <w:sz w:val="24"/>
          <w:szCs w:val="24"/>
        </w:rPr>
      </w:pPr>
      <w:r w:rsidRPr="00317B18">
        <w:rPr>
          <w:rFonts w:ascii="Calibri" w:eastAsia="Calibri" w:hAnsi="Calibri" w:cs="Calibri"/>
          <w:sz w:val="24"/>
          <w:szCs w:val="24"/>
        </w:rPr>
        <w:t xml:space="preserve">Interpretability is rated Low. A single prediction cannot be explained to </w:t>
      </w:r>
      <w:r w:rsidR="00317B18" w:rsidRPr="00317B18">
        <w:rPr>
          <w:rFonts w:ascii="Calibri" w:eastAsia="Calibri" w:hAnsi="Calibri" w:cs="Calibri"/>
          <w:sz w:val="24"/>
          <w:szCs w:val="24"/>
        </w:rPr>
        <w:t xml:space="preserve">the clinical staff </w:t>
      </w:r>
      <w:r w:rsidRPr="00317B18">
        <w:rPr>
          <w:rFonts w:ascii="Calibri" w:eastAsia="Calibri" w:hAnsi="Calibri" w:cs="Calibri"/>
          <w:sz w:val="24"/>
          <w:szCs w:val="24"/>
        </w:rPr>
        <w:t>in under a minute without SHAP tooling, unlike the baseline (High) or either Random Forest variant (Medium).</w:t>
      </w:r>
    </w:p>
    <w:p w14:paraId="24224D80" w14:textId="77777777" w:rsidR="00C21A93" w:rsidRPr="00317B18" w:rsidRDefault="00000000">
      <w:pPr>
        <w:pStyle w:val="ListParagraph"/>
        <w:numPr>
          <w:ilvl w:val="0"/>
          <w:numId w:val="2"/>
        </w:numPr>
        <w:spacing w:after="120"/>
        <w:rPr>
          <w:sz w:val="24"/>
          <w:szCs w:val="24"/>
        </w:rPr>
      </w:pPr>
      <w:r w:rsidRPr="00317B18">
        <w:rPr>
          <w:rFonts w:ascii="Calibri" w:eastAsia="Calibri" w:hAnsi="Calibri" w:cs="Calibri"/>
          <w:sz w:val="24"/>
          <w:szCs w:val="24"/>
        </w:rPr>
        <w:t>Results rest on a single train/test split. Given how rare ESI 1 encounters are in this dataset, the reported recall of 0.312 could shift meaningfully on unseen data; no confidence interval has yet been computed.</w:t>
      </w:r>
    </w:p>
    <w:p w14:paraId="5303F56D" w14:textId="77777777" w:rsidR="00C21A93" w:rsidRPr="00FC742E" w:rsidRDefault="00000000">
      <w:pPr>
        <w:pStyle w:val="Heading1"/>
        <w:spacing w:before="280" w:after="140"/>
        <w:rPr>
          <w:color w:val="auto"/>
        </w:rPr>
      </w:pPr>
      <w:r w:rsidRPr="00FC742E">
        <w:rPr>
          <w:rFonts w:ascii="Calibri" w:eastAsia="Calibri" w:hAnsi="Calibri" w:cs="Calibri"/>
          <w:b/>
          <w:bCs/>
          <w:color w:val="auto"/>
        </w:rPr>
        <w:t>7. Why Not the Alternatives</w:t>
      </w:r>
    </w:p>
    <w:p w14:paraId="59EB2CD7" w14:textId="77777777" w:rsidR="00C21A93" w:rsidRPr="00317B18" w:rsidRDefault="00000000">
      <w:pPr>
        <w:spacing w:after="160" w:line="300" w:lineRule="auto"/>
        <w:rPr>
          <w:sz w:val="24"/>
          <w:szCs w:val="24"/>
        </w:rPr>
      </w:pPr>
      <w:r w:rsidRPr="00317B18">
        <w:rPr>
          <w:rFonts w:ascii="Calibri" w:eastAsia="Calibri" w:hAnsi="Calibri" w:cs="Calibri"/>
          <w:sz w:val="24"/>
          <w:szCs w:val="24"/>
        </w:rPr>
        <w:t>The baseline logistic regression remains the easiest model to explain and the cheapest to run, but it misses over four out of every five truly critical patients (recall 0.188), which is difficult to justify once a model with materially better safety performance exists.</w:t>
      </w:r>
    </w:p>
    <w:p w14:paraId="2E241092" w14:textId="47D671EA" w:rsidR="00C21A93" w:rsidRPr="00317B18" w:rsidRDefault="00000000">
      <w:pPr>
        <w:spacing w:after="160" w:line="300" w:lineRule="auto"/>
        <w:rPr>
          <w:sz w:val="24"/>
          <w:szCs w:val="24"/>
        </w:rPr>
      </w:pPr>
      <w:r w:rsidRPr="00317B18">
        <w:rPr>
          <w:rFonts w:ascii="Calibri" w:eastAsia="Calibri" w:hAnsi="Calibri" w:cs="Calibri"/>
          <w:sz w:val="24"/>
          <w:szCs w:val="24"/>
        </w:rPr>
        <w:t xml:space="preserve">The tuned Random Forest matches Gradient Boosting on the metric that matters most, ESI-1 </w:t>
      </w:r>
      <w:r w:rsidR="00FC742E" w:rsidRPr="00317B18">
        <w:rPr>
          <w:rFonts w:ascii="Calibri" w:eastAsia="Calibri" w:hAnsi="Calibri" w:cs="Calibri"/>
          <w:sz w:val="24"/>
          <w:szCs w:val="24"/>
        </w:rPr>
        <w:t>recalls</w:t>
      </w:r>
      <w:r w:rsidRPr="00317B18">
        <w:rPr>
          <w:rFonts w:ascii="Calibri" w:eastAsia="Calibri" w:hAnsi="Calibri" w:cs="Calibri"/>
          <w:sz w:val="24"/>
          <w:szCs w:val="24"/>
        </w:rPr>
        <w:t xml:space="preserve">, and offers a somewhat clearer explanation path. However, its training cost is over thirty-eight times </w:t>
      </w:r>
      <w:r w:rsidRPr="00317B18">
        <w:rPr>
          <w:rFonts w:ascii="Calibri" w:eastAsia="Calibri" w:hAnsi="Calibri" w:cs="Calibri"/>
          <w:sz w:val="24"/>
          <w:szCs w:val="24"/>
        </w:rPr>
        <w:lastRenderedPageBreak/>
        <w:t>higher for no measurable gain in either accuracy or clinical safety, and its inference time, while still fast in absolute terms, is roughly four times slower than Gradient Boosting's. Given that training time is paid once and inference time is paid on every patient indefinitely, neither factor favours the Random Forest here strongly enough to outweigh Gradient Boosting's speed advantage.</w:t>
      </w:r>
    </w:p>
    <w:p w14:paraId="389C6A0F" w14:textId="77777777" w:rsidR="00C21A93" w:rsidRPr="00317B18" w:rsidRDefault="00000000">
      <w:pPr>
        <w:spacing w:after="160" w:line="300" w:lineRule="auto"/>
        <w:rPr>
          <w:sz w:val="24"/>
          <w:szCs w:val="24"/>
        </w:rPr>
      </w:pPr>
      <w:r w:rsidRPr="00317B18">
        <w:rPr>
          <w:rFonts w:ascii="Calibri" w:eastAsia="Calibri" w:hAnsi="Calibri" w:cs="Calibri"/>
          <w:sz w:val="24"/>
          <w:szCs w:val="24"/>
        </w:rPr>
        <w:t>The small MLP offers no advantage over the baseline on ESI-1 recall (both 0.188), while costing substantially more to train (237.81 seconds) and being harder to interpret. It was not carried forward as a strong candidate.</w:t>
      </w:r>
    </w:p>
    <w:p w14:paraId="639DA40E" w14:textId="77777777" w:rsidR="00C21A93" w:rsidRPr="00FC742E" w:rsidRDefault="00000000">
      <w:pPr>
        <w:pStyle w:val="Heading1"/>
        <w:spacing w:before="280" w:after="140"/>
        <w:rPr>
          <w:color w:val="auto"/>
        </w:rPr>
      </w:pPr>
      <w:r w:rsidRPr="00FC742E">
        <w:rPr>
          <w:rFonts w:ascii="Calibri" w:eastAsia="Calibri" w:hAnsi="Calibri" w:cs="Calibri"/>
          <w:b/>
          <w:bCs/>
          <w:color w:val="auto"/>
        </w:rPr>
        <w:t>8. Risks, Unknowns, and Recommendation</w:t>
      </w:r>
    </w:p>
    <w:p w14:paraId="31AB886D" w14:textId="41BAA5A5" w:rsidR="00C21A93" w:rsidRPr="00FC742E" w:rsidRDefault="00000000">
      <w:pPr>
        <w:pStyle w:val="Heading2"/>
        <w:spacing w:before="160" w:after="80"/>
        <w:rPr>
          <w:color w:val="auto"/>
        </w:rPr>
      </w:pPr>
      <w:r w:rsidRPr="00FC742E">
        <w:rPr>
          <w:rFonts w:ascii="Calibri" w:eastAsia="Calibri" w:hAnsi="Calibri" w:cs="Calibri"/>
          <w:b/>
          <w:bCs/>
          <w:color w:val="auto"/>
        </w:rPr>
        <w:t>What we do not know</w:t>
      </w:r>
      <w:r w:rsidR="0067623D">
        <w:rPr>
          <w:rFonts w:ascii="Calibri" w:eastAsia="Calibri" w:hAnsi="Calibri" w:cs="Calibri"/>
          <w:b/>
          <w:bCs/>
          <w:color w:val="auto"/>
        </w:rPr>
        <w:t xml:space="preserve"> yet</w:t>
      </w:r>
    </w:p>
    <w:p w14:paraId="1C9D812F" w14:textId="1FCC0754" w:rsidR="00C21A93" w:rsidRPr="00317B18" w:rsidRDefault="00000000">
      <w:pPr>
        <w:pStyle w:val="ListParagraph"/>
        <w:numPr>
          <w:ilvl w:val="0"/>
          <w:numId w:val="2"/>
        </w:numPr>
        <w:spacing w:after="120"/>
        <w:rPr>
          <w:sz w:val="24"/>
          <w:szCs w:val="24"/>
        </w:rPr>
      </w:pPr>
      <w:r w:rsidRPr="00317B18">
        <w:rPr>
          <w:rFonts w:ascii="Calibri" w:eastAsia="Calibri" w:hAnsi="Calibri" w:cs="Calibri"/>
          <w:sz w:val="24"/>
          <w:szCs w:val="24"/>
        </w:rPr>
        <w:t>Whether Gradient Boosting's errors cluster in a specific patient subgroup, such as those presenting with deceptively near-normal vital signs</w:t>
      </w:r>
      <w:r w:rsidR="00E51ABD">
        <w:rPr>
          <w:rFonts w:ascii="Calibri" w:eastAsia="Calibri" w:hAnsi="Calibri" w:cs="Calibri"/>
          <w:sz w:val="24"/>
          <w:szCs w:val="24"/>
        </w:rPr>
        <w:t>.</w:t>
      </w:r>
    </w:p>
    <w:p w14:paraId="6171BBC4" w14:textId="77777777" w:rsidR="00C21A93" w:rsidRPr="00317B18" w:rsidRDefault="00000000">
      <w:pPr>
        <w:pStyle w:val="ListParagraph"/>
        <w:numPr>
          <w:ilvl w:val="0"/>
          <w:numId w:val="2"/>
        </w:numPr>
        <w:spacing w:after="120"/>
        <w:rPr>
          <w:sz w:val="24"/>
          <w:szCs w:val="24"/>
        </w:rPr>
      </w:pPr>
      <w:r w:rsidRPr="00317B18">
        <w:rPr>
          <w:rFonts w:ascii="Calibri" w:eastAsia="Calibri" w:hAnsi="Calibri" w:cs="Calibri"/>
          <w:sz w:val="24"/>
          <w:szCs w:val="24"/>
        </w:rPr>
        <w:t>The practical cost of running SHAP explanations inside a live clinical workflow, including whether on-call staff would use them under time pressure.</w:t>
      </w:r>
    </w:p>
    <w:p w14:paraId="633D4A48" w14:textId="05E43D60" w:rsidR="00C21A93" w:rsidRPr="00317B18" w:rsidRDefault="00000000">
      <w:pPr>
        <w:pStyle w:val="ListParagraph"/>
        <w:numPr>
          <w:ilvl w:val="0"/>
          <w:numId w:val="2"/>
        </w:numPr>
        <w:spacing w:after="120"/>
        <w:rPr>
          <w:sz w:val="24"/>
          <w:szCs w:val="24"/>
        </w:rPr>
      </w:pPr>
      <w:r w:rsidRPr="00317B18">
        <w:rPr>
          <w:rFonts w:ascii="Calibri" w:eastAsia="Calibri" w:hAnsi="Calibri" w:cs="Calibri"/>
          <w:sz w:val="24"/>
          <w:szCs w:val="24"/>
        </w:rPr>
        <w:t xml:space="preserve">How this model's performance would hold </w:t>
      </w:r>
      <w:r w:rsidR="00FC742E" w:rsidRPr="00317B18">
        <w:rPr>
          <w:rFonts w:ascii="Calibri" w:eastAsia="Calibri" w:hAnsi="Calibri" w:cs="Calibri"/>
          <w:sz w:val="24"/>
          <w:szCs w:val="24"/>
        </w:rPr>
        <w:t>up</w:t>
      </w:r>
      <w:r w:rsidRPr="00317B18">
        <w:rPr>
          <w:rFonts w:ascii="Calibri" w:eastAsia="Calibri" w:hAnsi="Calibri" w:cs="Calibri"/>
          <w:sz w:val="24"/>
          <w:szCs w:val="24"/>
        </w:rPr>
        <w:t xml:space="preserve"> data from a different </w:t>
      </w:r>
      <w:r w:rsidR="0067623D" w:rsidRPr="00317B18">
        <w:rPr>
          <w:rFonts w:ascii="Calibri" w:eastAsia="Calibri" w:hAnsi="Calibri" w:cs="Calibri"/>
          <w:sz w:val="24"/>
          <w:szCs w:val="24"/>
        </w:rPr>
        <w:t>time</w:t>
      </w:r>
      <w:r w:rsidRPr="00317B18">
        <w:rPr>
          <w:rFonts w:ascii="Calibri" w:eastAsia="Calibri" w:hAnsi="Calibri" w:cs="Calibri"/>
          <w:sz w:val="24"/>
          <w:szCs w:val="24"/>
        </w:rPr>
        <w:t xml:space="preserve"> or a different hospital, since all figures in this memo come from a single dataset and a single train/test split.</w:t>
      </w:r>
    </w:p>
    <w:p w14:paraId="4157A491" w14:textId="77777777" w:rsidR="00C21A93" w:rsidRPr="00FC742E" w:rsidRDefault="00000000">
      <w:pPr>
        <w:pStyle w:val="Heading2"/>
        <w:spacing w:before="160" w:after="80"/>
        <w:rPr>
          <w:color w:val="auto"/>
        </w:rPr>
      </w:pPr>
      <w:r w:rsidRPr="00FC742E">
        <w:rPr>
          <w:rFonts w:ascii="Calibri" w:eastAsia="Calibri" w:hAnsi="Calibri" w:cs="Calibri"/>
          <w:b/>
          <w:bCs/>
          <w:color w:val="auto"/>
        </w:rPr>
        <w:t>Recommendation</w:t>
      </w:r>
    </w:p>
    <w:p w14:paraId="75F3C87A" w14:textId="54835196" w:rsidR="00C21A93" w:rsidRPr="00317B18" w:rsidRDefault="00317B18">
      <w:pPr>
        <w:spacing w:after="160" w:line="300" w:lineRule="auto"/>
        <w:rPr>
          <w:sz w:val="24"/>
          <w:szCs w:val="24"/>
        </w:rPr>
      </w:pPr>
      <w:r w:rsidRPr="00317B18">
        <w:rPr>
          <w:rFonts w:ascii="Calibri" w:eastAsia="Calibri" w:hAnsi="Calibri" w:cs="Calibri"/>
          <w:sz w:val="24"/>
          <w:szCs w:val="24"/>
        </w:rPr>
        <w:t>I</w:t>
      </w:r>
      <w:r w:rsidR="00000000" w:rsidRPr="00317B18">
        <w:rPr>
          <w:rFonts w:ascii="Calibri" w:eastAsia="Calibri" w:hAnsi="Calibri" w:cs="Calibri"/>
          <w:sz w:val="24"/>
          <w:szCs w:val="24"/>
        </w:rPr>
        <w:t xml:space="preserve"> recommend adopting Gradient Boosting as the Phase 3 candidate model, conditional on three follow-up actions: building a lightweight SHAP-based explanation panel for on-call clinicians before any deployment decision, completing the subgroup error analysis with adequate sample sizes, and monitoring ESI-1 recall specifically in any pilot, rather than relying on aggregate accuracy or macro-F1 as the headline success measure. This recommendation should be revisited if the subgroup analysis reveals that Gradient Boosting's errors concentrate disproportionately among a clinically vulnerable population</w:t>
      </w:r>
      <w:r w:rsidR="0067623D" w:rsidRPr="00317B18">
        <w:rPr>
          <w:rFonts w:ascii="Calibri" w:eastAsia="Calibri" w:hAnsi="Calibri" w:cs="Calibri"/>
          <w:sz w:val="24"/>
          <w:szCs w:val="24"/>
        </w:rPr>
        <w:t>.</w:t>
      </w:r>
    </w:p>
    <w:sectPr w:rsidR="00C21A93" w:rsidRPr="00317B1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561B"/>
    <w:multiLevelType w:val="hybridMultilevel"/>
    <w:tmpl w:val="2DD80826"/>
    <w:lvl w:ilvl="0" w:tplc="EC949374">
      <w:start w:val="1"/>
      <w:numFmt w:val="bullet"/>
      <w:lvlText w:val="•"/>
      <w:lvlJc w:val="left"/>
      <w:pPr>
        <w:ind w:left="576" w:hanging="288"/>
      </w:pPr>
    </w:lvl>
    <w:lvl w:ilvl="1" w:tplc="5462A11E">
      <w:numFmt w:val="decimal"/>
      <w:lvlText w:val=""/>
      <w:lvlJc w:val="left"/>
    </w:lvl>
    <w:lvl w:ilvl="2" w:tplc="A2B6B39E">
      <w:numFmt w:val="decimal"/>
      <w:lvlText w:val=""/>
      <w:lvlJc w:val="left"/>
    </w:lvl>
    <w:lvl w:ilvl="3" w:tplc="5054FD12">
      <w:numFmt w:val="decimal"/>
      <w:lvlText w:val=""/>
      <w:lvlJc w:val="left"/>
    </w:lvl>
    <w:lvl w:ilvl="4" w:tplc="58A407FC">
      <w:numFmt w:val="decimal"/>
      <w:lvlText w:val=""/>
      <w:lvlJc w:val="left"/>
    </w:lvl>
    <w:lvl w:ilvl="5" w:tplc="8AFA1AC4">
      <w:numFmt w:val="decimal"/>
      <w:lvlText w:val=""/>
      <w:lvlJc w:val="left"/>
    </w:lvl>
    <w:lvl w:ilvl="6" w:tplc="189A3C70">
      <w:numFmt w:val="decimal"/>
      <w:lvlText w:val=""/>
      <w:lvlJc w:val="left"/>
    </w:lvl>
    <w:lvl w:ilvl="7" w:tplc="1CEC06E4">
      <w:numFmt w:val="decimal"/>
      <w:lvlText w:val=""/>
      <w:lvlJc w:val="left"/>
    </w:lvl>
    <w:lvl w:ilvl="8" w:tplc="B556195C">
      <w:numFmt w:val="decimal"/>
      <w:lvlText w:val=""/>
      <w:lvlJc w:val="left"/>
    </w:lvl>
  </w:abstractNum>
  <w:abstractNum w:abstractNumId="1" w15:restartNumberingAfterBreak="0">
    <w:nsid w:val="594614B4"/>
    <w:multiLevelType w:val="hybridMultilevel"/>
    <w:tmpl w:val="BEB6FF4C"/>
    <w:lvl w:ilvl="0" w:tplc="A036C8F8">
      <w:start w:val="1"/>
      <w:numFmt w:val="bullet"/>
      <w:lvlText w:val="●"/>
      <w:lvlJc w:val="left"/>
      <w:pPr>
        <w:ind w:left="720" w:hanging="360"/>
      </w:pPr>
    </w:lvl>
    <w:lvl w:ilvl="1" w:tplc="4DF40630">
      <w:start w:val="1"/>
      <w:numFmt w:val="bullet"/>
      <w:lvlText w:val="○"/>
      <w:lvlJc w:val="left"/>
      <w:pPr>
        <w:ind w:left="1440" w:hanging="360"/>
      </w:pPr>
    </w:lvl>
    <w:lvl w:ilvl="2" w:tplc="CE60D182">
      <w:start w:val="1"/>
      <w:numFmt w:val="bullet"/>
      <w:lvlText w:val="■"/>
      <w:lvlJc w:val="left"/>
      <w:pPr>
        <w:ind w:left="2160" w:hanging="360"/>
      </w:pPr>
    </w:lvl>
    <w:lvl w:ilvl="3" w:tplc="1D523662">
      <w:start w:val="1"/>
      <w:numFmt w:val="bullet"/>
      <w:lvlText w:val="●"/>
      <w:lvlJc w:val="left"/>
      <w:pPr>
        <w:ind w:left="2880" w:hanging="360"/>
      </w:pPr>
    </w:lvl>
    <w:lvl w:ilvl="4" w:tplc="BFF6F5EE">
      <w:start w:val="1"/>
      <w:numFmt w:val="bullet"/>
      <w:lvlText w:val="○"/>
      <w:lvlJc w:val="left"/>
      <w:pPr>
        <w:ind w:left="3600" w:hanging="360"/>
      </w:pPr>
    </w:lvl>
    <w:lvl w:ilvl="5" w:tplc="394C809E">
      <w:start w:val="1"/>
      <w:numFmt w:val="bullet"/>
      <w:lvlText w:val="■"/>
      <w:lvlJc w:val="left"/>
      <w:pPr>
        <w:ind w:left="4320" w:hanging="360"/>
      </w:pPr>
    </w:lvl>
    <w:lvl w:ilvl="6" w:tplc="C83AD730">
      <w:start w:val="1"/>
      <w:numFmt w:val="bullet"/>
      <w:lvlText w:val="●"/>
      <w:lvlJc w:val="left"/>
      <w:pPr>
        <w:ind w:left="5040" w:hanging="360"/>
      </w:pPr>
    </w:lvl>
    <w:lvl w:ilvl="7" w:tplc="FE0E10A8">
      <w:start w:val="1"/>
      <w:numFmt w:val="bullet"/>
      <w:lvlText w:val="●"/>
      <w:lvlJc w:val="left"/>
      <w:pPr>
        <w:ind w:left="5760" w:hanging="360"/>
      </w:pPr>
    </w:lvl>
    <w:lvl w:ilvl="8" w:tplc="5792E508">
      <w:start w:val="1"/>
      <w:numFmt w:val="bullet"/>
      <w:lvlText w:val="●"/>
      <w:lvlJc w:val="left"/>
      <w:pPr>
        <w:ind w:left="6480" w:hanging="360"/>
      </w:pPr>
    </w:lvl>
  </w:abstractNum>
  <w:num w:numId="1" w16cid:durableId="1516074078">
    <w:abstractNumId w:val="1"/>
    <w:lvlOverride w:ilvl="0">
      <w:startOverride w:val="1"/>
    </w:lvlOverride>
  </w:num>
  <w:num w:numId="2" w16cid:durableId="3824887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1A93"/>
    <w:rsid w:val="00317B18"/>
    <w:rsid w:val="0067623D"/>
    <w:rsid w:val="00C21A93"/>
    <w:rsid w:val="00DB6083"/>
    <w:rsid w:val="00E51ABD"/>
    <w:rsid w:val="00F87450"/>
    <w:rsid w:val="00FC74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B8D2B"/>
  <w15:docId w15:val="{86A94445-6865-42CE-8E51-234655C92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D5CA7E-A2E3-4236-BD35-74F37F8903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3</Pages>
  <Words>951</Words>
  <Characters>5425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varune.joseph</cp:lastModifiedBy>
  <cp:revision>2</cp:revision>
  <dcterms:created xsi:type="dcterms:W3CDTF">2026-07-21T18:37:00Z</dcterms:created>
  <dcterms:modified xsi:type="dcterms:W3CDTF">2026-07-21T23:10:00Z</dcterms:modified>
</cp:coreProperties>
</file>