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2AA7C9"/>
          <w:sz w:val="28"/>
        </w:rPr>
        <w:t>NUTANIX KUBERNETES PLATFORM</w:t>
      </w:r>
    </w:p>
    <w:p>
      <w:pPr>
        <w:pStyle w:val="Title"/>
        <w:jc w:val="center"/>
      </w:pPr>
      <w:r>
        <w:t>Air-Gapped Deployment and</w:t>
        <w:br/>
        <w:t>Bastion VM Preparation Runbook</w:t>
      </w:r>
    </w:p>
    <w:p>
      <w:pPr>
        <w:pStyle w:val="Subtitle"/>
        <w:jc w:val="center"/>
      </w:pPr>
      <w:r>
        <w:t>Target: NKP 2.18 release family on Nutanix AHV</w:t>
        <w:br/>
        <w:t>Exact patch/build must be frozen from the Nutanix Support Portal before travel</w:t>
      </w:r>
    </w:p>
    <w:p>
      <w:pPr>
        <w:jc w:val="center"/>
      </w:pPr>
      <w:r>
        <w:drawing>
          <wp:inline xmlns:a="http://schemas.openxmlformats.org/drawingml/2006/main" xmlns:pic="http://schemas.openxmlformats.org/drawingml/2006/picture">
            <wp:extent cx="6120000" cy="3477273"/>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0000" cy="3477273"/>
                    </a:xfrm>
                    <a:prstGeom prst="rect"/>
                  </pic:spPr>
                </pic:pic>
              </a:graphicData>
            </a:graphic>
          </wp:inline>
        </w:drawing>
      </w:r>
    </w:p>
    <w:p>
      <w:pPr>
        <w:spacing w:before="200"/>
        <w:jc w:val="center"/>
      </w:pPr>
      <w:r>
        <w:rPr>
          <w:b/>
          <w:color w:val="172B3A"/>
          <w:sz w:val="20"/>
        </w:rPr>
        <w:t>Prepared for: Varun Selvaraj</w:t>
        <w:br/>
      </w:r>
      <w:r>
        <w:rPr>
          <w:b w:val="0"/>
          <w:color w:val="172B3A"/>
          <w:sz w:val="20"/>
        </w:rPr>
        <w:t>Deployment scenario: New customer / zero Internet egress</w:t>
        <w:br/>
      </w:r>
      <w:r>
        <w:rPr>
          <w:b w:val="0"/>
          <w:color w:val="172B3A"/>
          <w:sz w:val="20"/>
        </w:rPr>
        <w:t>Document revision: 1.0</w:t>
        <w:br/>
      </w:r>
      <w:r>
        <w:rPr>
          <w:b w:val="0"/>
          <w:color w:val="172B3A"/>
          <w:sz w:val="20"/>
        </w:rPr>
        <w:t>Build date: 2026-09-02</w:t>
        <w:br/>
      </w:r>
      <w:r>
        <w:rPr>
          <w:b w:val="0"/>
          <w:color w:val="172B3A"/>
          <w:sz w:val="20"/>
        </w:rPr>
        <w:t>Classification: Customer Confidential – Draft for site validation</w:t>
        <w:br/>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438"/>
            <w:tcMar>
              <w:top w:w="70" w:type="dxa"/>
              <w:start w:w="90" w:type="dxa"/>
              <w:bottom w:w="70" w:type="dxa"/>
              <w:end w:w="90" w:type="dxa"/>
            </w:tcMar>
            <w:vAlign w:val="center"/>
            <w:shd w:fill="17324D"/>
          </w:tcPr>
          <w:p>
            <w:pPr>
              <w:spacing w:after="0" w:before="0"/>
            </w:pPr>
            <w:r/>
            <w:r>
              <w:rPr>
                <w:rFonts w:ascii="Aptos" w:hAnsi="Aptos"/>
                <w:b/>
                <w:color w:val="FFFFFF"/>
                <w:sz w:val="17"/>
              </w:rPr>
              <w:t>Item</w:t>
            </w:r>
          </w:p>
        </w:tc>
        <w:tc>
          <w:tcPr>
            <w:tcW w:type="dxa" w:w="7597"/>
            <w:tcMar>
              <w:top w:w="70" w:type="dxa"/>
              <w:start w:w="90" w:type="dxa"/>
              <w:bottom w:w="70" w:type="dxa"/>
              <w:end w:w="90" w:type="dxa"/>
            </w:tcMar>
            <w:vAlign w:val="center"/>
            <w:shd w:fill="17324D"/>
          </w:tcPr>
          <w:p>
            <w:pPr>
              <w:spacing w:after="0" w:before="0"/>
            </w:pPr>
            <w:r/>
            <w:r>
              <w:rPr>
                <w:rFonts w:ascii="Aptos" w:hAnsi="Aptos"/>
                <w:b/>
                <w:color w:val="FFFFFF"/>
                <w:sz w:val="17"/>
              </w:rPr>
              <w:t>Value</w:t>
            </w:r>
          </w:p>
        </w:tc>
      </w:tr>
      <w:tr>
        <w:trPr>
          <w:cantSplit/>
        </w:trPr>
        <w:tc>
          <w:tcPr>
            <w:tcW w:type="dxa" w:w="2438"/>
            <w:tcMar>
              <w:top w:w="70" w:type="dxa"/>
              <w:start w:w="90" w:type="dxa"/>
              <w:bottom w:w="70" w:type="dxa"/>
              <w:end w:w="90" w:type="dxa"/>
            </w:tcMar>
            <w:vAlign w:val="center"/>
          </w:tcPr>
          <w:p>
            <w:pPr>
              <w:spacing w:after="0" w:before="0"/>
            </w:pPr>
            <w:r/>
            <w:r>
              <w:rPr>
                <w:rFonts w:ascii="Aptos" w:hAnsi="Aptos"/>
                <w:b w:val="0"/>
                <w:color w:val="172B3A"/>
                <w:sz w:val="17"/>
              </w:rPr>
              <w:t>Document owner</w:t>
            </w:r>
          </w:p>
        </w:tc>
        <w:tc>
          <w:tcPr>
            <w:tcW w:type="dxa" w:w="7597"/>
            <w:tcMar>
              <w:top w:w="70" w:type="dxa"/>
              <w:start w:w="90" w:type="dxa"/>
              <w:bottom w:w="70" w:type="dxa"/>
              <w:end w:w="90" w:type="dxa"/>
            </w:tcMar>
            <w:vAlign w:val="center"/>
          </w:tcPr>
          <w:p>
            <w:pPr>
              <w:spacing w:after="0" w:before="0"/>
            </w:pPr>
            <w:r/>
            <w:r>
              <w:rPr>
                <w:rFonts w:ascii="Aptos" w:hAnsi="Aptos"/>
                <w:b w:val="0"/>
                <w:color w:val="172B3A"/>
                <w:sz w:val="17"/>
              </w:rPr>
              <w:t>Platform / Kubernetes deployment architect</w:t>
            </w:r>
          </w:p>
        </w:tc>
      </w:tr>
      <w:tr>
        <w:trPr>
          <w:cantSplit/>
        </w:trPr>
        <w:tc>
          <w:tcPr>
            <w:tcW w:type="dxa" w:w="2438"/>
            <w:tcMar>
              <w:top w:w="70" w:type="dxa"/>
              <w:start w:w="90" w:type="dxa"/>
              <w:bottom w:w="70" w:type="dxa"/>
              <w:end w:w="90" w:type="dxa"/>
            </w:tcMar>
            <w:vAlign w:val="center"/>
            <w:shd w:fill="F8FAFC"/>
          </w:tcPr>
          <w:p>
            <w:pPr>
              <w:spacing w:after="0" w:before="0"/>
            </w:pPr>
            <w:r/>
            <w:r>
              <w:rPr>
                <w:rFonts w:ascii="Aptos" w:hAnsi="Aptos"/>
                <w:b w:val="0"/>
                <w:color w:val="172B3A"/>
                <w:sz w:val="17"/>
              </w:rPr>
              <w:t>Purpose</w:t>
            </w:r>
          </w:p>
        </w:tc>
        <w:tc>
          <w:tcPr>
            <w:tcW w:type="dxa" w:w="7597"/>
            <w:tcMar>
              <w:top w:w="70" w:type="dxa"/>
              <w:start w:w="90" w:type="dxa"/>
              <w:bottom w:w="70" w:type="dxa"/>
              <w:end w:w="90" w:type="dxa"/>
            </w:tcMar>
            <w:vAlign w:val="center"/>
            <w:shd w:fill="F8FAFC"/>
          </w:tcPr>
          <w:p>
            <w:pPr>
              <w:spacing w:after="0" w:before="0"/>
            </w:pPr>
            <w:r/>
            <w:r>
              <w:rPr>
                <w:rFonts w:ascii="Aptos" w:hAnsi="Aptos"/>
                <w:b w:val="0"/>
                <w:color w:val="172B3A"/>
                <w:sz w:val="17"/>
              </w:rPr>
              <w:t>Prepare, validate, and execute an NKP deployment where the customer site has no Internet access.</w:t>
            </w:r>
          </w:p>
        </w:tc>
      </w:tr>
      <w:tr>
        <w:trPr>
          <w:cantSplit/>
        </w:trPr>
        <w:tc>
          <w:tcPr>
            <w:tcW w:type="dxa" w:w="2438"/>
            <w:tcMar>
              <w:top w:w="70" w:type="dxa"/>
              <w:start w:w="90" w:type="dxa"/>
              <w:bottom w:w="70" w:type="dxa"/>
              <w:end w:w="90" w:type="dxa"/>
            </w:tcMar>
            <w:vAlign w:val="center"/>
          </w:tcPr>
          <w:p>
            <w:pPr>
              <w:spacing w:after="0" w:before="0"/>
            </w:pPr>
            <w:r/>
            <w:r>
              <w:rPr>
                <w:rFonts w:ascii="Aptos" w:hAnsi="Aptos"/>
                <w:b w:val="0"/>
                <w:color w:val="172B3A"/>
                <w:sz w:val="17"/>
              </w:rPr>
              <w:t>Release baseline</w:t>
            </w:r>
          </w:p>
        </w:tc>
        <w:tc>
          <w:tcPr>
            <w:tcW w:type="dxa" w:w="7597"/>
            <w:tcMar>
              <w:top w:w="70" w:type="dxa"/>
              <w:start w:w="90" w:type="dxa"/>
              <w:bottom w:w="70" w:type="dxa"/>
              <w:end w:w="90" w:type="dxa"/>
            </w:tcMar>
            <w:vAlign w:val="center"/>
          </w:tcPr>
          <w:p>
            <w:pPr>
              <w:spacing w:after="0" w:before="0"/>
            </w:pPr>
            <w:r/>
            <w:r>
              <w:rPr>
                <w:rFonts w:ascii="Aptos" w:hAnsi="Aptos"/>
                <w:b w:val="0"/>
                <w:color w:val="172B3A"/>
                <w:sz w:val="17"/>
              </w:rPr>
              <w:t>NKP 2.18 documentation supplied with this engagement. Freeze the exact 2.18.x patch and artifact set before transfer.</w:t>
            </w:r>
          </w:p>
        </w:tc>
      </w:tr>
      <w:tr>
        <w:trPr>
          <w:cantSplit/>
        </w:trPr>
        <w:tc>
          <w:tcPr>
            <w:tcW w:type="dxa" w:w="2438"/>
            <w:tcMar>
              <w:top w:w="70" w:type="dxa"/>
              <w:start w:w="90" w:type="dxa"/>
              <w:bottom w:w="70" w:type="dxa"/>
              <w:end w:w="90" w:type="dxa"/>
            </w:tcMar>
            <w:vAlign w:val="center"/>
            <w:shd w:fill="F8FAFC"/>
          </w:tcPr>
          <w:p>
            <w:pPr>
              <w:spacing w:after="0" w:before="0"/>
            </w:pPr>
            <w:r/>
            <w:r>
              <w:rPr>
                <w:rFonts w:ascii="Aptos" w:hAnsi="Aptos"/>
                <w:b w:val="0"/>
                <w:color w:val="172B3A"/>
                <w:sz w:val="17"/>
              </w:rPr>
              <w:t>Infrastructure baseline</w:t>
            </w:r>
          </w:p>
        </w:tc>
        <w:tc>
          <w:tcPr>
            <w:tcW w:type="dxa" w:w="7597"/>
            <w:tcMar>
              <w:top w:w="70" w:type="dxa"/>
              <w:start w:w="90" w:type="dxa"/>
              <w:bottom w:w="70" w:type="dxa"/>
              <w:end w:w="90" w:type="dxa"/>
            </w:tcMar>
            <w:vAlign w:val="center"/>
            <w:shd w:fill="F8FAFC"/>
          </w:tcPr>
          <w:p>
            <w:pPr>
              <w:spacing w:after="0" w:before="0"/>
            </w:pPr>
            <w:r/>
            <w:r>
              <w:rPr>
                <w:rFonts w:ascii="Aptos" w:hAnsi="Aptos"/>
                <w:b w:val="0"/>
                <w:color w:val="172B3A"/>
                <w:sz w:val="17"/>
              </w:rPr>
              <w:t>Nutanix AHV managed through Prism Central; internal DNS, NTP, PKI, registry, and IPAM services.</w:t>
            </w:r>
          </w:p>
        </w:tc>
      </w:tr>
      <w:tr>
        <w:trPr>
          <w:cantSplit/>
        </w:trPr>
        <w:tc>
          <w:tcPr>
            <w:tcW w:type="dxa" w:w="2438"/>
            <w:tcMar>
              <w:top w:w="70" w:type="dxa"/>
              <w:start w:w="90" w:type="dxa"/>
              <w:bottom w:w="70" w:type="dxa"/>
              <w:end w:w="90" w:type="dxa"/>
            </w:tcMar>
            <w:vAlign w:val="center"/>
          </w:tcPr>
          <w:p>
            <w:pPr>
              <w:spacing w:after="0" w:before="0"/>
            </w:pPr>
            <w:r/>
            <w:r>
              <w:rPr>
                <w:rFonts w:ascii="Aptos" w:hAnsi="Aptos"/>
                <w:b w:val="0"/>
                <w:color w:val="172B3A"/>
                <w:sz w:val="17"/>
              </w:rPr>
              <w:t>Primary bastion reference OS</w:t>
            </w:r>
          </w:p>
        </w:tc>
        <w:tc>
          <w:tcPr>
            <w:tcW w:type="dxa" w:w="7597"/>
            <w:tcMar>
              <w:top w:w="70" w:type="dxa"/>
              <w:start w:w="90" w:type="dxa"/>
              <w:bottom w:w="70" w:type="dxa"/>
              <w:end w:w="90" w:type="dxa"/>
            </w:tcMar>
            <w:vAlign w:val="center"/>
          </w:tcPr>
          <w:p>
            <w:pPr>
              <w:spacing w:after="0" w:before="0"/>
            </w:pPr>
            <w:r/>
            <w:r>
              <w:rPr>
                <w:rFonts w:ascii="Aptos" w:hAnsi="Aptos"/>
                <w:b w:val="0"/>
                <w:color w:val="172B3A"/>
                <w:sz w:val="17"/>
              </w:rPr>
              <w:t>RHEL-compatible 9.x, Linux x86_64. Validate against the exact NKP release support statement before implementation.</w:t>
            </w:r>
          </w:p>
        </w:tc>
      </w:tr>
      <w:tr>
        <w:trPr>
          <w:cantSplit/>
        </w:trPr>
        <w:tc>
          <w:tcPr>
            <w:tcW w:type="dxa" w:w="2438"/>
            <w:tcMar>
              <w:top w:w="70" w:type="dxa"/>
              <w:start w:w="90" w:type="dxa"/>
              <w:bottom w:w="70" w:type="dxa"/>
              <w:end w:w="90" w:type="dxa"/>
            </w:tcMar>
            <w:vAlign w:val="center"/>
            <w:shd w:fill="F8FAFC"/>
          </w:tcPr>
          <w:p>
            <w:pPr>
              <w:spacing w:after="0" w:before="0"/>
            </w:pPr>
            <w:r/>
            <w:r>
              <w:rPr>
                <w:rFonts w:ascii="Aptos" w:hAnsi="Aptos"/>
                <w:b w:val="0"/>
                <w:color w:val="172B3A"/>
                <w:sz w:val="17"/>
              </w:rPr>
              <w:t>Registry design</w:t>
            </w:r>
          </w:p>
        </w:tc>
        <w:tc>
          <w:tcPr>
            <w:tcW w:type="dxa" w:w="7597"/>
            <w:tcMar>
              <w:top w:w="70" w:type="dxa"/>
              <w:start w:w="90" w:type="dxa"/>
              <w:bottom w:w="70" w:type="dxa"/>
              <w:end w:w="90" w:type="dxa"/>
            </w:tcMar>
            <w:vAlign w:val="center"/>
            <w:shd w:fill="F8FAFC"/>
          </w:tcPr>
          <w:p>
            <w:pPr>
              <w:spacing w:after="0" w:before="0"/>
            </w:pPr>
            <w:r/>
            <w:r>
              <w:rPr>
                <w:rFonts w:ascii="Aptos" w:hAnsi="Aptos"/>
                <w:b w:val="0"/>
                <w:color w:val="172B3A"/>
                <w:sz w:val="17"/>
              </w:rPr>
              <w:t>Existing customer enterprise OCI registry preferred; optional Harbor-on-bastion procedure is included.</w:t>
            </w:r>
          </w:p>
        </w:tc>
      </w:tr>
      <w:tr>
        <w:trPr>
          <w:cantSplit/>
        </w:trPr>
        <w:tc>
          <w:tcPr>
            <w:tcW w:type="dxa" w:w="2438"/>
            <w:tcMar>
              <w:top w:w="70" w:type="dxa"/>
              <w:start w:w="90" w:type="dxa"/>
              <w:bottom w:w="70" w:type="dxa"/>
              <w:end w:w="90" w:type="dxa"/>
            </w:tcMar>
            <w:vAlign w:val="center"/>
          </w:tcPr>
          <w:p>
            <w:pPr>
              <w:spacing w:after="0" w:before="0"/>
            </w:pPr>
            <w:r/>
            <w:r>
              <w:rPr>
                <w:rFonts w:ascii="Aptos" w:hAnsi="Aptos"/>
                <w:b w:val="0"/>
                <w:color w:val="172B3A"/>
                <w:sz w:val="17"/>
              </w:rPr>
              <w:t>Safety model</w:t>
            </w:r>
          </w:p>
        </w:tc>
        <w:tc>
          <w:tcPr>
            <w:tcW w:type="dxa" w:w="7597"/>
            <w:tcMar>
              <w:top w:w="70" w:type="dxa"/>
              <w:start w:w="90" w:type="dxa"/>
              <w:bottom w:w="70" w:type="dxa"/>
              <w:end w:w="90" w:type="dxa"/>
            </w:tcMar>
            <w:vAlign w:val="center"/>
          </w:tcPr>
          <w:p>
            <w:pPr>
              <w:spacing w:after="0" w:before="0"/>
            </w:pPr>
            <w:r/>
            <w:r>
              <w:rPr>
                <w:rFonts w:ascii="Aptos" w:hAnsi="Aptos"/>
                <w:b w:val="0"/>
                <w:color w:val="172B3A"/>
                <w:sz w:val="17"/>
              </w:rPr>
              <w:t>All mutating helper scripts default to dry-run. Application requires --apply and, for cluster creation/deletion, typed confirmation.</w:t>
            </w:r>
          </w:p>
        </w:tc>
      </w:tr>
    </w:tbl>
    <w:p>
      <w:pPr>
        <w:spacing w:after="0"/>
      </w:pPr>
    </w:p>
    <w:p>
      <w:pPr>
        <w:pStyle w:val="Heading2"/>
        <w:keepNext/>
      </w:pPr>
      <w:r>
        <w:t>Revision history</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1134"/>
            <w:tcMar>
              <w:top w:w="70" w:type="dxa"/>
              <w:start w:w="90" w:type="dxa"/>
              <w:bottom w:w="70" w:type="dxa"/>
              <w:end w:w="90" w:type="dxa"/>
            </w:tcMar>
            <w:vAlign w:val="center"/>
            <w:shd w:fill="17324D"/>
          </w:tcPr>
          <w:p>
            <w:pPr>
              <w:spacing w:after="0" w:before="0"/>
            </w:pPr>
            <w:r/>
            <w:r>
              <w:rPr>
                <w:rFonts w:ascii="Aptos" w:hAnsi="Aptos"/>
                <w:b/>
                <w:color w:val="FFFFFF"/>
                <w:sz w:val="16"/>
              </w:rPr>
              <w:t>Revision</w:t>
            </w:r>
          </w:p>
        </w:tc>
        <w:tc>
          <w:tcPr>
            <w:tcW w:type="dxa" w:w="1701"/>
            <w:tcMar>
              <w:top w:w="70" w:type="dxa"/>
              <w:start w:w="90" w:type="dxa"/>
              <w:bottom w:w="70" w:type="dxa"/>
              <w:end w:w="90" w:type="dxa"/>
            </w:tcMar>
            <w:vAlign w:val="center"/>
            <w:shd w:fill="17324D"/>
          </w:tcPr>
          <w:p>
            <w:pPr>
              <w:spacing w:after="0" w:before="0"/>
            </w:pPr>
            <w:r/>
            <w:r>
              <w:rPr>
                <w:rFonts w:ascii="Aptos" w:hAnsi="Aptos"/>
                <w:b/>
                <w:color w:val="FFFFFF"/>
                <w:sz w:val="16"/>
              </w:rPr>
              <w:t>Date</w:t>
            </w:r>
          </w:p>
        </w:tc>
        <w:tc>
          <w:tcPr>
            <w:tcW w:type="dxa" w:w="2268"/>
            <w:tcMar>
              <w:top w:w="70" w:type="dxa"/>
              <w:start w:w="90" w:type="dxa"/>
              <w:bottom w:w="70" w:type="dxa"/>
              <w:end w:w="90" w:type="dxa"/>
            </w:tcMar>
            <w:vAlign w:val="center"/>
            <w:shd w:fill="17324D"/>
          </w:tcPr>
          <w:p>
            <w:pPr>
              <w:spacing w:after="0" w:before="0"/>
            </w:pPr>
            <w:r/>
            <w:r>
              <w:rPr>
                <w:rFonts w:ascii="Aptos" w:hAnsi="Aptos"/>
                <w:b/>
                <w:color w:val="FFFFFF"/>
                <w:sz w:val="16"/>
              </w:rPr>
              <w:t>Author/owner</w:t>
            </w:r>
          </w:p>
        </w:tc>
        <w:tc>
          <w:tcPr>
            <w:tcW w:type="dxa" w:w="4819"/>
            <w:tcMar>
              <w:top w:w="70" w:type="dxa"/>
              <w:start w:w="90" w:type="dxa"/>
              <w:bottom w:w="70" w:type="dxa"/>
              <w:end w:w="90" w:type="dxa"/>
            </w:tcMar>
            <w:vAlign w:val="center"/>
            <w:shd w:fill="17324D"/>
          </w:tcPr>
          <w:p>
            <w:pPr>
              <w:spacing w:after="0" w:before="0"/>
            </w:pPr>
            <w:r/>
            <w:r>
              <w:rPr>
                <w:rFonts w:ascii="Aptos" w:hAnsi="Aptos"/>
                <w:b/>
                <w:color w:val="FFFFFF"/>
                <w:sz w:val="16"/>
              </w:rPr>
              <w:t>Change</w:t>
            </w:r>
          </w:p>
        </w:tc>
      </w:tr>
      <w:tr>
        <w:trPr>
          <w:cantSplit/>
        </w:trPr>
        <w:tc>
          <w:tcPr>
            <w:tcW w:type="dxa" w:w="1134"/>
            <w:tcMar>
              <w:top w:w="70" w:type="dxa"/>
              <w:start w:w="90" w:type="dxa"/>
              <w:bottom w:w="70" w:type="dxa"/>
              <w:end w:w="90" w:type="dxa"/>
            </w:tcMar>
            <w:vAlign w:val="center"/>
          </w:tcPr>
          <w:p>
            <w:pPr>
              <w:spacing w:after="0" w:before="0"/>
            </w:pPr>
            <w:r/>
            <w:r>
              <w:rPr>
                <w:rFonts w:ascii="Aptos" w:hAnsi="Aptos"/>
                <w:b w:val="0"/>
                <w:color w:val="172B3A"/>
                <w:sz w:val="16"/>
              </w:rPr>
              <w:t>0.1</w:t>
            </w:r>
          </w:p>
        </w:tc>
        <w:tc>
          <w:tcPr>
            <w:tcW w:type="dxa" w:w="1701"/>
            <w:tcMar>
              <w:top w:w="70" w:type="dxa"/>
              <w:start w:w="90" w:type="dxa"/>
              <w:bottom w:w="70" w:type="dxa"/>
              <w:end w:w="90" w:type="dxa"/>
            </w:tcMar>
            <w:vAlign w:val="center"/>
          </w:tcPr>
          <w:p>
            <w:pPr>
              <w:spacing w:after="0" w:before="0"/>
            </w:pPr>
            <w:r/>
            <w:r>
              <w:rPr>
                <w:rFonts w:ascii="Aptos" w:hAnsi="Aptos"/>
                <w:b w:val="0"/>
                <w:color w:val="172B3A"/>
                <w:sz w:val="16"/>
              </w:rPr>
              <w:t>2026-09-02</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6"/>
              </w:rPr>
              <w:t>OpenAI / prepared for Varun</w:t>
            </w:r>
          </w:p>
        </w:tc>
        <w:tc>
          <w:tcPr>
            <w:tcW w:type="dxa" w:w="4819"/>
            <w:tcMar>
              <w:top w:w="70" w:type="dxa"/>
              <w:start w:w="90" w:type="dxa"/>
              <w:bottom w:w="70" w:type="dxa"/>
              <w:end w:w="90" w:type="dxa"/>
            </w:tcMar>
            <w:vAlign w:val="center"/>
          </w:tcPr>
          <w:p>
            <w:pPr>
              <w:spacing w:after="0" w:before="0"/>
            </w:pPr>
            <w:r/>
            <w:r>
              <w:rPr>
                <w:rFonts w:ascii="Aptos" w:hAnsi="Aptos"/>
                <w:b w:val="0"/>
                <w:color w:val="172B3A"/>
                <w:sz w:val="16"/>
              </w:rPr>
              <w:t>Initial attachment analysis, online source review, architecture, bastion build, registry, dry-run controls, deployment, validation, and evidence procedures.</w:t>
            </w:r>
          </w:p>
        </w:tc>
      </w:tr>
      <w:tr>
        <w:trPr>
          <w:cantSplit/>
        </w:trPr>
        <w:tc>
          <w:tcPr>
            <w:tcW w:type="dxa" w:w="1134"/>
            <w:tcMar>
              <w:top w:w="70" w:type="dxa"/>
              <w:start w:w="90" w:type="dxa"/>
              <w:bottom w:w="70" w:type="dxa"/>
              <w:end w:w="90" w:type="dxa"/>
            </w:tcMar>
            <w:vAlign w:val="center"/>
            <w:shd w:fill="F8FAFC"/>
          </w:tcPr>
          <w:p>
            <w:pPr>
              <w:spacing w:after="0" w:before="0"/>
            </w:pPr>
            <w:r/>
            <w:r>
              <w:rPr>
                <w:rFonts w:ascii="Aptos" w:hAnsi="Aptos"/>
                <w:b w:val="0"/>
                <w:color w:val="172B3A"/>
                <w:sz w:val="16"/>
              </w:rPr>
              <w:t>1.0</w:t>
            </w:r>
          </w:p>
        </w:tc>
        <w:tc>
          <w:tcPr>
            <w:tcW w:type="dxa" w:w="1701"/>
            <w:tcMar>
              <w:top w:w="70" w:type="dxa"/>
              <w:start w:w="90" w:type="dxa"/>
              <w:bottom w:w="70" w:type="dxa"/>
              <w:end w:w="90" w:type="dxa"/>
            </w:tcMar>
            <w:vAlign w:val="center"/>
            <w:shd w:fill="F8FAFC"/>
          </w:tcPr>
          <w:p>
            <w:pPr>
              <w:spacing w:after="0" w:before="0"/>
            </w:pPr>
            <w:r/>
            <w:r>
              <w:rPr>
                <w:rFonts w:ascii="Aptos" w:hAnsi="Aptos"/>
                <w:b w:val="0"/>
                <w:color w:val="172B3A"/>
                <w:sz w:val="16"/>
              </w:rPr>
              <w:t>&lt;CUSTOMER_APPROVAL_DATE&gt;</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6"/>
              </w:rPr>
              <w:t>&lt;CUSTOMER / IMPLEMENTATION OWNER&gt;</w:t>
            </w:r>
          </w:p>
        </w:tc>
        <w:tc>
          <w:tcPr>
            <w:tcW w:type="dxa" w:w="4819"/>
            <w:tcMar>
              <w:top w:w="70" w:type="dxa"/>
              <w:start w:w="90" w:type="dxa"/>
              <w:bottom w:w="70" w:type="dxa"/>
              <w:end w:w="90" w:type="dxa"/>
            </w:tcMar>
            <w:vAlign w:val="center"/>
            <w:shd w:fill="F8FAFC"/>
          </w:tcPr>
          <w:p>
            <w:pPr>
              <w:spacing w:after="0" w:before="0"/>
            </w:pPr>
            <w:r/>
            <w:r>
              <w:rPr>
                <w:rFonts w:ascii="Aptos" w:hAnsi="Aptos"/>
                <w:b w:val="0"/>
                <w:color w:val="172B3A"/>
                <w:sz w:val="16"/>
              </w:rPr>
              <w:t>Update exact NKP patch, platform versions, IP plan, certificate details, command contract, and approved change references.</w:t>
            </w:r>
          </w:p>
        </w:tc>
      </w:tr>
    </w:tbl>
    <w:p>
      <w:pPr>
        <w:spacing w:after="0"/>
      </w:pPr>
    </w:p>
    <w:tbl>
      <w:tblPr>
        <w:tblW w:type="auto" w:w="0"/>
        <w:tblLayout w:type="autofit"/>
        <w:tblLook w:firstColumn="1" w:firstRow="1" w:lastColumn="0" w:lastRow="0" w:noHBand="0" w:noVBand="1" w:val="04A0"/>
      </w:tblPr>
      <w:tblGrid>
        <w:gridCol w:w="198"/>
        <w:gridCol w:w="9921"/>
      </w:tblGrid>
      <w:tr>
        <w:tc>
          <w:tcPr>
            <w:tcW w:type="dxa" w:w="5018"/>
            <w:shd w:fill="B83232"/>
          </w:tcPr>
          <w:p>
            <w:r/>
          </w:p>
        </w:tc>
        <w:tc>
          <w:tcPr>
            <w:tcW w:type="dxa" w:w="5018"/>
            <w:shd w:fill="FDECEC"/>
            <w:tcMar>
              <w:top w:w="100" w:type="dxa"/>
              <w:start w:w="120" w:type="dxa"/>
              <w:bottom w:w="100" w:type="dxa"/>
              <w:end w:w="120" w:type="dxa"/>
            </w:tcMar>
          </w:tcPr>
          <w:p>
            <w:pPr>
              <w:spacing w:after="40"/>
            </w:pPr>
            <w:r/>
            <w:r>
              <w:rPr>
                <w:b/>
                <w:color w:val="B83232"/>
                <w:sz w:val="20"/>
              </w:rPr>
              <w:t>Authoritative-source rule</w:t>
            </w:r>
          </w:p>
          <w:p>
            <w:pPr>
              <w:spacing w:after="0" w:line="252" w:lineRule="auto"/>
            </w:pPr>
            <w:r>
              <w:rPr>
                <w:color w:val="172B3A"/>
                <w:sz w:val="18"/>
              </w:rPr>
              <w:t>For executable syntax, the installed NKP binary is authoritative. Capture `nkp ... --help` from the exact transferred binary, compare it with the 2.18 guide, and only then approve the rendered command. Never mix a CLI, air-gap bundle, node image, or documentation from different patch releases.</w:t>
            </w:r>
          </w:p>
        </w:tc>
      </w:tr>
    </w:tbl>
    <w:p>
      <w:pPr>
        <w:spacing w:after="0"/>
      </w:pPr>
    </w:p>
    <w:p>
      <w:pPr>
        <w:pStyle w:val="Heading1"/>
        <w:keepNext/>
      </w:pPr>
      <w:r>
        <w:t>Table of contents</w:t>
      </w:r>
    </w:p>
    <w:p>
      <w:pPr>
        <w:jc w:val="left"/>
      </w:pPr>
      <w:r>
        <w:fldChar w:fldCharType="begin"/>
        <w:instrText xml:space="preserve">TOC \o "1-3" \h \z \u</w:instrText>
        <w:fldChar w:fldCharType="separate"/>
        <w:fldChar w:fldCharType="end"/>
      </w:r>
      <w:r>
        <w:rPr>
          <w:i/>
        </w:rPr>
        <w:t>Right-click and select “Update Field” if page numbers are not populated.</w:t>
      </w:r>
    </w:p>
    <w:p>
      <w:r>
        <w:br w:type="page"/>
      </w:r>
    </w:p>
    <w:p>
      <w:pPr>
        <w:pStyle w:val="Heading1"/>
        <w:keepNext/>
      </w:pPr>
      <w:r>
        <w:t>Executive summary</w:t>
      </w:r>
    </w:p>
    <w:p>
      <w:pPr>
        <w:spacing w:after="120" w:line="259" w:lineRule="auto"/>
      </w:pPr>
      <w:r>
        <w:t>The supplied Word document is named “NKP_Non_Airgapped_Cluster_Creation_Guide.docx”. It is useful as a base cluster-creation procedure, but it is not by itself a complete no-Internet deployment method. An air-gapped implementation adds a connected staging phase, controlled transfer, a private OCI registry and trust chain, an offline operating-system repository, a bootstrap container runtime, qualified node-image import, checksum controls, read-only preflight checks, dry-run rendering, evidence capture, and a repeatable offline upgrade process.</w:t>
      </w:r>
    </w:p>
    <w:p>
      <w:pPr>
        <w:spacing w:after="120" w:line="259" w:lineRule="auto"/>
      </w:pPr>
      <w:r>
        <w:t>This runbook separates the work into three security zones: an Internet-connected preparation host, a controlled transfer mechanism, and the customer air-gapped zone. The customer bastion is never used to fetch public content. It receives a pre-built transfer kit, verifies every digest, installs tools only from local media, pushes the NKP bundle to an internal registry, validates Prism Central and network prerequisites, and then creates the cluster using the exact 2.18 CLI contract.</w:t>
      </w:r>
    </w:p>
    <w:p>
      <w:pPr>
        <w:spacing w:after="120" w:line="259" w:lineRule="auto"/>
      </w:pPr>
      <w:r>
        <w:t>The deployment is organized around mandatory stop/go gates. A failed gate is not bypassed with `--insecure`, disabled SELinux, an HTTP registry, a public image pull, or manual deletion of Nutanix VMs. The failed condition is corrected, evidence is retained, and the gate is repeated.</w:t>
      </w:r>
    </w:p>
    <w:p>
      <w:pPr>
        <w:jc w:val="center"/>
      </w:pPr>
      <w:r>
        <w:drawing>
          <wp:inline xmlns:a="http://schemas.openxmlformats.org/drawingml/2006/main" xmlns:pic="http://schemas.openxmlformats.org/drawingml/2006/picture">
            <wp:extent cx="6480000" cy="2650909"/>
            <wp:docPr id="2" name="Picture 2"/>
            <wp:cNvGraphicFramePr>
              <a:graphicFrameLocks noChangeAspect="1"/>
            </wp:cNvGraphicFramePr>
            <a:graphic>
              <a:graphicData uri="http://schemas.openxmlformats.org/drawingml/2006/picture">
                <pic:pic>
                  <pic:nvPicPr>
                    <pic:cNvPr id="0" name="workflow_gates.png"/>
                    <pic:cNvPicPr/>
                  </pic:nvPicPr>
                  <pic:blipFill>
                    <a:blip r:embed="rId12"/>
                    <a:stretch>
                      <a:fillRect/>
                    </a:stretch>
                  </pic:blipFill>
                  <pic:spPr>
                    <a:xfrm>
                      <a:off x="0" y="0"/>
                      <a:ext cx="6480000" cy="2650909"/>
                    </a:xfrm>
                    <a:prstGeom prst="rect"/>
                  </pic:spPr>
                </pic:pic>
              </a:graphicData>
            </a:graphic>
          </wp:inline>
        </w:drawing>
      </w:r>
    </w:p>
    <w:p>
      <w:pPr>
        <w:pStyle w:val="Caption"/>
        <w:jc w:val="center"/>
      </w:pPr>
      <w:r>
        <w:t>Figure 1 – Execution phases and mandatory stop/go gates</w:t>
      </w:r>
    </w:p>
    <w:tbl>
      <w:tblPr>
        <w:tblW w:type="auto" w:w="0"/>
        <w:tblLayout w:type="autofit"/>
        <w:tblLook w:firstColumn="1" w:firstRow="1" w:lastColumn="0" w:lastRow="0" w:noHBand="0" w:noVBand="1" w:val="04A0"/>
      </w:tblPr>
      <w:tblGrid>
        <w:gridCol w:w="198"/>
        <w:gridCol w:w="9921"/>
      </w:tblGrid>
      <w:tr>
        <w:tc>
          <w:tcPr>
            <w:tcW w:type="dxa" w:w="5018"/>
            <w:shd w:fill="2F855A"/>
          </w:tcPr>
          <w:p>
            <w:r/>
          </w:p>
        </w:tc>
        <w:tc>
          <w:tcPr>
            <w:tcW w:type="dxa" w:w="5018"/>
            <w:shd w:fill="EAF7EF"/>
            <w:tcMar>
              <w:top w:w="100" w:type="dxa"/>
              <w:start w:w="120" w:type="dxa"/>
              <w:bottom w:w="100" w:type="dxa"/>
              <w:end w:w="120" w:type="dxa"/>
            </w:tcMar>
          </w:tcPr>
          <w:p>
            <w:pPr>
              <w:spacing w:after="40"/>
            </w:pPr>
            <w:r/>
            <w:r>
              <w:rPr>
                <w:b/>
                <w:color w:val="2F855A"/>
                <w:sz w:val="20"/>
              </w:rPr>
              <w:t>Deliverables produced with this runbook</w:t>
            </w:r>
          </w:p>
          <w:p>
            <w:pPr>
              <w:spacing w:after="0" w:line="252" w:lineRule="auto"/>
            </w:pPr>
            <w:r>
              <w:rPr>
                <w:color w:val="172B3A"/>
                <w:sz w:val="18"/>
              </w:rPr>
              <w:t>The package contains the main DOCX/PDF, a customer input template, an offline staging script, bastion preparation and preflight scripts, an optional Harbor installer, registry and Prism validation scripts, an adaptive NKP command renderer, post-deployment smoke tests, an evidence collector, an Ansible reference playbook, and a guarded cleanup helper.</w:t>
            </w:r>
          </w:p>
        </w:tc>
      </w:tr>
    </w:tbl>
    <w:p>
      <w:pPr>
        <w:spacing w:after="0"/>
      </w:pPr>
    </w:p>
    <w:p>
      <w:pPr>
        <w:pStyle w:val="Heading1"/>
        <w:keepNext/>
      </w:pPr>
      <w:r>
        <w:t>1. Scope, assumptions, and non-goals</w:t>
      </w:r>
    </w:p>
    <w:p>
      <w:pPr>
        <w:pStyle w:val="Heading2"/>
        <w:keepNext/>
      </w:pPr>
      <w:r>
        <w:t>1.1 In scope</w:t>
      </w:r>
    </w:p>
    <w:p>
      <w:pPr>
        <w:pStyle w:val="ListBullet"/>
        <w:ind w:left="312" w:hanging="142"/>
      </w:pPr>
      <w:r>
        <w:t>Freeze and collect the exact NKP 2.18.x artifacts needed for an AHV deployment.</w:t>
      </w:r>
    </w:p>
    <w:p>
      <w:pPr>
        <w:pStyle w:val="ListBullet"/>
        <w:ind w:left="312" w:hanging="142"/>
      </w:pPr>
      <w:r>
        <w:t>Build an Internet-connected transfer kit with checksums, a bill of materials, and offline operating-system dependencies.</w:t>
      </w:r>
    </w:p>
    <w:p>
      <w:pPr>
        <w:pStyle w:val="ListBullet"/>
        <w:ind w:left="312" w:hanging="142"/>
      </w:pPr>
      <w:r>
        <w:t>Create and harden a Linux x86_64 bastion VM inside the customer air-gapped network.</w:t>
      </w:r>
    </w:p>
    <w:p>
      <w:pPr>
        <w:pStyle w:val="ListBullet"/>
        <w:ind w:left="312" w:hanging="142"/>
      </w:pPr>
      <w:r>
        <w:t>Use an existing internal OCI registry or deploy Harbor on the bastion as a reference option.</w:t>
      </w:r>
    </w:p>
    <w:p>
      <w:pPr>
        <w:pStyle w:val="ListBullet"/>
        <w:ind w:left="312" w:hanging="142"/>
      </w:pPr>
      <w:r>
        <w:t>Establish certificate trust on the bastion, container runtime, registry, and NKP nodes.</w:t>
      </w:r>
    </w:p>
    <w:p>
      <w:pPr>
        <w:pStyle w:val="ListBullet"/>
        <w:ind w:left="312" w:hanging="142"/>
      </w:pPr>
      <w:r>
        <w:t>Validate Prism Central, AHV cluster, subnet, control-plane VIP, storage container, and qualified node image.</w:t>
      </w:r>
    </w:p>
    <w:p>
      <w:pPr>
        <w:pStyle w:val="ListBullet"/>
        <w:ind w:left="312" w:hanging="142"/>
      </w:pPr>
      <w:r>
        <w:t>Render and execute an NKP Nutanix cluster creation command only after release-specific CLI validation.</w:t>
      </w:r>
    </w:p>
    <w:p>
      <w:pPr>
        <w:pStyle w:val="ListBullet"/>
        <w:ind w:left="312" w:hanging="142"/>
      </w:pPr>
      <w:r>
        <w:t>Perform storage, DNS, service LoadBalancer, image-pull, node, and platform acceptance tests.</w:t>
      </w:r>
    </w:p>
    <w:p>
      <w:pPr>
        <w:pStyle w:val="ListBullet"/>
        <w:ind w:left="312" w:hanging="142"/>
      </w:pPr>
      <w:r>
        <w:t>Capture a redacted evidence pack and define safe recovery and offline upgrade procedures.</w:t>
      </w:r>
    </w:p>
    <w:p>
      <w:pPr>
        <w:pStyle w:val="Heading2"/>
        <w:keepNext/>
      </w:pPr>
      <w:r>
        <w:t>1.2 Assumptions to confirm</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381"/>
            <w:tcMar>
              <w:top w:w="70" w:type="dxa"/>
              <w:start w:w="90" w:type="dxa"/>
              <w:bottom w:w="70" w:type="dxa"/>
              <w:end w:w="90" w:type="dxa"/>
            </w:tcMar>
            <w:vAlign w:val="center"/>
            <w:shd w:fill="17324D"/>
          </w:tcPr>
          <w:p>
            <w:pPr>
              <w:spacing w:after="0" w:before="0"/>
            </w:pPr>
            <w:r/>
            <w:r>
              <w:rPr>
                <w:rFonts w:ascii="Aptos" w:hAnsi="Aptos"/>
                <w:b/>
                <w:color w:val="FFFFFF"/>
                <w:sz w:val="16"/>
              </w:rPr>
              <w:t>Assumption</w:t>
            </w:r>
          </w:p>
        </w:tc>
        <w:tc>
          <w:tcPr>
            <w:tcW w:type="dxa" w:w="7654"/>
            <w:tcMar>
              <w:top w:w="70" w:type="dxa"/>
              <w:start w:w="90" w:type="dxa"/>
              <w:bottom w:w="70" w:type="dxa"/>
              <w:end w:w="90" w:type="dxa"/>
            </w:tcMar>
            <w:vAlign w:val="center"/>
            <w:shd w:fill="17324D"/>
          </w:tcPr>
          <w:p>
            <w:pPr>
              <w:spacing w:after="0" w:before="0"/>
            </w:pPr>
            <w:r/>
            <w:r>
              <w:rPr>
                <w:rFonts w:ascii="Aptos" w:hAnsi="Aptos"/>
                <w:b/>
                <w:color w:val="FFFFFF"/>
                <w:sz w:val="16"/>
              </w:rPr>
              <w:t>Decision required before travel</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6"/>
              </w:rPr>
              <w:t>Target provider</w:t>
            </w:r>
          </w:p>
        </w:tc>
        <w:tc>
          <w:tcPr>
            <w:tcW w:type="dxa" w:w="7654"/>
            <w:tcMar>
              <w:top w:w="70" w:type="dxa"/>
              <w:start w:w="90" w:type="dxa"/>
              <w:bottom w:w="70" w:type="dxa"/>
              <w:end w:w="90" w:type="dxa"/>
            </w:tcMar>
            <w:vAlign w:val="center"/>
          </w:tcPr>
          <w:p>
            <w:pPr>
              <w:spacing w:after="0" w:before="0"/>
            </w:pPr>
            <w:r/>
            <w:r>
              <w:rPr>
                <w:rFonts w:ascii="Aptos" w:hAnsi="Aptos"/>
                <w:b w:val="0"/>
                <w:color w:val="172B3A"/>
                <w:sz w:val="16"/>
              </w:rPr>
              <w:t>Nutanix AHV using Prism Central. If the target is vSphere, AWS, Azure, or pre-provisioned nodes, replace the provider-specific sections.</w:t>
            </w:r>
          </w:p>
        </w:tc>
      </w:tr>
      <w:tr>
        <w:trPr>
          <w:cantSplit/>
        </w:trPr>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6"/>
              </w:rPr>
              <w:t>Release</w:t>
            </w:r>
          </w:p>
        </w:tc>
        <w:tc>
          <w:tcPr>
            <w:tcW w:type="dxa" w:w="7654"/>
            <w:tcMar>
              <w:top w:w="70" w:type="dxa"/>
              <w:start w:w="90" w:type="dxa"/>
              <w:bottom w:w="70" w:type="dxa"/>
              <w:end w:w="90" w:type="dxa"/>
            </w:tcMar>
            <w:vAlign w:val="center"/>
            <w:shd w:fill="F8FAFC"/>
          </w:tcPr>
          <w:p>
            <w:pPr>
              <w:spacing w:after="0" w:before="0"/>
            </w:pPr>
            <w:r/>
            <w:r>
              <w:rPr>
                <w:rFonts w:ascii="Aptos" w:hAnsi="Aptos"/>
                <w:b w:val="0"/>
                <w:color w:val="172B3A"/>
                <w:sz w:val="16"/>
              </w:rPr>
              <w:t>The supplied vendor guide is v2.18. Confirm the exact latest entitled 2.18.x patch/build in the Nutanix portal and use one consistent artifact set.</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6"/>
              </w:rPr>
              <w:t>Node image</w:t>
            </w:r>
          </w:p>
        </w:tc>
        <w:tc>
          <w:tcPr>
            <w:tcW w:type="dxa" w:w="7654"/>
            <w:tcMar>
              <w:top w:w="70" w:type="dxa"/>
              <w:start w:w="90" w:type="dxa"/>
              <w:bottom w:w="70" w:type="dxa"/>
              <w:end w:w="90" w:type="dxa"/>
            </w:tcMar>
            <w:vAlign w:val="center"/>
          </w:tcPr>
          <w:p>
            <w:pPr>
              <w:spacing w:after="0" w:before="0"/>
            </w:pPr>
            <w:r/>
            <w:r>
              <w:rPr>
                <w:rFonts w:ascii="Aptos" w:hAnsi="Aptos"/>
                <w:b w:val="0"/>
                <w:color w:val="172B3A"/>
                <w:sz w:val="16"/>
              </w:rPr>
              <w:t>Use the NKP-qualified Nutanix node image for the selected release/Kubernetes version. Do not reuse the bastion OS image as a node image.</w:t>
            </w:r>
          </w:p>
        </w:tc>
      </w:tr>
      <w:tr>
        <w:trPr>
          <w:cantSplit/>
        </w:trPr>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6"/>
              </w:rPr>
              <w:t>Addressing</w:t>
            </w:r>
          </w:p>
        </w:tc>
        <w:tc>
          <w:tcPr>
            <w:tcW w:type="dxa" w:w="7654"/>
            <w:tcMar>
              <w:top w:w="70" w:type="dxa"/>
              <w:start w:w="90" w:type="dxa"/>
              <w:bottom w:w="70" w:type="dxa"/>
              <w:end w:w="90" w:type="dxa"/>
            </w:tcMar>
            <w:vAlign w:val="center"/>
            <w:shd w:fill="F8FAFC"/>
          </w:tcPr>
          <w:p>
            <w:pPr>
              <w:spacing w:after="0" w:before="0"/>
            </w:pPr>
            <w:r/>
            <w:r>
              <w:rPr>
                <w:rFonts w:ascii="Aptos" w:hAnsi="Aptos"/>
                <w:b w:val="0"/>
                <w:color w:val="172B3A"/>
                <w:sz w:val="16"/>
              </w:rPr>
              <w:t>The NKP VM subnet has the addressing/IPAM method required by the release. VIP and service LoadBalancer addresses are reserved outside DHCP or other pools.</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6"/>
              </w:rPr>
              <w:t>Registry</w:t>
            </w:r>
          </w:p>
        </w:tc>
        <w:tc>
          <w:tcPr>
            <w:tcW w:type="dxa" w:w="7654"/>
            <w:tcMar>
              <w:top w:w="70" w:type="dxa"/>
              <w:start w:w="90" w:type="dxa"/>
              <w:bottom w:w="70" w:type="dxa"/>
              <w:end w:w="90" w:type="dxa"/>
            </w:tcMar>
            <w:vAlign w:val="center"/>
          </w:tcPr>
          <w:p>
            <w:pPr>
              <w:spacing w:after="0" w:before="0"/>
            </w:pPr>
            <w:r/>
            <w:r>
              <w:rPr>
                <w:rFonts w:ascii="Aptos" w:hAnsi="Aptos"/>
                <w:b w:val="0"/>
                <w:color w:val="172B3A"/>
                <w:sz w:val="16"/>
              </w:rPr>
              <w:t>A TLS-protected OCI registry is reachable from the bastion and every future NKP node. HTTP/insecure registry is not the production design.</w:t>
            </w:r>
          </w:p>
        </w:tc>
      </w:tr>
      <w:tr>
        <w:trPr>
          <w:cantSplit/>
        </w:trPr>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6"/>
              </w:rPr>
              <w:t>PKI</w:t>
            </w:r>
          </w:p>
        </w:tc>
        <w:tc>
          <w:tcPr>
            <w:tcW w:type="dxa" w:w="7654"/>
            <w:tcMar>
              <w:top w:w="70" w:type="dxa"/>
              <w:start w:w="90" w:type="dxa"/>
              <w:bottom w:w="70" w:type="dxa"/>
              <w:end w:w="90" w:type="dxa"/>
            </w:tcMar>
            <w:vAlign w:val="center"/>
            <w:shd w:fill="F8FAFC"/>
          </w:tcPr>
          <w:p>
            <w:pPr>
              <w:spacing w:after="0" w:before="0"/>
            </w:pPr>
            <w:r/>
            <w:r>
              <w:rPr>
                <w:rFonts w:ascii="Aptos" w:hAnsi="Aptos"/>
                <w:b w:val="0"/>
                <w:color w:val="172B3A"/>
                <w:sz w:val="16"/>
              </w:rPr>
              <w:t>Customer CA chains are available before deployment and certificates contain the exact DNS subject alternative names.</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6"/>
              </w:rPr>
              <w:t>Time</w:t>
            </w:r>
          </w:p>
        </w:tc>
        <w:tc>
          <w:tcPr>
            <w:tcW w:type="dxa" w:w="7654"/>
            <w:tcMar>
              <w:top w:w="70" w:type="dxa"/>
              <w:start w:w="90" w:type="dxa"/>
              <w:bottom w:w="70" w:type="dxa"/>
              <w:end w:w="90" w:type="dxa"/>
            </w:tcMar>
            <w:vAlign w:val="center"/>
          </w:tcPr>
          <w:p>
            <w:pPr>
              <w:spacing w:after="0" w:before="0"/>
            </w:pPr>
            <w:r/>
            <w:r>
              <w:rPr>
                <w:rFonts w:ascii="Aptos" w:hAnsi="Aptos"/>
                <w:b w:val="0"/>
                <w:color w:val="172B3A"/>
                <w:sz w:val="16"/>
              </w:rPr>
              <w:t>Bastion, Prism, registry, and nodes use internal NTP. Authentication and TLS can fail when clocks differ.</w:t>
            </w:r>
          </w:p>
        </w:tc>
      </w:tr>
      <w:tr>
        <w:trPr>
          <w:cantSplit/>
        </w:trPr>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6"/>
              </w:rPr>
              <w:t>Transfer</w:t>
            </w:r>
          </w:p>
        </w:tc>
        <w:tc>
          <w:tcPr>
            <w:tcW w:type="dxa" w:w="7654"/>
            <w:tcMar>
              <w:top w:w="70" w:type="dxa"/>
              <w:start w:w="90" w:type="dxa"/>
              <w:bottom w:w="70" w:type="dxa"/>
              <w:end w:w="90" w:type="dxa"/>
            </w:tcMar>
            <w:vAlign w:val="center"/>
            <w:shd w:fill="F8FAFC"/>
          </w:tcPr>
          <w:p>
            <w:pPr>
              <w:spacing w:after="0" w:before="0"/>
            </w:pPr>
            <w:r/>
            <w:r>
              <w:rPr>
                <w:rFonts w:ascii="Aptos" w:hAnsi="Aptos"/>
                <w:b w:val="0"/>
                <w:color w:val="172B3A"/>
                <w:sz w:val="16"/>
              </w:rPr>
              <w:t>The customer has an approved removable-media or transfer-gateway process, malware scanning, chain of custody, and sufficient capacity.</w:t>
            </w:r>
          </w:p>
        </w:tc>
      </w:tr>
    </w:tbl>
    <w:p>
      <w:pPr>
        <w:spacing w:after="0"/>
      </w:pPr>
    </w:p>
    <w:p>
      <w:pPr>
        <w:pStyle w:val="Heading2"/>
        <w:keepNext/>
      </w:pPr>
      <w:r>
        <w:t>1.3 Non-goals</w:t>
      </w:r>
    </w:p>
    <w:p>
      <w:pPr>
        <w:pStyle w:val="ListBullet"/>
        <w:ind w:left="312" w:hanging="142"/>
      </w:pPr>
      <w:r>
        <w:t>Designing the customer enterprise DNS, NTP, PKI, firewall, backup, SIEM, or identity platforms.</w:t>
      </w:r>
    </w:p>
    <w:p>
      <w:pPr>
        <w:pStyle w:val="ListBullet"/>
        <w:ind w:left="312" w:hanging="142"/>
      </w:pPr>
      <w:r>
        <w:t>Replacing the NKP compatibility matrix or release notes. This runbook adds operational controls around them.</w:t>
      </w:r>
    </w:p>
    <w:p>
      <w:pPr>
        <w:pStyle w:val="ListBullet"/>
        <w:ind w:left="312" w:hanging="142"/>
      </w:pPr>
      <w:r>
        <w:t>Automating a Nutanix Portal login or bypassing software entitlement requirements.</w:t>
      </w:r>
    </w:p>
    <w:p>
      <w:pPr>
        <w:pStyle w:val="ListBullet"/>
        <w:ind w:left="312" w:hanging="142"/>
      </w:pPr>
      <w:r>
        <w:t>Guessing a destructive cleanup action. The cleanup helper captures the installed CLI contract and remains dry-run until explicitly approved.</w:t>
      </w:r>
    </w:p>
    <w:p>
      <w:pPr>
        <w:pStyle w:val="Heading1"/>
        <w:keepNext/>
      </w:pPr>
      <w:r>
        <w:t>2. Analysis of the supplied documents</w:t>
      </w:r>
    </w:p>
    <w:p>
      <w:pPr>
        <w:pStyle w:val="Heading2"/>
        <w:keepNext/>
      </w:pPr>
      <w:r>
        <w:t>2.1 File inventory and intended use</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005"/>
            <w:tcMar>
              <w:top w:w="70" w:type="dxa"/>
              <w:start w:w="90" w:type="dxa"/>
              <w:bottom w:w="70" w:type="dxa"/>
              <w:end w:w="90" w:type="dxa"/>
            </w:tcMar>
            <w:vAlign w:val="center"/>
            <w:shd w:fill="17324D"/>
          </w:tcPr>
          <w:p>
            <w:pPr>
              <w:spacing w:after="0" w:before="0"/>
            </w:pPr>
            <w:r/>
            <w:r>
              <w:rPr>
                <w:rFonts w:ascii="Aptos" w:hAnsi="Aptos"/>
                <w:b/>
                <w:color w:val="FFFFFF"/>
                <w:sz w:val="16"/>
              </w:rPr>
              <w:t>Attachment</w:t>
            </w:r>
          </w:p>
        </w:tc>
        <w:tc>
          <w:tcPr>
            <w:tcW w:type="dxa" w:w="3798"/>
            <w:tcMar>
              <w:top w:w="70" w:type="dxa"/>
              <w:start w:w="90" w:type="dxa"/>
              <w:bottom w:w="70" w:type="dxa"/>
              <w:end w:w="90" w:type="dxa"/>
            </w:tcMar>
            <w:vAlign w:val="center"/>
            <w:shd w:fill="17324D"/>
          </w:tcPr>
          <w:p>
            <w:pPr>
              <w:spacing w:after="0" w:before="0"/>
            </w:pPr>
            <w:r/>
            <w:r>
              <w:rPr>
                <w:rFonts w:ascii="Aptos" w:hAnsi="Aptos"/>
                <w:b/>
                <w:color w:val="FFFFFF"/>
                <w:sz w:val="16"/>
              </w:rPr>
              <w:t>Use in this runbook</w:t>
            </w:r>
          </w:p>
        </w:tc>
        <w:tc>
          <w:tcPr>
            <w:tcW w:type="dxa" w:w="3231"/>
            <w:tcMar>
              <w:top w:w="70" w:type="dxa"/>
              <w:start w:w="90" w:type="dxa"/>
              <w:bottom w:w="70" w:type="dxa"/>
              <w:end w:w="90" w:type="dxa"/>
            </w:tcMar>
            <w:vAlign w:val="center"/>
            <w:shd w:fill="17324D"/>
          </w:tcPr>
          <w:p>
            <w:pPr>
              <w:spacing w:after="0" w:before="0"/>
            </w:pPr>
            <w:r/>
            <w:r>
              <w:rPr>
                <w:rFonts w:ascii="Aptos" w:hAnsi="Aptos"/>
                <w:b/>
                <w:color w:val="FFFFFF"/>
                <w:sz w:val="16"/>
              </w:rPr>
              <w:t>Assessment</w:t>
            </w:r>
          </w:p>
        </w:tc>
      </w:tr>
      <w:tr>
        <w:trPr>
          <w:cantSplit/>
        </w:trPr>
        <w:tc>
          <w:tcPr>
            <w:tcW w:type="dxa" w:w="3005"/>
            <w:tcMar>
              <w:top w:w="70" w:type="dxa"/>
              <w:start w:w="90" w:type="dxa"/>
              <w:bottom w:w="70" w:type="dxa"/>
              <w:end w:w="90" w:type="dxa"/>
            </w:tcMar>
            <w:vAlign w:val="center"/>
          </w:tcPr>
          <w:p>
            <w:pPr>
              <w:spacing w:after="0" w:before="0"/>
            </w:pPr>
            <w:r/>
            <w:r>
              <w:rPr>
                <w:rFonts w:ascii="Aptos" w:hAnsi="Aptos"/>
                <w:b w:val="0"/>
                <w:color w:val="172B3A"/>
                <w:sz w:val="16"/>
              </w:rPr>
              <w:t>NKP_Non_Airgapped_Cluster_Creation_Guide.docx</w:t>
            </w:r>
          </w:p>
        </w:tc>
        <w:tc>
          <w:tcPr>
            <w:tcW w:type="dxa" w:w="3798"/>
            <w:tcMar>
              <w:top w:w="70" w:type="dxa"/>
              <w:start w:w="90" w:type="dxa"/>
              <w:bottom w:w="70" w:type="dxa"/>
              <w:end w:w="90" w:type="dxa"/>
            </w:tcMar>
            <w:vAlign w:val="center"/>
          </w:tcPr>
          <w:p>
            <w:pPr>
              <w:spacing w:after="0" w:before="0"/>
            </w:pPr>
            <w:r/>
            <w:r>
              <w:rPr>
                <w:rFonts w:ascii="Aptos" w:hAnsi="Aptos"/>
                <w:b w:val="0"/>
                <w:color w:val="172B3A"/>
                <w:sz w:val="16"/>
              </w:rPr>
              <w:t>Base Nutanix cluster-creation workflow, parameters, and operator sequencing.</w:t>
            </w:r>
          </w:p>
        </w:tc>
        <w:tc>
          <w:tcPr>
            <w:tcW w:type="dxa" w:w="3231"/>
            <w:tcMar>
              <w:top w:w="70" w:type="dxa"/>
              <w:start w:w="90" w:type="dxa"/>
              <w:bottom w:w="70" w:type="dxa"/>
              <w:end w:w="90" w:type="dxa"/>
            </w:tcMar>
            <w:vAlign w:val="center"/>
          </w:tcPr>
          <w:p>
            <w:pPr>
              <w:spacing w:after="0" w:before="0"/>
            </w:pPr>
            <w:r/>
            <w:r>
              <w:rPr>
                <w:rFonts w:ascii="Aptos" w:hAnsi="Aptos"/>
                <w:b w:val="0"/>
                <w:color w:val="172B3A"/>
                <w:sz w:val="16"/>
              </w:rPr>
              <w:t>Treat as non-air-gapped baseline. Add all staging, transfer, registry, trust, offline package, and evidence phases in this document.</w:t>
            </w:r>
          </w:p>
        </w:tc>
      </w:tr>
      <w:tr>
        <w:trPr>
          <w:cantSplit/>
        </w:trPr>
        <w:tc>
          <w:tcPr>
            <w:tcW w:type="dxa" w:w="3005"/>
            <w:tcMar>
              <w:top w:w="70" w:type="dxa"/>
              <w:start w:w="90" w:type="dxa"/>
              <w:bottom w:w="70" w:type="dxa"/>
              <w:end w:w="90" w:type="dxa"/>
            </w:tcMar>
            <w:vAlign w:val="center"/>
            <w:shd w:fill="F8FAFC"/>
          </w:tcPr>
          <w:p>
            <w:pPr>
              <w:spacing w:after="0" w:before="0"/>
            </w:pPr>
            <w:r/>
            <w:r>
              <w:rPr>
                <w:rFonts w:ascii="Aptos" w:hAnsi="Aptos"/>
                <w:b w:val="0"/>
                <w:color w:val="172B3A"/>
                <w:sz w:val="16"/>
              </w:rPr>
              <w:t>Nutanix-Kubernetes-Platform-v2_18 (1).pdf</w:t>
            </w:r>
          </w:p>
        </w:tc>
        <w:tc>
          <w:tcPr>
            <w:tcW w:type="dxa" w:w="3798"/>
            <w:tcMar>
              <w:top w:w="70" w:type="dxa"/>
              <w:start w:w="90" w:type="dxa"/>
              <w:bottom w:w="70" w:type="dxa"/>
              <w:end w:w="90" w:type="dxa"/>
            </w:tcMar>
            <w:vAlign w:val="center"/>
            <w:shd w:fill="F8FAFC"/>
          </w:tcPr>
          <w:p>
            <w:pPr>
              <w:spacing w:after="0" w:before="0"/>
            </w:pPr>
            <w:r/>
            <w:r>
              <w:rPr>
                <w:rFonts w:ascii="Aptos" w:hAnsi="Aptos"/>
                <w:b w:val="0"/>
                <w:color w:val="172B3A"/>
                <w:sz w:val="16"/>
              </w:rPr>
              <w:t>Release-family vendor reference for supported behavior, CLI, prerequisites, and lifecycle.</w:t>
            </w:r>
          </w:p>
        </w:tc>
        <w:tc>
          <w:tcPr>
            <w:tcW w:type="dxa" w:w="3231"/>
            <w:tcMar>
              <w:top w:w="70" w:type="dxa"/>
              <w:start w:w="90" w:type="dxa"/>
              <w:bottom w:w="70" w:type="dxa"/>
              <w:end w:w="90" w:type="dxa"/>
            </w:tcMar>
            <w:vAlign w:val="center"/>
            <w:shd w:fill="F8FAFC"/>
          </w:tcPr>
          <w:p>
            <w:pPr>
              <w:spacing w:after="0" w:before="0"/>
            </w:pPr>
            <w:r/>
            <w:r>
              <w:rPr>
                <w:rFonts w:ascii="Aptos" w:hAnsi="Aptos"/>
                <w:b w:val="0"/>
                <w:color w:val="172B3A"/>
                <w:sz w:val="16"/>
              </w:rPr>
              <w:t>Use as the release baseline. Exact patch behavior must still be confirmed from the installed CLI and current portal release notes.</w:t>
            </w:r>
          </w:p>
        </w:tc>
      </w:tr>
    </w:tbl>
    <w:p>
      <w:pPr>
        <w:spacing w:after="0"/>
      </w:pPr>
    </w:p>
    <w:p>
      <w:pPr>
        <w:pStyle w:val="Heading2"/>
        <w:keepNext/>
      </w:pPr>
      <w:r>
        <w:t>2.2 Automated content coverage scan</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948"/>
            <w:tcMar>
              <w:top w:w="70" w:type="dxa"/>
              <w:start w:w="90" w:type="dxa"/>
              <w:bottom w:w="70" w:type="dxa"/>
              <w:end w:w="90" w:type="dxa"/>
            </w:tcMar>
            <w:vAlign w:val="center"/>
            <w:shd w:fill="17324D"/>
          </w:tcPr>
          <w:p>
            <w:pPr>
              <w:spacing w:after="0" w:before="0"/>
            </w:pPr>
            <w:r/>
            <w:r>
              <w:rPr>
                <w:rFonts w:ascii="Aptos" w:hAnsi="Aptos"/>
                <w:b/>
                <w:color w:val="FFFFFF"/>
                <w:sz w:val="15"/>
              </w:rPr>
              <w:t>Control area</w:t>
            </w:r>
          </w:p>
        </w:tc>
        <w:tc>
          <w:tcPr>
            <w:tcW w:type="dxa" w:w="2268"/>
            <w:tcMar>
              <w:top w:w="70" w:type="dxa"/>
              <w:start w:w="90" w:type="dxa"/>
              <w:bottom w:w="70" w:type="dxa"/>
              <w:end w:w="90" w:type="dxa"/>
            </w:tcMar>
            <w:vAlign w:val="center"/>
            <w:shd w:fill="17324D"/>
          </w:tcPr>
          <w:p>
            <w:pPr>
              <w:spacing w:after="0" w:before="0"/>
            </w:pPr>
            <w:r/>
            <w:r>
              <w:rPr>
                <w:rFonts w:ascii="Aptos" w:hAnsi="Aptos"/>
                <w:b/>
                <w:color w:val="FFFFFF"/>
                <w:sz w:val="15"/>
              </w:rPr>
              <w:t>Supplied DOCX scan</w:t>
            </w:r>
          </w:p>
        </w:tc>
        <w:tc>
          <w:tcPr>
            <w:tcW w:type="dxa" w:w="2268"/>
            <w:tcMar>
              <w:top w:w="70" w:type="dxa"/>
              <w:start w:w="90" w:type="dxa"/>
              <w:bottom w:w="70" w:type="dxa"/>
              <w:end w:w="90" w:type="dxa"/>
            </w:tcMar>
            <w:vAlign w:val="center"/>
            <w:shd w:fill="17324D"/>
          </w:tcPr>
          <w:p>
            <w:pPr>
              <w:spacing w:after="0" w:before="0"/>
            </w:pPr>
            <w:r/>
            <w:r>
              <w:rPr>
                <w:rFonts w:ascii="Aptos" w:hAnsi="Aptos"/>
                <w:b/>
                <w:color w:val="FFFFFF"/>
                <w:sz w:val="15"/>
              </w:rPr>
              <w:t>Supplied PDF scan</w:t>
            </w:r>
          </w:p>
        </w:tc>
        <w:tc>
          <w:tcPr>
            <w:tcW w:type="dxa" w:w="2551"/>
            <w:tcMar>
              <w:top w:w="70" w:type="dxa"/>
              <w:start w:w="90" w:type="dxa"/>
              <w:bottom w:w="70" w:type="dxa"/>
              <w:end w:w="90" w:type="dxa"/>
            </w:tcMar>
            <w:vAlign w:val="center"/>
            <w:shd w:fill="17324D"/>
          </w:tcPr>
          <w:p>
            <w:pPr>
              <w:spacing w:after="0" w:before="0"/>
            </w:pPr>
            <w:r/>
            <w:r>
              <w:rPr>
                <w:rFonts w:ascii="Aptos" w:hAnsi="Aptos"/>
                <w:b/>
                <w:color w:val="FFFFFF"/>
                <w:sz w:val="15"/>
              </w:rPr>
              <w:t>Disposition</w:t>
            </w:r>
          </w:p>
        </w:tc>
      </w:tr>
      <w:tr>
        <w:trPr>
          <w:cantSplit/>
        </w:trPr>
        <w:tc>
          <w:tcPr>
            <w:tcW w:type="dxa" w:w="2948"/>
            <w:tcMar>
              <w:top w:w="70" w:type="dxa"/>
              <w:start w:w="90" w:type="dxa"/>
              <w:bottom w:w="70" w:type="dxa"/>
              <w:end w:w="90" w:type="dxa"/>
            </w:tcMar>
            <w:vAlign w:val="center"/>
          </w:tcPr>
          <w:p>
            <w:pPr>
              <w:spacing w:after="0" w:before="0"/>
            </w:pPr>
            <w:r/>
            <w:r>
              <w:rPr>
                <w:rFonts w:ascii="Aptos" w:hAnsi="Aptos"/>
                <w:b w:val="0"/>
                <w:color w:val="172B3A"/>
                <w:sz w:val="15"/>
              </w:rPr>
              <w:t>Air-gap/offline workflow</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Mentioned (2)</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Strong mention (773)</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5"/>
              </w:rPr>
              <w:t>Runbook explicitly covers this control.</w:t>
            </w:r>
          </w:p>
        </w:tc>
      </w:tr>
      <w:tr>
        <w:trPr>
          <w:cantSplit/>
        </w:trPr>
        <w:tc>
          <w:tcPr>
            <w:tcW w:type="dxa" w:w="2948"/>
            <w:tcMar>
              <w:top w:w="70" w:type="dxa"/>
              <w:start w:w="90" w:type="dxa"/>
              <w:bottom w:w="70" w:type="dxa"/>
              <w:end w:w="90" w:type="dxa"/>
            </w:tcMar>
            <w:vAlign w:val="center"/>
            <w:shd w:fill="F8FAFC"/>
          </w:tcPr>
          <w:p>
            <w:pPr>
              <w:spacing w:after="0" w:before="0"/>
            </w:pPr>
            <w:r/>
            <w:r>
              <w:rPr>
                <w:rFonts w:ascii="Aptos" w:hAnsi="Aptos"/>
                <w:b w:val="0"/>
                <w:color w:val="172B3A"/>
                <w:sz w:val="15"/>
              </w:rPr>
              <w:t>Bastion/bootstrap host</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Strong mention (9)</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Strong mention (202)</w:t>
            </w:r>
          </w:p>
        </w:tc>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Runbook explicitly covers this control.</w:t>
            </w:r>
          </w:p>
        </w:tc>
      </w:tr>
      <w:tr>
        <w:trPr>
          <w:cantSplit/>
        </w:trPr>
        <w:tc>
          <w:tcPr>
            <w:tcW w:type="dxa" w:w="2948"/>
            <w:tcMar>
              <w:top w:w="70" w:type="dxa"/>
              <w:start w:w="90" w:type="dxa"/>
              <w:bottom w:w="70" w:type="dxa"/>
              <w:end w:w="90" w:type="dxa"/>
            </w:tcMar>
            <w:vAlign w:val="center"/>
          </w:tcPr>
          <w:p>
            <w:pPr>
              <w:spacing w:after="0" w:before="0"/>
            </w:pPr>
            <w:r/>
            <w:r>
              <w:rPr>
                <w:rFonts w:ascii="Aptos" w:hAnsi="Aptos"/>
                <w:b w:val="0"/>
                <w:color w:val="172B3A"/>
                <w:sz w:val="15"/>
              </w:rPr>
              <w:t>Private registry/mirror</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Not detected (0)</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Strong mention (1705)</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5"/>
              </w:rPr>
              <w:t>Runbook explicitly covers this control.</w:t>
            </w:r>
          </w:p>
        </w:tc>
      </w:tr>
      <w:tr>
        <w:trPr>
          <w:cantSplit/>
        </w:trPr>
        <w:tc>
          <w:tcPr>
            <w:tcW w:type="dxa" w:w="2948"/>
            <w:tcMar>
              <w:top w:w="70" w:type="dxa"/>
              <w:start w:w="90" w:type="dxa"/>
              <w:bottom w:w="70" w:type="dxa"/>
              <w:end w:w="90" w:type="dxa"/>
            </w:tcMar>
            <w:vAlign w:val="center"/>
            <w:shd w:fill="F8FAFC"/>
          </w:tcPr>
          <w:p>
            <w:pPr>
              <w:spacing w:after="0" w:before="0"/>
            </w:pPr>
            <w:r/>
            <w:r>
              <w:rPr>
                <w:rFonts w:ascii="Aptos" w:hAnsi="Aptos"/>
                <w:b w:val="0"/>
                <w:color w:val="172B3A"/>
                <w:sz w:val="15"/>
              </w:rPr>
              <w:t>Bundle import/push</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Not detected (0)</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Strong mention (651)</w:t>
            </w:r>
          </w:p>
        </w:tc>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Runbook explicitly covers this control.</w:t>
            </w:r>
          </w:p>
        </w:tc>
      </w:tr>
      <w:tr>
        <w:trPr>
          <w:cantSplit/>
        </w:trPr>
        <w:tc>
          <w:tcPr>
            <w:tcW w:type="dxa" w:w="2948"/>
            <w:tcMar>
              <w:top w:w="70" w:type="dxa"/>
              <w:start w:w="90" w:type="dxa"/>
              <w:bottom w:w="70" w:type="dxa"/>
              <w:end w:w="90" w:type="dxa"/>
            </w:tcMar>
            <w:vAlign w:val="center"/>
          </w:tcPr>
          <w:p>
            <w:pPr>
              <w:spacing w:after="0" w:before="0"/>
            </w:pPr>
            <w:r/>
            <w:r>
              <w:rPr>
                <w:rFonts w:ascii="Aptos" w:hAnsi="Aptos"/>
                <w:b w:val="0"/>
                <w:color w:val="172B3A"/>
                <w:sz w:val="15"/>
              </w:rPr>
              <w:t>TLS and CA trust</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Not detected (0)</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Strong mention (631)</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5"/>
              </w:rPr>
              <w:t>Runbook explicitly covers this control.</w:t>
            </w:r>
          </w:p>
        </w:tc>
      </w:tr>
      <w:tr>
        <w:trPr>
          <w:cantSplit/>
        </w:trPr>
        <w:tc>
          <w:tcPr>
            <w:tcW w:type="dxa" w:w="2948"/>
            <w:tcMar>
              <w:top w:w="70" w:type="dxa"/>
              <w:start w:w="90" w:type="dxa"/>
              <w:bottom w:w="70" w:type="dxa"/>
              <w:end w:w="90" w:type="dxa"/>
            </w:tcMar>
            <w:vAlign w:val="center"/>
            <w:shd w:fill="F8FAFC"/>
          </w:tcPr>
          <w:p>
            <w:pPr>
              <w:spacing w:after="0" w:before="0"/>
            </w:pPr>
            <w:r/>
            <w:r>
              <w:rPr>
                <w:rFonts w:ascii="Aptos" w:hAnsi="Aptos"/>
                <w:b w:val="0"/>
                <w:color w:val="172B3A"/>
                <w:sz w:val="15"/>
              </w:rPr>
              <w:t>DNS and NTP</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Not detected (0)</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Strong mention (315)</w:t>
            </w:r>
          </w:p>
        </w:tc>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Runbook explicitly covers this control.</w:t>
            </w:r>
          </w:p>
        </w:tc>
      </w:tr>
      <w:tr>
        <w:trPr>
          <w:cantSplit/>
        </w:trPr>
        <w:tc>
          <w:tcPr>
            <w:tcW w:type="dxa" w:w="2948"/>
            <w:tcMar>
              <w:top w:w="70" w:type="dxa"/>
              <w:start w:w="90" w:type="dxa"/>
              <w:bottom w:w="70" w:type="dxa"/>
              <w:end w:w="90" w:type="dxa"/>
            </w:tcMar>
            <w:vAlign w:val="center"/>
          </w:tcPr>
          <w:p>
            <w:pPr>
              <w:spacing w:after="0" w:before="0"/>
            </w:pPr>
            <w:r/>
            <w:r>
              <w:rPr>
                <w:rFonts w:ascii="Aptos" w:hAnsi="Aptos"/>
                <w:b w:val="0"/>
                <w:color w:val="172B3A"/>
                <w:sz w:val="15"/>
              </w:rPr>
              <w:t>Checksums/signatures</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Not detected (0)</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Strong mention (25)</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5"/>
              </w:rPr>
              <w:t>Runbook explicitly covers this control.</w:t>
            </w:r>
          </w:p>
        </w:tc>
      </w:tr>
      <w:tr>
        <w:trPr>
          <w:cantSplit/>
        </w:trPr>
        <w:tc>
          <w:tcPr>
            <w:tcW w:type="dxa" w:w="2948"/>
            <w:tcMar>
              <w:top w:w="70" w:type="dxa"/>
              <w:start w:w="90" w:type="dxa"/>
              <w:bottom w:w="70" w:type="dxa"/>
              <w:end w:w="90" w:type="dxa"/>
            </w:tcMar>
            <w:vAlign w:val="center"/>
            <w:shd w:fill="F8FAFC"/>
          </w:tcPr>
          <w:p>
            <w:pPr>
              <w:spacing w:after="0" w:before="0"/>
            </w:pPr>
            <w:r/>
            <w:r>
              <w:rPr>
                <w:rFonts w:ascii="Aptos" w:hAnsi="Aptos"/>
                <w:b w:val="0"/>
                <w:color w:val="172B3A"/>
                <w:sz w:val="15"/>
              </w:rPr>
              <w:t>Prism/AHV integration</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Strong mention (13)</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Strong mention (256)</w:t>
            </w:r>
          </w:p>
        </w:tc>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Runbook explicitly covers this control.</w:t>
            </w:r>
          </w:p>
        </w:tc>
      </w:tr>
      <w:tr>
        <w:trPr>
          <w:cantSplit/>
        </w:trPr>
        <w:tc>
          <w:tcPr>
            <w:tcW w:type="dxa" w:w="2948"/>
            <w:tcMar>
              <w:top w:w="70" w:type="dxa"/>
              <w:start w:w="90" w:type="dxa"/>
              <w:bottom w:w="70" w:type="dxa"/>
              <w:end w:w="90" w:type="dxa"/>
            </w:tcMar>
            <w:vAlign w:val="center"/>
          </w:tcPr>
          <w:p>
            <w:pPr>
              <w:spacing w:after="0" w:before="0"/>
            </w:pPr>
            <w:r/>
            <w:r>
              <w:rPr>
                <w:rFonts w:ascii="Aptos" w:hAnsi="Aptos"/>
                <w:b w:val="0"/>
                <w:color w:val="172B3A"/>
                <w:sz w:val="15"/>
              </w:rPr>
              <w:t>NKP CLI commands</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Not detected (0)</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Strong mention (304)</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5"/>
              </w:rPr>
              <w:t>Runbook explicitly covers this control.</w:t>
            </w:r>
          </w:p>
        </w:tc>
      </w:tr>
      <w:tr>
        <w:trPr>
          <w:cantSplit/>
        </w:trPr>
        <w:tc>
          <w:tcPr>
            <w:tcW w:type="dxa" w:w="2948"/>
            <w:tcMar>
              <w:top w:w="70" w:type="dxa"/>
              <w:start w:w="90" w:type="dxa"/>
              <w:bottom w:w="70" w:type="dxa"/>
              <w:end w:w="90" w:type="dxa"/>
            </w:tcMar>
            <w:vAlign w:val="center"/>
            <w:shd w:fill="F8FAFC"/>
          </w:tcPr>
          <w:p>
            <w:pPr>
              <w:spacing w:after="0" w:before="0"/>
            </w:pPr>
            <w:r/>
            <w:r>
              <w:rPr>
                <w:rFonts w:ascii="Aptos" w:hAnsi="Aptos"/>
                <w:b w:val="0"/>
                <w:color w:val="172B3A"/>
                <w:sz w:val="15"/>
              </w:rPr>
              <w:t>Rollback/cleanup</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Not detected (0)</w:t>
            </w:r>
          </w:p>
        </w:tc>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Strong mention (64)</w:t>
            </w:r>
          </w:p>
        </w:tc>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Runbook explicitly covers this control.</w:t>
            </w:r>
          </w:p>
        </w:tc>
      </w:tr>
      <w:tr>
        <w:trPr>
          <w:cantSplit/>
        </w:trPr>
        <w:tc>
          <w:tcPr>
            <w:tcW w:type="dxa" w:w="2948"/>
            <w:tcMar>
              <w:top w:w="70" w:type="dxa"/>
              <w:start w:w="90" w:type="dxa"/>
              <w:bottom w:w="70" w:type="dxa"/>
              <w:end w:w="90" w:type="dxa"/>
            </w:tcMar>
            <w:vAlign w:val="center"/>
          </w:tcPr>
          <w:p>
            <w:pPr>
              <w:spacing w:after="0" w:before="0"/>
            </w:pPr>
            <w:r/>
            <w:r>
              <w:rPr>
                <w:rFonts w:ascii="Aptos" w:hAnsi="Aptos"/>
                <w:b w:val="0"/>
                <w:color w:val="172B3A"/>
                <w:sz w:val="15"/>
              </w:rPr>
              <w:t>Post-deployment validation</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Strong mention (13)</w:t>
            </w:r>
          </w:p>
        </w:tc>
        <w:tc>
          <w:tcPr>
            <w:tcW w:type="dxa" w:w="2268"/>
            <w:tcMar>
              <w:top w:w="70" w:type="dxa"/>
              <w:start w:w="90" w:type="dxa"/>
              <w:bottom w:w="70" w:type="dxa"/>
              <w:end w:w="90" w:type="dxa"/>
            </w:tcMar>
            <w:vAlign w:val="center"/>
          </w:tcPr>
          <w:p>
            <w:pPr>
              <w:spacing w:after="0" w:before="0"/>
            </w:pPr>
            <w:r/>
            <w:r>
              <w:rPr>
                <w:rFonts w:ascii="Aptos" w:hAnsi="Aptos"/>
                <w:b w:val="0"/>
                <w:color w:val="172B3A"/>
                <w:sz w:val="15"/>
              </w:rPr>
              <w:t>Strong mention (411)</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5"/>
              </w:rPr>
              <w:t>Runbook explicitly covers this control.</w:t>
            </w:r>
          </w:p>
        </w:tc>
      </w:tr>
    </w:tbl>
    <w:p>
      <w:pPr>
        <w:spacing w:after="0"/>
      </w:pPr>
    </w:p>
    <w:p>
      <w:pPr>
        <w:spacing w:after="120" w:line="259" w:lineRule="auto"/>
      </w:pPr>
      <w:r>
        <w:t>The scan is a keyword-based completeness aid, not a substitute for reading the vendor guide. It is included to prevent a non-air-gapped cluster procedure from being mistaken for a complete offline site-preparation plan.</w:t>
      </w:r>
    </w:p>
    <w:p>
      <w:pPr>
        <w:pStyle w:val="Heading2"/>
        <w:keepNext/>
      </w:pPr>
      <w:r>
        <w:t>2.3 Relevant locations in the supplied v2.18 PDF</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3402"/>
            <w:tcMar>
              <w:top w:w="70" w:type="dxa"/>
              <w:start w:w="90" w:type="dxa"/>
              <w:bottom w:w="70" w:type="dxa"/>
              <w:end w:w="90" w:type="dxa"/>
            </w:tcMar>
            <w:vAlign w:val="center"/>
            <w:shd w:fill="17324D"/>
          </w:tcPr>
          <w:p>
            <w:pPr>
              <w:spacing w:after="0" w:before="0"/>
            </w:pPr>
            <w:r/>
            <w:r>
              <w:rPr>
                <w:rFonts w:ascii="Aptos" w:hAnsi="Aptos"/>
                <w:b/>
                <w:color w:val="FFFFFF"/>
                <w:sz w:val="16"/>
              </w:rPr>
              <w:t>Search term</w:t>
            </w:r>
          </w:p>
        </w:tc>
        <w:tc>
          <w:tcPr>
            <w:tcW w:type="dxa" w:w="6520"/>
            <w:tcMar>
              <w:top w:w="70" w:type="dxa"/>
              <w:start w:w="90" w:type="dxa"/>
              <w:bottom w:w="70" w:type="dxa"/>
              <w:end w:w="90" w:type="dxa"/>
            </w:tcMar>
            <w:vAlign w:val="center"/>
            <w:shd w:fill="17324D"/>
          </w:tcPr>
          <w:p>
            <w:pPr>
              <w:spacing w:after="0" w:before="0"/>
            </w:pPr>
            <w:r/>
            <w:r>
              <w:rPr>
                <w:rFonts w:ascii="Aptos" w:hAnsi="Aptos"/>
                <w:b/>
                <w:color w:val="FFFFFF"/>
                <w:sz w:val="16"/>
              </w:rPr>
              <w:t>PDF pages detected</w:t>
            </w:r>
          </w:p>
        </w:tc>
      </w:tr>
      <w:tr>
        <w:trPr>
          <w:cantSplit/>
        </w:trPr>
        <w:tc>
          <w:tcPr>
            <w:tcW w:type="dxa" w:w="3402"/>
            <w:tcMar>
              <w:top w:w="70" w:type="dxa"/>
              <w:start w:w="90" w:type="dxa"/>
              <w:bottom w:w="70" w:type="dxa"/>
              <w:end w:w="90" w:type="dxa"/>
            </w:tcMar>
            <w:vAlign w:val="center"/>
          </w:tcPr>
          <w:p>
            <w:pPr>
              <w:spacing w:after="0" w:before="0"/>
            </w:pPr>
            <w:r/>
            <w:r>
              <w:rPr>
                <w:rFonts w:ascii="Aptos" w:hAnsi="Aptos"/>
                <w:b w:val="0"/>
                <w:color w:val="172B3A"/>
                <w:sz w:val="16"/>
              </w:rPr>
              <w:t>air-gapped</w:t>
            </w:r>
          </w:p>
        </w:tc>
        <w:tc>
          <w:tcPr>
            <w:tcW w:type="dxa" w:w="6520"/>
            <w:tcMar>
              <w:top w:w="70" w:type="dxa"/>
              <w:start w:w="90" w:type="dxa"/>
              <w:bottom w:w="70" w:type="dxa"/>
              <w:end w:w="90" w:type="dxa"/>
            </w:tcMar>
            <w:vAlign w:val="center"/>
          </w:tcPr>
          <w:p>
            <w:pPr>
              <w:spacing w:after="0" w:before="0"/>
            </w:pPr>
            <w:r/>
            <w:r>
              <w:rPr>
                <w:rFonts w:ascii="Aptos" w:hAnsi="Aptos"/>
                <w:b w:val="0"/>
                <w:color w:val="172B3A"/>
                <w:sz w:val="16"/>
              </w:rPr>
              <w:t>2, 3, 6, 7, 8, 11, 16, 17, 18, 19, 22, 23, 24, 25, 27, 45, 47, 49, 50, 51, 55, 56, 57, 58, 59, 62, 63, 68, 69, 71 …</w:t>
            </w:r>
          </w:p>
        </w:tc>
      </w:tr>
      <w:tr>
        <w:trPr>
          <w:cantSplit/>
        </w:trPr>
        <w:tc>
          <w:tcPr>
            <w:tcW w:type="dxa" w:w="3402"/>
            <w:tcMar>
              <w:top w:w="70" w:type="dxa"/>
              <w:start w:w="90" w:type="dxa"/>
              <w:bottom w:w="70" w:type="dxa"/>
              <w:end w:w="90" w:type="dxa"/>
            </w:tcMar>
            <w:vAlign w:val="center"/>
            <w:shd w:fill="F8FAFC"/>
          </w:tcPr>
          <w:p>
            <w:pPr>
              <w:spacing w:after="0" w:before="0"/>
            </w:pPr>
            <w:r/>
            <w:r>
              <w:rPr>
                <w:rFonts w:ascii="Aptos" w:hAnsi="Aptos"/>
                <w:b w:val="0"/>
                <w:color w:val="172B3A"/>
                <w:sz w:val="16"/>
              </w:rPr>
              <w:t>airgap</w:t>
            </w:r>
          </w:p>
        </w:tc>
        <w:tc>
          <w:tcPr>
            <w:tcW w:type="dxa" w:w="6520"/>
            <w:tcMar>
              <w:top w:w="70" w:type="dxa"/>
              <w:start w:w="90" w:type="dxa"/>
              <w:bottom w:w="70" w:type="dxa"/>
              <w:end w:w="90" w:type="dxa"/>
            </w:tcMar>
            <w:vAlign w:val="center"/>
            <w:shd w:fill="F8FAFC"/>
          </w:tcPr>
          <w:p>
            <w:pPr>
              <w:spacing w:after="0" w:before="0"/>
            </w:pPr>
            <w:r/>
            <w:r>
              <w:rPr>
                <w:rFonts w:ascii="Aptos" w:hAnsi="Aptos"/>
                <w:b w:val="0"/>
                <w:color w:val="172B3A"/>
                <w:sz w:val="16"/>
              </w:rPr>
              <w:t>62, 101, 340, 353, 357, 374, 378, 667, 689, 697, 698, 758, 768, 778, 886, 888, 889, 891, 901, 905, 956, 957, 1055, 1056</w:t>
            </w:r>
          </w:p>
        </w:tc>
      </w:tr>
      <w:tr>
        <w:trPr>
          <w:cantSplit/>
        </w:trPr>
        <w:tc>
          <w:tcPr>
            <w:tcW w:type="dxa" w:w="3402"/>
            <w:tcMar>
              <w:top w:w="70" w:type="dxa"/>
              <w:start w:w="90" w:type="dxa"/>
              <w:bottom w:w="70" w:type="dxa"/>
              <w:end w:w="90" w:type="dxa"/>
            </w:tcMar>
            <w:vAlign w:val="center"/>
          </w:tcPr>
          <w:p>
            <w:pPr>
              <w:spacing w:after="0" w:before="0"/>
            </w:pPr>
            <w:r/>
            <w:r>
              <w:rPr>
                <w:rFonts w:ascii="Aptos" w:hAnsi="Aptos"/>
                <w:b w:val="0"/>
                <w:color w:val="172B3A"/>
                <w:sz w:val="16"/>
              </w:rPr>
              <w:t>registry mirror</w:t>
            </w:r>
          </w:p>
        </w:tc>
        <w:tc>
          <w:tcPr>
            <w:tcW w:type="dxa" w:w="6520"/>
            <w:tcMar>
              <w:top w:w="70" w:type="dxa"/>
              <w:start w:w="90" w:type="dxa"/>
              <w:bottom w:w="70" w:type="dxa"/>
              <w:end w:w="90" w:type="dxa"/>
            </w:tcMar>
            <w:vAlign w:val="center"/>
          </w:tcPr>
          <w:p>
            <w:pPr>
              <w:spacing w:after="0" w:before="0"/>
            </w:pPr>
            <w:r/>
            <w:r>
              <w:rPr>
                <w:rFonts w:ascii="Aptos" w:hAnsi="Aptos"/>
                <w:b w:val="0"/>
                <w:color w:val="172B3A"/>
                <w:sz w:val="16"/>
              </w:rPr>
              <w:t>5, 6, 7, 23, 24, 51, 92, 97, 123, 127, 154, 182, 283, 284, 286, 340, 407, 418, 419, 653, 654, 656, 657, 667, 687, 688, 689, 691, 696, 697 …</w:t>
            </w:r>
          </w:p>
        </w:tc>
      </w:tr>
      <w:tr>
        <w:trPr>
          <w:cantSplit/>
        </w:trPr>
        <w:tc>
          <w:tcPr>
            <w:tcW w:type="dxa" w:w="3402"/>
            <w:tcMar>
              <w:top w:w="70" w:type="dxa"/>
              <w:start w:w="90" w:type="dxa"/>
              <w:bottom w:w="70" w:type="dxa"/>
              <w:end w:w="90" w:type="dxa"/>
            </w:tcMar>
            <w:vAlign w:val="center"/>
            <w:shd w:fill="F8FAFC"/>
          </w:tcPr>
          <w:p>
            <w:pPr>
              <w:spacing w:after="0" w:before="0"/>
            </w:pPr>
            <w:r/>
            <w:r>
              <w:rPr>
                <w:rFonts w:ascii="Aptos" w:hAnsi="Aptos"/>
                <w:b w:val="0"/>
                <w:color w:val="172B3A"/>
                <w:sz w:val="16"/>
              </w:rPr>
              <w:t>push bundle</w:t>
            </w:r>
          </w:p>
        </w:tc>
        <w:tc>
          <w:tcPr>
            <w:tcW w:type="dxa" w:w="6520"/>
            <w:tcMar>
              <w:top w:w="70" w:type="dxa"/>
              <w:start w:w="90" w:type="dxa"/>
              <w:bottom w:w="70" w:type="dxa"/>
              <w:end w:w="90" w:type="dxa"/>
            </w:tcMar>
            <w:vAlign w:val="center"/>
            <w:shd w:fill="F8FAFC"/>
          </w:tcPr>
          <w:p>
            <w:pPr>
              <w:spacing w:after="0" w:before="0"/>
            </w:pPr>
            <w:r/>
            <w:r>
              <w:rPr>
                <w:rFonts w:ascii="Aptos" w:hAnsi="Aptos"/>
                <w:b w:val="0"/>
                <w:color w:val="172B3A"/>
                <w:sz w:val="16"/>
              </w:rPr>
              <w:t>93, 124, 155, 156, 340, 353, 374, 654, 670, 689, 720, 771, 784, 821, 860, 888, 889, 894, 934, 939, 956, 957, 1057</w:t>
            </w:r>
          </w:p>
        </w:tc>
      </w:tr>
      <w:tr>
        <w:trPr>
          <w:cantSplit/>
        </w:trPr>
        <w:tc>
          <w:tcPr>
            <w:tcW w:type="dxa" w:w="3402"/>
            <w:tcMar>
              <w:top w:w="70" w:type="dxa"/>
              <w:start w:w="90" w:type="dxa"/>
              <w:bottom w:w="70" w:type="dxa"/>
              <w:end w:w="90" w:type="dxa"/>
            </w:tcMar>
            <w:vAlign w:val="center"/>
          </w:tcPr>
          <w:p>
            <w:pPr>
              <w:spacing w:after="0" w:before="0"/>
            </w:pPr>
            <w:r/>
            <w:r>
              <w:rPr>
                <w:rFonts w:ascii="Aptos" w:hAnsi="Aptos"/>
                <w:b w:val="0"/>
                <w:color w:val="172B3A"/>
                <w:sz w:val="16"/>
              </w:rPr>
              <w:t>bastion</w:t>
            </w:r>
          </w:p>
        </w:tc>
        <w:tc>
          <w:tcPr>
            <w:tcW w:type="dxa" w:w="6520"/>
            <w:tcMar>
              <w:top w:w="70" w:type="dxa"/>
              <w:start w:w="90" w:type="dxa"/>
              <w:bottom w:w="70" w:type="dxa"/>
              <w:end w:w="90" w:type="dxa"/>
            </w:tcMar>
            <w:vAlign w:val="center"/>
          </w:tcPr>
          <w:p>
            <w:pPr>
              <w:spacing w:after="0" w:before="0"/>
            </w:pPr>
            <w:r/>
            <w:r>
              <w:rPr>
                <w:rFonts w:ascii="Aptos" w:hAnsi="Aptos"/>
                <w:b w:val="0"/>
                <w:color w:val="172B3A"/>
                <w:sz w:val="16"/>
              </w:rPr>
              <w:t>6, 24, 45, 58, 59, 69, 71, 72, 90, 91, 92, 93, 96, 121, 122, 123, 124, 127, 152, 153, 155, 159, 182, 602, 656, 657, 658, 670, 688, 690 …</w:t>
            </w:r>
          </w:p>
        </w:tc>
      </w:tr>
      <w:tr>
        <w:trPr>
          <w:cantSplit/>
        </w:trPr>
        <w:tc>
          <w:tcPr>
            <w:tcW w:type="dxa" w:w="3402"/>
            <w:tcMar>
              <w:top w:w="70" w:type="dxa"/>
              <w:start w:w="90" w:type="dxa"/>
              <w:bottom w:w="70" w:type="dxa"/>
              <w:end w:w="90" w:type="dxa"/>
            </w:tcMar>
            <w:vAlign w:val="center"/>
            <w:shd w:fill="F8FAFC"/>
          </w:tcPr>
          <w:p>
            <w:pPr>
              <w:spacing w:after="0" w:before="0"/>
            </w:pPr>
            <w:r/>
            <w:r>
              <w:rPr>
                <w:rFonts w:ascii="Aptos" w:hAnsi="Aptos"/>
                <w:b w:val="0"/>
                <w:color w:val="172B3A"/>
                <w:sz w:val="16"/>
              </w:rPr>
              <w:t>nkp create cluster nutanix</w:t>
            </w:r>
          </w:p>
        </w:tc>
        <w:tc>
          <w:tcPr>
            <w:tcW w:type="dxa" w:w="6520"/>
            <w:tcMar>
              <w:top w:w="70" w:type="dxa"/>
              <w:start w:w="90" w:type="dxa"/>
              <w:bottom w:w="70" w:type="dxa"/>
              <w:end w:w="90" w:type="dxa"/>
            </w:tcMar>
            <w:vAlign w:val="center"/>
            <w:shd w:fill="F8FAFC"/>
          </w:tcPr>
          <w:p>
            <w:pPr>
              <w:spacing w:after="0" w:before="0"/>
            </w:pPr>
            <w:r/>
            <w:r>
              <w:rPr>
                <w:rFonts w:ascii="Aptos" w:hAnsi="Aptos"/>
                <w:b w:val="0"/>
                <w:color w:val="172B3A"/>
                <w:sz w:val="16"/>
              </w:rPr>
              <w:t>21, 409, 648, 698, 699, 701</w:t>
            </w:r>
          </w:p>
        </w:tc>
      </w:tr>
      <w:tr>
        <w:trPr>
          <w:cantSplit/>
        </w:trPr>
        <w:tc>
          <w:tcPr>
            <w:tcW w:type="dxa" w:w="3402"/>
            <w:tcMar>
              <w:top w:w="70" w:type="dxa"/>
              <w:start w:w="90" w:type="dxa"/>
              <w:bottom w:w="70" w:type="dxa"/>
              <w:end w:w="90" w:type="dxa"/>
            </w:tcMar>
            <w:vAlign w:val="center"/>
          </w:tcPr>
          <w:p>
            <w:pPr>
              <w:spacing w:after="0" w:before="0"/>
            </w:pPr>
            <w:r/>
            <w:r>
              <w:rPr>
                <w:rFonts w:ascii="Aptos" w:hAnsi="Aptos"/>
                <w:b w:val="0"/>
                <w:color w:val="172B3A"/>
                <w:sz w:val="16"/>
              </w:rPr>
              <w:t>nutanix provider</w:t>
            </w:r>
          </w:p>
        </w:tc>
        <w:tc>
          <w:tcPr>
            <w:tcW w:type="dxa" w:w="6520"/>
            <w:tcMar>
              <w:top w:w="70" w:type="dxa"/>
              <w:start w:w="90" w:type="dxa"/>
              <w:bottom w:w="70" w:type="dxa"/>
              <w:end w:w="90" w:type="dxa"/>
            </w:tcMar>
            <w:vAlign w:val="center"/>
          </w:tcPr>
          <w:p>
            <w:pPr>
              <w:spacing w:after="0" w:before="0"/>
            </w:pPr>
            <w:r/>
            <w:r>
              <w:rPr>
                <w:rFonts w:ascii="Aptos" w:hAnsi="Aptos"/>
                <w:b w:val="0"/>
                <w:color w:val="172B3A"/>
                <w:sz w:val="16"/>
              </w:rPr>
              <w:t>19, 284</w:t>
            </w:r>
          </w:p>
        </w:tc>
      </w:tr>
      <w:tr>
        <w:trPr>
          <w:cantSplit/>
        </w:trPr>
        <w:tc>
          <w:tcPr>
            <w:tcW w:type="dxa" w:w="3402"/>
            <w:tcMar>
              <w:top w:w="70" w:type="dxa"/>
              <w:start w:w="90" w:type="dxa"/>
              <w:bottom w:w="70" w:type="dxa"/>
              <w:end w:w="90" w:type="dxa"/>
            </w:tcMar>
            <w:vAlign w:val="center"/>
            <w:shd w:fill="F8FAFC"/>
          </w:tcPr>
          <w:p>
            <w:pPr>
              <w:spacing w:after="0" w:before="0"/>
            </w:pPr>
            <w:r/>
            <w:r>
              <w:rPr>
                <w:rFonts w:ascii="Aptos" w:hAnsi="Aptos"/>
                <w:b w:val="0"/>
                <w:color w:val="172B3A"/>
                <w:sz w:val="16"/>
              </w:rPr>
              <w:t>prism central</w:t>
            </w:r>
          </w:p>
        </w:tc>
        <w:tc>
          <w:tcPr>
            <w:tcW w:type="dxa" w:w="6520"/>
            <w:tcMar>
              <w:top w:w="70" w:type="dxa"/>
              <w:start w:w="90" w:type="dxa"/>
              <w:bottom w:w="70" w:type="dxa"/>
              <w:end w:w="90" w:type="dxa"/>
            </w:tcMar>
            <w:vAlign w:val="center"/>
            <w:shd w:fill="F8FAFC"/>
          </w:tcPr>
          <w:p>
            <w:pPr>
              <w:spacing w:after="0" w:before="0"/>
            </w:pPr>
            <w:r/>
            <w:r>
              <w:rPr>
                <w:rFonts w:ascii="Aptos" w:hAnsi="Aptos"/>
                <w:b w:val="0"/>
                <w:color w:val="172B3A"/>
                <w:sz w:val="16"/>
              </w:rPr>
              <w:t>4, 6, 31, 32, 33, 48, 55, 56, 57, 251, 252, 286, 287, 338, 403, 405, 406, 407, 490, 495, 496, 498, 499, 500, 528, 529, 605, 608, 667, 668 …</w:t>
            </w:r>
          </w:p>
        </w:tc>
      </w:tr>
      <w:tr>
        <w:trPr>
          <w:cantSplit/>
        </w:trPr>
        <w:tc>
          <w:tcPr>
            <w:tcW w:type="dxa" w:w="3402"/>
            <w:tcMar>
              <w:top w:w="70" w:type="dxa"/>
              <w:start w:w="90" w:type="dxa"/>
              <w:bottom w:w="70" w:type="dxa"/>
              <w:end w:w="90" w:type="dxa"/>
            </w:tcMar>
            <w:vAlign w:val="center"/>
          </w:tcPr>
          <w:p>
            <w:pPr>
              <w:spacing w:after="0" w:before="0"/>
            </w:pPr>
            <w:r/>
            <w:r>
              <w:rPr>
                <w:rFonts w:ascii="Aptos" w:hAnsi="Aptos"/>
                <w:b w:val="0"/>
                <w:color w:val="172B3A"/>
                <w:sz w:val="16"/>
              </w:rPr>
              <w:t>kommander</w:t>
            </w:r>
          </w:p>
        </w:tc>
        <w:tc>
          <w:tcPr>
            <w:tcW w:type="dxa" w:w="6520"/>
            <w:tcMar>
              <w:top w:w="70" w:type="dxa"/>
              <w:start w:w="90" w:type="dxa"/>
              <w:bottom w:w="70" w:type="dxa"/>
              <w:end w:w="90" w:type="dxa"/>
            </w:tcMar>
            <w:vAlign w:val="center"/>
          </w:tcPr>
          <w:p>
            <w:pPr>
              <w:spacing w:after="0" w:before="0"/>
            </w:pPr>
            <w:r/>
            <w:r>
              <w:rPr>
                <w:rFonts w:ascii="Aptos" w:hAnsi="Aptos"/>
                <w:b w:val="0"/>
                <w:color w:val="172B3A"/>
                <w:sz w:val="16"/>
              </w:rPr>
              <w:t>2, 3, 5, 7, 8, 18, 19, 22, 30, 31, 32, 34, 36, 46, 47, 50, 51, 80, 81, 82, 83, 84, 85, 86, 89, 92, 93, 98, 100, 101 …</w:t>
            </w:r>
          </w:p>
        </w:tc>
      </w:tr>
      <w:tr>
        <w:trPr>
          <w:cantSplit/>
        </w:trPr>
        <w:tc>
          <w:tcPr>
            <w:tcW w:type="dxa" w:w="3402"/>
            <w:tcMar>
              <w:top w:w="70" w:type="dxa"/>
              <w:start w:w="90" w:type="dxa"/>
              <w:bottom w:w="70" w:type="dxa"/>
              <w:end w:w="90" w:type="dxa"/>
            </w:tcMar>
            <w:vAlign w:val="center"/>
            <w:shd w:fill="F8FAFC"/>
          </w:tcPr>
          <w:p>
            <w:pPr>
              <w:spacing w:after="0" w:before="0"/>
            </w:pPr>
            <w:r/>
            <w:r>
              <w:rPr>
                <w:rFonts w:ascii="Aptos" w:hAnsi="Aptos"/>
                <w:b w:val="0"/>
                <w:color w:val="172B3A"/>
                <w:sz w:val="16"/>
              </w:rPr>
              <w:t>offline</w:t>
            </w:r>
          </w:p>
        </w:tc>
        <w:tc>
          <w:tcPr>
            <w:tcW w:type="dxa" w:w="6520"/>
            <w:tcMar>
              <w:top w:w="70" w:type="dxa"/>
              <w:start w:w="90" w:type="dxa"/>
              <w:bottom w:w="70" w:type="dxa"/>
              <w:end w:w="90" w:type="dxa"/>
            </w:tcMar>
            <w:vAlign w:val="center"/>
            <w:shd w:fill="F8FAFC"/>
          </w:tcPr>
          <w:p>
            <w:pPr>
              <w:spacing w:after="0" w:before="0"/>
            </w:pPr>
            <w:r/>
            <w:r>
              <w:rPr>
                <w:rFonts w:ascii="Aptos" w:hAnsi="Aptos"/>
                <w:b w:val="0"/>
                <w:color w:val="172B3A"/>
                <w:sz w:val="16"/>
              </w:rPr>
              <w:t>952</w:t>
            </w:r>
          </w:p>
        </w:tc>
      </w:tr>
    </w:tbl>
    <w:p>
      <w:pPr>
        <w:spacing w:after="0"/>
      </w:pPr>
    </w:p>
    <w:tbl>
      <w:tblPr>
        <w:tblW w:type="auto" w:w="0"/>
        <w:tblLayout w:type="autofit"/>
        <w:tblLook w:firstColumn="1" w:firstRow="1" w:lastColumn="0" w:lastRow="0" w:noHBand="0" w:noVBand="1" w:val="04A0"/>
      </w:tblPr>
      <w:tblGrid>
        <w:gridCol w:w="198"/>
        <w:gridCol w:w="9921"/>
      </w:tblGrid>
      <w:tr>
        <w:tc>
          <w:tcPr>
            <w:tcW w:type="dxa" w:w="5018"/>
            <w:shd w:fill="B7791F"/>
          </w:tcPr>
          <w:p>
            <w:r/>
          </w:p>
        </w:tc>
        <w:tc>
          <w:tcPr>
            <w:tcW w:type="dxa" w:w="5018"/>
            <w:shd w:fill="FFF6E6"/>
            <w:tcMar>
              <w:top w:w="100" w:type="dxa"/>
              <w:start w:w="120" w:type="dxa"/>
              <w:bottom w:w="100" w:type="dxa"/>
              <w:end w:w="120" w:type="dxa"/>
            </w:tcMar>
          </w:tcPr>
          <w:p>
            <w:pPr>
              <w:spacing w:after="40"/>
            </w:pPr>
            <w:r/>
            <w:r>
              <w:rPr>
                <w:b/>
                <w:color w:val="B7791F"/>
                <w:sz w:val="20"/>
              </w:rPr>
              <w:t>Validation conclusion</w:t>
            </w:r>
          </w:p>
          <w:p>
            <w:pPr>
              <w:spacing w:after="0" w:line="252" w:lineRule="auto"/>
            </w:pPr>
            <w:r>
              <w:rPr>
                <w:color w:val="172B3A"/>
                <w:sz w:val="18"/>
              </w:rPr>
              <w:t>The cluster-create document can be retained as a provider-specific sub-procedure after its variables are reconciled. It must not be used alone at a zero-Internet customer because it cannot prove artifact completeness, registry readiness, trust, offline dependency availability, or absence of public image pulls.</w:t>
            </w:r>
          </w:p>
        </w:tc>
      </w:tr>
    </w:tbl>
    <w:p>
      <w:pPr>
        <w:spacing w:after="0"/>
      </w:pPr>
    </w:p>
    <w:p>
      <w:pPr>
        <w:pStyle w:val="Heading1"/>
        <w:keepNext/>
      </w:pPr>
      <w:r>
        <w:t>3. Target architecture and responsibility boundaries</w:t>
      </w:r>
    </w:p>
    <w:p>
      <w:pPr>
        <w:jc w:val="center"/>
      </w:pPr>
      <w:r>
        <w:drawing>
          <wp:inline xmlns:a="http://schemas.openxmlformats.org/drawingml/2006/main" xmlns:pic="http://schemas.openxmlformats.org/drawingml/2006/picture">
            <wp:extent cx="6480000" cy="3681818"/>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80000" cy="3681818"/>
                    </a:xfrm>
                    <a:prstGeom prst="rect"/>
                  </pic:spPr>
                </pic:pic>
              </a:graphicData>
            </a:graphic>
          </wp:inline>
        </w:drawing>
      </w:r>
    </w:p>
    <w:p>
      <w:pPr>
        <w:pStyle w:val="Caption"/>
        <w:jc w:val="center"/>
      </w:pPr>
      <w:r>
        <w:t>Figure 2 – Three-zone air-gapped architecture</w:t>
      </w:r>
    </w:p>
    <w:p>
      <w:pPr>
        <w:pStyle w:val="Heading2"/>
        <w:keepNext/>
      </w:pPr>
      <w:r>
        <w:t>3.1 Component responsibilities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757"/>
            <w:tcMar>
              <w:top w:w="70" w:type="dxa"/>
              <w:start w:w="90" w:type="dxa"/>
              <w:bottom w:w="70" w:type="dxa"/>
              <w:end w:w="90" w:type="dxa"/>
            </w:tcMar>
            <w:vAlign w:val="center"/>
            <w:shd w:fill="17324D"/>
          </w:tcPr>
          <w:p>
            <w:pPr>
              <w:spacing w:after="0" w:before="0"/>
            </w:pPr>
            <w:r/>
            <w:r>
              <w:rPr>
                <w:rFonts w:ascii="Aptos" w:hAnsi="Aptos"/>
                <w:b/>
                <w:color w:val="FFFFFF"/>
                <w:sz w:val="16"/>
              </w:rPr>
              <w:t>Component</w:t>
            </w:r>
          </w:p>
        </w:tc>
        <w:tc>
          <w:tcPr>
            <w:tcW w:type="dxa" w:w="4535"/>
            <w:tcMar>
              <w:top w:w="70" w:type="dxa"/>
              <w:start w:w="90" w:type="dxa"/>
              <w:bottom w:w="70" w:type="dxa"/>
              <w:end w:w="90" w:type="dxa"/>
            </w:tcMar>
            <w:vAlign w:val="center"/>
            <w:shd w:fill="17324D"/>
          </w:tcPr>
          <w:p>
            <w:pPr>
              <w:spacing w:after="0" w:before="0"/>
            </w:pPr>
            <w:r/>
            <w:r>
              <w:rPr>
                <w:rFonts w:ascii="Aptos" w:hAnsi="Aptos"/>
                <w:b/>
                <w:color w:val="FFFFFF"/>
                <w:sz w:val="16"/>
              </w:rPr>
              <w:t>Responsibility</w:t>
            </w:r>
          </w:p>
        </w:tc>
        <w:tc>
          <w:tcPr>
            <w:tcW w:type="dxa" w:w="3572"/>
            <w:tcMar>
              <w:top w:w="70" w:type="dxa"/>
              <w:start w:w="90" w:type="dxa"/>
              <w:bottom w:w="70" w:type="dxa"/>
              <w:end w:w="90" w:type="dxa"/>
            </w:tcMar>
            <w:vAlign w:val="center"/>
            <w:shd w:fill="17324D"/>
          </w:tcPr>
          <w:p>
            <w:pPr>
              <w:spacing w:after="0" w:before="0"/>
            </w:pPr>
            <w:r/>
            <w:r>
              <w:rPr>
                <w:rFonts w:ascii="Aptos" w:hAnsi="Aptos"/>
                <w:b/>
                <w:color w:val="FFFFFF"/>
                <w:sz w:val="16"/>
              </w:rPr>
              <w:t>Must not do</w:t>
            </w:r>
          </w:p>
        </w:tc>
      </w:tr>
      <w:tr>
        <w:trPr>
          <w:cantSplit/>
        </w:trPr>
        <w:tc>
          <w:tcPr>
            <w:tcW w:type="dxa" w:w="1757"/>
            <w:tcMar>
              <w:top w:w="70" w:type="dxa"/>
              <w:start w:w="90" w:type="dxa"/>
              <w:bottom w:w="70" w:type="dxa"/>
              <w:end w:w="90" w:type="dxa"/>
            </w:tcMar>
            <w:vAlign w:val="center"/>
          </w:tcPr>
          <w:p>
            <w:pPr>
              <w:spacing w:after="0" w:before="0"/>
            </w:pPr>
            <w:r/>
            <w:r>
              <w:rPr>
                <w:rFonts w:ascii="Aptos" w:hAnsi="Aptos"/>
                <w:b w:val="0"/>
                <w:color w:val="172B3A"/>
                <w:sz w:val="15"/>
              </w:rPr>
              <w:t>Connected staging host</w:t>
            </w:r>
          </w:p>
        </w:tc>
        <w:tc>
          <w:tcPr>
            <w:tcW w:type="dxa" w:w="4535"/>
            <w:tcMar>
              <w:top w:w="70" w:type="dxa"/>
              <w:start w:w="90" w:type="dxa"/>
              <w:bottom w:w="70" w:type="dxa"/>
              <w:end w:w="90" w:type="dxa"/>
            </w:tcMar>
            <w:vAlign w:val="center"/>
          </w:tcPr>
          <w:p>
            <w:pPr>
              <w:spacing w:after="0" w:before="0"/>
            </w:pPr>
            <w:r/>
            <w:r>
              <w:rPr>
                <w:rFonts w:ascii="Aptos" w:hAnsi="Aptos"/>
                <w:b w:val="0"/>
                <w:color w:val="172B3A"/>
                <w:sz w:val="15"/>
              </w:rPr>
              <w:t>Download entitled NKP artifacts and pinned open-source dependencies; verify vendor hashes/signatures; build offline package repository; create transfer manifest.</w:t>
            </w:r>
          </w:p>
        </w:tc>
        <w:tc>
          <w:tcPr>
            <w:tcW w:type="dxa" w:w="3572"/>
            <w:tcMar>
              <w:top w:w="70" w:type="dxa"/>
              <w:start w:w="90" w:type="dxa"/>
              <w:bottom w:w="70" w:type="dxa"/>
              <w:end w:w="90" w:type="dxa"/>
            </w:tcMar>
            <w:vAlign w:val="center"/>
          </w:tcPr>
          <w:p>
            <w:pPr>
              <w:spacing w:after="0" w:before="0"/>
            </w:pPr>
            <w:r/>
            <w:r>
              <w:rPr>
                <w:rFonts w:ascii="Aptos" w:hAnsi="Aptos"/>
                <w:b w:val="0"/>
                <w:color w:val="172B3A"/>
                <w:sz w:val="15"/>
              </w:rPr>
              <w:t>Never carry customer production credentials or kubeconfigs.</w:t>
            </w:r>
          </w:p>
        </w:tc>
      </w:tr>
      <w:tr>
        <w:trPr>
          <w:cantSplit/>
        </w:trPr>
        <w:tc>
          <w:tcPr>
            <w:tcW w:type="dxa" w:w="1757"/>
            <w:tcMar>
              <w:top w:w="70" w:type="dxa"/>
              <w:start w:w="90" w:type="dxa"/>
              <w:bottom w:w="70" w:type="dxa"/>
              <w:end w:w="90" w:type="dxa"/>
            </w:tcMar>
            <w:vAlign w:val="center"/>
            <w:shd w:fill="F8FAFC"/>
          </w:tcPr>
          <w:p>
            <w:pPr>
              <w:spacing w:after="0" w:before="0"/>
            </w:pPr>
            <w:r/>
            <w:r>
              <w:rPr>
                <w:rFonts w:ascii="Aptos" w:hAnsi="Aptos"/>
                <w:b w:val="0"/>
                <w:color w:val="172B3A"/>
                <w:sz w:val="15"/>
              </w:rPr>
              <w:t>Controlled transfer</w:t>
            </w:r>
          </w:p>
        </w:tc>
        <w:tc>
          <w:tcPr>
            <w:tcW w:type="dxa" w:w="4535"/>
            <w:tcMar>
              <w:top w:w="70" w:type="dxa"/>
              <w:start w:w="90" w:type="dxa"/>
              <w:bottom w:w="70" w:type="dxa"/>
              <w:end w:w="90" w:type="dxa"/>
            </w:tcMar>
            <w:vAlign w:val="center"/>
            <w:shd w:fill="F8FAFC"/>
          </w:tcPr>
          <w:p>
            <w:pPr>
              <w:spacing w:after="0" w:before="0"/>
            </w:pPr>
            <w:r/>
            <w:r>
              <w:rPr>
                <w:rFonts w:ascii="Aptos" w:hAnsi="Aptos"/>
                <w:b w:val="0"/>
                <w:color w:val="172B3A"/>
                <w:sz w:val="15"/>
              </w:rPr>
              <w:t>Move the sealed transfer kit into the secure site; preserve chain of custody; scan and re-hash.</w:t>
            </w:r>
          </w:p>
        </w:tc>
        <w:tc>
          <w:tcPr>
            <w:tcW w:type="dxa" w:w="3572"/>
            <w:tcMar>
              <w:top w:w="70" w:type="dxa"/>
              <w:start w:w="90" w:type="dxa"/>
              <w:bottom w:w="70" w:type="dxa"/>
              <w:end w:w="90" w:type="dxa"/>
            </w:tcMar>
            <w:vAlign w:val="center"/>
            <w:shd w:fill="F8FAFC"/>
          </w:tcPr>
          <w:p>
            <w:pPr>
              <w:spacing w:after="0" w:before="0"/>
            </w:pPr>
            <w:r/>
            <w:r>
              <w:rPr>
                <w:rFonts w:ascii="Aptos" w:hAnsi="Aptos"/>
                <w:b w:val="0"/>
                <w:color w:val="172B3A"/>
                <w:sz w:val="15"/>
              </w:rPr>
              <w:t>Never modify files after the source manifest is signed.</w:t>
            </w:r>
          </w:p>
        </w:tc>
      </w:tr>
      <w:tr>
        <w:trPr>
          <w:cantSplit/>
        </w:trPr>
        <w:tc>
          <w:tcPr>
            <w:tcW w:type="dxa" w:w="1757"/>
            <w:tcMar>
              <w:top w:w="70" w:type="dxa"/>
              <w:start w:w="90" w:type="dxa"/>
              <w:bottom w:w="70" w:type="dxa"/>
              <w:end w:w="90" w:type="dxa"/>
            </w:tcMar>
            <w:vAlign w:val="center"/>
          </w:tcPr>
          <w:p>
            <w:pPr>
              <w:spacing w:after="0" w:before="0"/>
            </w:pPr>
            <w:r/>
            <w:r>
              <w:rPr>
                <w:rFonts w:ascii="Aptos" w:hAnsi="Aptos"/>
                <w:b w:val="0"/>
                <w:color w:val="172B3A"/>
                <w:sz w:val="15"/>
              </w:rPr>
              <w:t>Air-gapped bastion</w:t>
            </w:r>
          </w:p>
        </w:tc>
        <w:tc>
          <w:tcPr>
            <w:tcW w:type="dxa" w:w="4535"/>
            <w:tcMar>
              <w:top w:w="70" w:type="dxa"/>
              <w:start w:w="90" w:type="dxa"/>
              <w:bottom w:w="70" w:type="dxa"/>
              <w:end w:w="90" w:type="dxa"/>
            </w:tcMar>
            <w:vAlign w:val="center"/>
          </w:tcPr>
          <w:p>
            <w:pPr>
              <w:spacing w:after="0" w:before="0"/>
            </w:pPr>
            <w:r/>
            <w:r>
              <w:rPr>
                <w:rFonts w:ascii="Aptos" w:hAnsi="Aptos"/>
                <w:b w:val="0"/>
                <w:color w:val="172B3A"/>
                <w:sz w:val="15"/>
              </w:rPr>
              <w:t>Host NKP CLI, kubectl, bootstrap runtime, scripts, logs, and temporary artifacts; reach internal services only.</w:t>
            </w:r>
          </w:p>
        </w:tc>
        <w:tc>
          <w:tcPr>
            <w:tcW w:type="dxa" w:w="3572"/>
            <w:tcMar>
              <w:top w:w="70" w:type="dxa"/>
              <w:start w:w="90" w:type="dxa"/>
              <w:bottom w:w="70" w:type="dxa"/>
              <w:end w:w="90" w:type="dxa"/>
            </w:tcMar>
            <w:vAlign w:val="center"/>
          </w:tcPr>
          <w:p>
            <w:pPr>
              <w:spacing w:after="0" w:before="0"/>
            </w:pPr>
            <w:r/>
            <w:r>
              <w:rPr>
                <w:rFonts w:ascii="Aptos" w:hAnsi="Aptos"/>
                <w:b w:val="0"/>
                <w:color w:val="172B3A"/>
                <w:sz w:val="15"/>
              </w:rPr>
              <w:t>Never attempt public downloads or become a general-purpose Internet proxy.</w:t>
            </w:r>
          </w:p>
        </w:tc>
      </w:tr>
      <w:tr>
        <w:trPr>
          <w:cantSplit/>
        </w:trPr>
        <w:tc>
          <w:tcPr>
            <w:tcW w:type="dxa" w:w="1757"/>
            <w:tcMar>
              <w:top w:w="70" w:type="dxa"/>
              <w:start w:w="90" w:type="dxa"/>
              <w:bottom w:w="70" w:type="dxa"/>
              <w:end w:w="90" w:type="dxa"/>
            </w:tcMar>
            <w:vAlign w:val="center"/>
            <w:shd w:fill="F8FAFC"/>
          </w:tcPr>
          <w:p>
            <w:pPr>
              <w:spacing w:after="0" w:before="0"/>
            </w:pPr>
            <w:r/>
            <w:r>
              <w:rPr>
                <w:rFonts w:ascii="Aptos" w:hAnsi="Aptos"/>
                <w:b w:val="0"/>
                <w:color w:val="172B3A"/>
                <w:sz w:val="15"/>
              </w:rPr>
              <w:t>Private OCI registry</w:t>
            </w:r>
          </w:p>
        </w:tc>
        <w:tc>
          <w:tcPr>
            <w:tcW w:type="dxa" w:w="4535"/>
            <w:tcMar>
              <w:top w:w="70" w:type="dxa"/>
              <w:start w:w="90" w:type="dxa"/>
              <w:bottom w:w="70" w:type="dxa"/>
              <w:end w:w="90" w:type="dxa"/>
            </w:tcMar>
            <w:vAlign w:val="center"/>
            <w:shd w:fill="F8FAFC"/>
          </w:tcPr>
          <w:p>
            <w:pPr>
              <w:spacing w:after="0" w:before="0"/>
            </w:pPr>
            <w:r/>
            <w:r>
              <w:rPr>
                <w:rFonts w:ascii="Aptos" w:hAnsi="Aptos"/>
                <w:b w:val="0"/>
                <w:color w:val="172B3A"/>
                <w:sz w:val="15"/>
              </w:rPr>
              <w:t>Store the complete NKP image set and pinned validation images; provide TLS, authentication, quota, and persistent storage.</w:t>
            </w:r>
          </w:p>
        </w:tc>
        <w:tc>
          <w:tcPr>
            <w:tcW w:type="dxa" w:w="3572"/>
            <w:tcMar>
              <w:top w:w="70" w:type="dxa"/>
              <w:start w:w="90" w:type="dxa"/>
              <w:bottom w:w="70" w:type="dxa"/>
              <w:end w:w="90" w:type="dxa"/>
            </w:tcMar>
            <w:vAlign w:val="center"/>
            <w:shd w:fill="F8FAFC"/>
          </w:tcPr>
          <w:p>
            <w:pPr>
              <w:spacing w:after="0" w:before="0"/>
            </w:pPr>
            <w:r/>
            <w:r>
              <w:rPr>
                <w:rFonts w:ascii="Aptos" w:hAnsi="Aptos"/>
                <w:b w:val="0"/>
                <w:color w:val="172B3A"/>
                <w:sz w:val="15"/>
              </w:rPr>
              <w:t>Never use anonymous write or an untrusted/self-signed certificate without distributing the CA.</w:t>
            </w:r>
          </w:p>
        </w:tc>
      </w:tr>
      <w:tr>
        <w:trPr>
          <w:cantSplit/>
        </w:trPr>
        <w:tc>
          <w:tcPr>
            <w:tcW w:type="dxa" w:w="1757"/>
            <w:tcMar>
              <w:top w:w="70" w:type="dxa"/>
              <w:start w:w="90" w:type="dxa"/>
              <w:bottom w:w="70" w:type="dxa"/>
              <w:end w:w="90" w:type="dxa"/>
            </w:tcMar>
            <w:vAlign w:val="center"/>
          </w:tcPr>
          <w:p>
            <w:pPr>
              <w:spacing w:after="0" w:before="0"/>
            </w:pPr>
            <w:r/>
            <w:r>
              <w:rPr>
                <w:rFonts w:ascii="Aptos" w:hAnsi="Aptos"/>
                <w:b w:val="0"/>
                <w:color w:val="172B3A"/>
                <w:sz w:val="15"/>
              </w:rPr>
              <w:t>Prism Central / AHV</w:t>
            </w:r>
          </w:p>
        </w:tc>
        <w:tc>
          <w:tcPr>
            <w:tcW w:type="dxa" w:w="4535"/>
            <w:tcMar>
              <w:top w:w="70" w:type="dxa"/>
              <w:start w:w="90" w:type="dxa"/>
              <w:bottom w:w="70" w:type="dxa"/>
              <w:end w:w="90" w:type="dxa"/>
            </w:tcMar>
            <w:vAlign w:val="center"/>
          </w:tcPr>
          <w:p>
            <w:pPr>
              <w:spacing w:after="0" w:before="0"/>
            </w:pPr>
            <w:r/>
            <w:r>
              <w:rPr>
                <w:rFonts w:ascii="Aptos" w:hAnsi="Aptos"/>
                <w:b w:val="0"/>
                <w:color w:val="172B3A"/>
                <w:sz w:val="15"/>
              </w:rPr>
              <w:t>Provide VM lifecycle, networks, storage, image service, and API endpoints used by NKP/CAPI.</w:t>
            </w:r>
          </w:p>
        </w:tc>
        <w:tc>
          <w:tcPr>
            <w:tcW w:type="dxa" w:w="3572"/>
            <w:tcMar>
              <w:top w:w="70" w:type="dxa"/>
              <w:start w:w="90" w:type="dxa"/>
              <w:bottom w:w="70" w:type="dxa"/>
              <w:end w:w="90" w:type="dxa"/>
            </w:tcMar>
            <w:vAlign w:val="center"/>
          </w:tcPr>
          <w:p>
            <w:pPr>
              <w:spacing w:after="0" w:before="0"/>
            </w:pPr>
            <w:r/>
            <w:r>
              <w:rPr>
                <w:rFonts w:ascii="Aptos" w:hAnsi="Aptos"/>
                <w:b w:val="0"/>
                <w:color w:val="172B3A"/>
                <w:sz w:val="15"/>
              </w:rPr>
              <w:t>Never expose management APIs to untrusted networks.</w:t>
            </w:r>
          </w:p>
        </w:tc>
      </w:tr>
      <w:tr>
        <w:trPr>
          <w:cantSplit/>
        </w:trPr>
        <w:tc>
          <w:tcPr>
            <w:tcW w:type="dxa" w:w="1757"/>
            <w:tcMar>
              <w:top w:w="70" w:type="dxa"/>
              <w:start w:w="90" w:type="dxa"/>
              <w:bottom w:w="70" w:type="dxa"/>
              <w:end w:w="90" w:type="dxa"/>
            </w:tcMar>
            <w:vAlign w:val="center"/>
            <w:shd w:fill="F8FAFC"/>
          </w:tcPr>
          <w:p>
            <w:pPr>
              <w:spacing w:after="0" w:before="0"/>
            </w:pPr>
            <w:r/>
            <w:r>
              <w:rPr>
                <w:rFonts w:ascii="Aptos" w:hAnsi="Aptos"/>
                <w:b w:val="0"/>
                <w:color w:val="172B3A"/>
                <w:sz w:val="15"/>
              </w:rPr>
              <w:t>Internal DNS/NTP/PKI</w:t>
            </w:r>
          </w:p>
        </w:tc>
        <w:tc>
          <w:tcPr>
            <w:tcW w:type="dxa" w:w="4535"/>
            <w:tcMar>
              <w:top w:w="70" w:type="dxa"/>
              <w:start w:w="90" w:type="dxa"/>
              <w:bottom w:w="70" w:type="dxa"/>
              <w:end w:w="90" w:type="dxa"/>
            </w:tcMar>
            <w:vAlign w:val="center"/>
            <w:shd w:fill="F8FAFC"/>
          </w:tcPr>
          <w:p>
            <w:pPr>
              <w:spacing w:after="0" w:before="0"/>
            </w:pPr>
            <w:r/>
            <w:r>
              <w:rPr>
                <w:rFonts w:ascii="Aptos" w:hAnsi="Aptos"/>
                <w:b w:val="0"/>
                <w:color w:val="172B3A"/>
                <w:sz w:val="15"/>
              </w:rPr>
              <w:t>Provide deterministic name resolution, time, and trust for all components.</w:t>
            </w:r>
          </w:p>
        </w:tc>
        <w:tc>
          <w:tcPr>
            <w:tcW w:type="dxa" w:w="3572"/>
            <w:tcMar>
              <w:top w:w="70" w:type="dxa"/>
              <w:start w:w="90" w:type="dxa"/>
              <w:bottom w:w="70" w:type="dxa"/>
              <w:end w:w="90" w:type="dxa"/>
            </w:tcMar>
            <w:vAlign w:val="center"/>
            <w:shd w:fill="F8FAFC"/>
          </w:tcPr>
          <w:p>
            <w:pPr>
              <w:spacing w:after="0" w:before="0"/>
            </w:pPr>
            <w:r/>
            <w:r>
              <w:rPr>
                <w:rFonts w:ascii="Aptos" w:hAnsi="Aptos"/>
                <w:b w:val="0"/>
                <w:color w:val="172B3A"/>
                <w:sz w:val="15"/>
              </w:rPr>
              <w:t>Never rely on public DNS/NTP in a strict air gap.</w:t>
            </w:r>
          </w:p>
        </w:tc>
      </w:tr>
      <w:tr>
        <w:trPr>
          <w:cantSplit/>
        </w:trPr>
        <w:tc>
          <w:tcPr>
            <w:tcW w:type="dxa" w:w="1757"/>
            <w:tcMar>
              <w:top w:w="70" w:type="dxa"/>
              <w:start w:w="90" w:type="dxa"/>
              <w:bottom w:w="70" w:type="dxa"/>
              <w:end w:w="90" w:type="dxa"/>
            </w:tcMar>
            <w:vAlign w:val="center"/>
          </w:tcPr>
          <w:p>
            <w:pPr>
              <w:spacing w:after="0" w:before="0"/>
            </w:pPr>
            <w:r/>
            <w:r>
              <w:rPr>
                <w:rFonts w:ascii="Aptos" w:hAnsi="Aptos"/>
                <w:b w:val="0"/>
                <w:color w:val="172B3A"/>
                <w:sz w:val="15"/>
              </w:rPr>
              <w:t>NKP cluster</w:t>
            </w:r>
          </w:p>
        </w:tc>
        <w:tc>
          <w:tcPr>
            <w:tcW w:type="dxa" w:w="4535"/>
            <w:tcMar>
              <w:top w:w="70" w:type="dxa"/>
              <w:start w:w="90" w:type="dxa"/>
              <w:bottom w:w="70" w:type="dxa"/>
              <w:end w:w="90" w:type="dxa"/>
            </w:tcMar>
            <w:vAlign w:val="center"/>
          </w:tcPr>
          <w:p>
            <w:pPr>
              <w:spacing w:after="0" w:before="0"/>
            </w:pPr>
            <w:r/>
            <w:r>
              <w:rPr>
                <w:rFonts w:ascii="Aptos" w:hAnsi="Aptos"/>
                <w:b w:val="0"/>
                <w:color w:val="172B3A"/>
                <w:sz w:val="15"/>
              </w:rPr>
              <w:t>Run the management/workload control planes and pull all required content through the internal registry/mirror.</w:t>
            </w:r>
          </w:p>
        </w:tc>
        <w:tc>
          <w:tcPr>
            <w:tcW w:type="dxa" w:w="3572"/>
            <w:tcMar>
              <w:top w:w="70" w:type="dxa"/>
              <w:start w:w="90" w:type="dxa"/>
              <w:bottom w:w="70" w:type="dxa"/>
              <w:end w:w="90" w:type="dxa"/>
            </w:tcMar>
            <w:vAlign w:val="center"/>
          </w:tcPr>
          <w:p>
            <w:pPr>
              <w:spacing w:after="0" w:before="0"/>
            </w:pPr>
            <w:r/>
            <w:r>
              <w:rPr>
                <w:rFonts w:ascii="Aptos" w:hAnsi="Aptos"/>
                <w:b w:val="0"/>
                <w:color w:val="172B3A"/>
                <w:sz w:val="15"/>
              </w:rPr>
              <w:t>Never require direct public registry access.</w:t>
            </w:r>
          </w:p>
        </w:tc>
      </w:tr>
    </w:tbl>
    <w:p>
      <w:pPr>
        <w:spacing w:after="0"/>
      </w:pPr>
    </w:p>
    <w:p>
      <w:pPr>
        <w:pStyle w:val="Heading2"/>
        <w:keepNext/>
      </w:pPr>
      <w:r>
        <w:t>3.2 Recommended bastion placement</w:t>
      </w:r>
    </w:p>
    <w:p>
      <w:pPr>
        <w:spacing w:after="120" w:line="259" w:lineRule="auto"/>
      </w:pPr>
      <w:r>
        <w:t>Place the bastion on a restricted management subnet that can reach Prism Central, the private registry, internal DNS/NTP/CA services, and the NKP API/VIP. Permit administrator access only through the customer-approved jump path. Do not place the bastion directly on the application or storage data plane. When Harbor is hosted on the bastion, every cluster node also needs TCP/443 reachability to the bastion registry address and the registry data disk must be protected and monitored.</w:t>
      </w:r>
    </w:p>
    <w:p>
      <w:pPr>
        <w:pStyle w:val="Heading1"/>
        <w:keepNext/>
      </w:pPr>
      <w:r>
        <w:t>4. Customer discovery and release-freeze worksheet</w:t>
      </w:r>
    </w:p>
    <w:tbl>
      <w:tblPr>
        <w:tblW w:type="auto" w:w="0"/>
        <w:tblLayout w:type="autofit"/>
        <w:tblLook w:firstColumn="1" w:firstRow="1" w:lastColumn="0" w:lastRow="0" w:noHBand="0" w:noVBand="1" w:val="04A0"/>
      </w:tblPr>
      <w:tblGrid>
        <w:gridCol w:w="198"/>
        <w:gridCol w:w="9921"/>
      </w:tblGrid>
      <w:tr>
        <w:tc>
          <w:tcPr>
            <w:tcW w:type="dxa" w:w="5018"/>
            <w:shd w:fill="B83232"/>
          </w:tcPr>
          <w:p>
            <w:r/>
          </w:p>
        </w:tc>
        <w:tc>
          <w:tcPr>
            <w:tcW w:type="dxa" w:w="5018"/>
            <w:shd w:fill="FDECEC"/>
            <w:tcMar>
              <w:top w:w="100" w:type="dxa"/>
              <w:start w:w="120" w:type="dxa"/>
              <w:bottom w:w="100" w:type="dxa"/>
              <w:end w:w="120" w:type="dxa"/>
            </w:tcMar>
          </w:tcPr>
          <w:p>
            <w:pPr>
              <w:spacing w:after="40"/>
            </w:pPr>
            <w:r/>
            <w:r>
              <w:rPr>
                <w:b/>
                <w:color w:val="B83232"/>
                <w:sz w:val="20"/>
              </w:rPr>
              <w:t>Gate 0 – No travel until the release kit is frozen</w:t>
            </w:r>
          </w:p>
          <w:p>
            <w:pPr>
              <w:spacing w:after="0" w:line="252" w:lineRule="auto"/>
            </w:pPr>
            <w:r>
              <w:rPr>
                <w:color w:val="172B3A"/>
                <w:sz w:val="18"/>
              </w:rPr>
              <w:t>Record the exact NKP build, filenames, sizes, checksums, node image, supported Kubernetes version, Nutanix platform compatibility, registry requirements, and known issues. A “2.18” label without the patch/build and hash is not sufficient.</w:t>
            </w:r>
          </w:p>
        </w:tc>
      </w:tr>
    </w:tbl>
    <w:p>
      <w:pPr>
        <w:spacing w:after="0"/>
      </w:pPr>
    </w:p>
    <w:p>
      <w:pPr>
        <w:pStyle w:val="Heading2"/>
        <w:keepNext/>
      </w:pPr>
      <w:r>
        <w:t>4.1 Required customer inputs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1814"/>
            <w:tcMar>
              <w:top w:w="70" w:type="dxa"/>
              <w:start w:w="90" w:type="dxa"/>
              <w:bottom w:w="70" w:type="dxa"/>
              <w:end w:w="90" w:type="dxa"/>
            </w:tcMar>
            <w:vAlign w:val="center"/>
            <w:shd w:fill="17324D"/>
          </w:tcPr>
          <w:p>
            <w:pPr>
              <w:spacing w:after="0" w:before="0"/>
            </w:pPr>
            <w:r/>
            <w:r>
              <w:rPr>
                <w:rFonts w:ascii="Aptos" w:hAnsi="Aptos"/>
                <w:b/>
                <w:color w:val="FFFFFF"/>
                <w:sz w:val="16"/>
              </w:rPr>
              <w:t>Area</w:t>
            </w:r>
          </w:p>
        </w:tc>
        <w:tc>
          <w:tcPr>
            <w:tcW w:type="dxa" w:w="8050"/>
            <w:tcMar>
              <w:top w:w="70" w:type="dxa"/>
              <w:start w:w="90" w:type="dxa"/>
              <w:bottom w:w="70" w:type="dxa"/>
              <w:end w:w="90" w:type="dxa"/>
            </w:tcMar>
            <w:vAlign w:val="center"/>
            <w:shd w:fill="17324D"/>
          </w:tcPr>
          <w:p>
            <w:pPr>
              <w:spacing w:after="0" w:before="0"/>
            </w:pPr>
            <w:r/>
            <w:r>
              <w:rPr>
                <w:rFonts w:ascii="Aptos" w:hAnsi="Aptos"/>
                <w:b/>
                <w:color w:val="FFFFFF"/>
                <w:sz w:val="16"/>
              </w:rPr>
              <w:t>Required data</w:t>
            </w:r>
          </w:p>
        </w:tc>
      </w:tr>
      <w:tr>
        <w:trPr>
          <w:cantSplit/>
        </w:trPr>
        <w:tc>
          <w:tcPr>
            <w:tcW w:type="dxa" w:w="1814"/>
            <w:tcMar>
              <w:top w:w="70" w:type="dxa"/>
              <w:start w:w="90" w:type="dxa"/>
              <w:bottom w:w="70" w:type="dxa"/>
              <w:end w:w="90" w:type="dxa"/>
            </w:tcMar>
            <w:vAlign w:val="center"/>
          </w:tcPr>
          <w:p>
            <w:pPr>
              <w:spacing w:after="0" w:before="0"/>
            </w:pPr>
            <w:r/>
            <w:r>
              <w:rPr>
                <w:rFonts w:ascii="Aptos" w:hAnsi="Aptos"/>
                <w:b w:val="0"/>
                <w:color w:val="172B3A"/>
                <w:sz w:val="16"/>
              </w:rPr>
              <w:t>Release</w:t>
            </w:r>
          </w:p>
        </w:tc>
        <w:tc>
          <w:tcPr>
            <w:tcW w:type="dxa" w:w="8050"/>
            <w:tcMar>
              <w:top w:w="70" w:type="dxa"/>
              <w:start w:w="90" w:type="dxa"/>
              <w:bottom w:w="70" w:type="dxa"/>
              <w:end w:w="90" w:type="dxa"/>
            </w:tcMar>
            <w:vAlign w:val="center"/>
          </w:tcPr>
          <w:p>
            <w:pPr>
              <w:spacing w:after="0" w:before="0"/>
            </w:pPr>
            <w:r/>
            <w:r>
              <w:rPr>
                <w:rFonts w:ascii="Aptos" w:hAnsi="Aptos"/>
                <w:b w:val="0"/>
                <w:color w:val="172B3A"/>
                <w:sz w:val="16"/>
              </w:rPr>
              <w:t>Exact NKP version/build; release notes; compatibility matrix; known issues; checksum/signature source.</w:t>
            </w:r>
          </w:p>
        </w:tc>
      </w:tr>
      <w:tr>
        <w:trPr>
          <w:cantSplit/>
        </w:trPr>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6"/>
              </w:rPr>
              <w:t>Nutanix</w:t>
            </w:r>
          </w:p>
        </w:tc>
        <w:tc>
          <w:tcPr>
            <w:tcW w:type="dxa" w:w="8050"/>
            <w:tcMar>
              <w:top w:w="70" w:type="dxa"/>
              <w:start w:w="90" w:type="dxa"/>
              <w:bottom w:w="70" w:type="dxa"/>
              <w:end w:w="90" w:type="dxa"/>
            </w:tcMar>
            <w:vAlign w:val="center"/>
            <w:shd w:fill="F8FAFC"/>
          </w:tcPr>
          <w:p>
            <w:pPr>
              <w:spacing w:after="0" w:before="0"/>
            </w:pPr>
            <w:r/>
            <w:r>
              <w:rPr>
                <w:rFonts w:ascii="Aptos" w:hAnsi="Aptos"/>
                <w:b w:val="0"/>
                <w:color w:val="172B3A"/>
                <w:sz w:val="16"/>
              </w:rPr>
              <w:t>Prism Central FQDN/IP/version; AOS/AHV cluster; service account; storage container; image service; quotas.</w:t>
            </w:r>
          </w:p>
        </w:tc>
      </w:tr>
      <w:tr>
        <w:trPr>
          <w:cantSplit/>
        </w:trPr>
        <w:tc>
          <w:tcPr>
            <w:tcW w:type="dxa" w:w="1814"/>
            <w:tcMar>
              <w:top w:w="70" w:type="dxa"/>
              <w:start w:w="90" w:type="dxa"/>
              <w:bottom w:w="70" w:type="dxa"/>
              <w:end w:w="90" w:type="dxa"/>
            </w:tcMar>
            <w:vAlign w:val="center"/>
          </w:tcPr>
          <w:p>
            <w:pPr>
              <w:spacing w:after="0" w:before="0"/>
            </w:pPr>
            <w:r/>
            <w:r>
              <w:rPr>
                <w:rFonts w:ascii="Aptos" w:hAnsi="Aptos"/>
                <w:b w:val="0"/>
                <w:color w:val="172B3A"/>
                <w:sz w:val="16"/>
              </w:rPr>
              <w:t>Network</w:t>
            </w:r>
          </w:p>
        </w:tc>
        <w:tc>
          <w:tcPr>
            <w:tcW w:type="dxa" w:w="8050"/>
            <w:tcMar>
              <w:top w:w="70" w:type="dxa"/>
              <w:start w:w="90" w:type="dxa"/>
              <w:bottom w:w="70" w:type="dxa"/>
              <w:end w:w="90" w:type="dxa"/>
            </w:tcMar>
            <w:vAlign w:val="center"/>
          </w:tcPr>
          <w:p>
            <w:pPr>
              <w:spacing w:after="0" w:before="0"/>
            </w:pPr>
            <w:r/>
            <w:r>
              <w:rPr>
                <w:rFonts w:ascii="Aptos" w:hAnsi="Aptos"/>
                <w:b w:val="0"/>
                <w:color w:val="172B3A"/>
                <w:sz w:val="16"/>
              </w:rPr>
              <w:t>Bastion subnet; NKP node subnet; VLAN; MTU; DHCP/IPAM behavior; default gateway; routing; firewall owner.</w:t>
            </w:r>
          </w:p>
        </w:tc>
      </w:tr>
      <w:tr>
        <w:trPr>
          <w:cantSplit/>
        </w:trPr>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6"/>
              </w:rPr>
              <w:t>Addresses</w:t>
            </w:r>
          </w:p>
        </w:tc>
        <w:tc>
          <w:tcPr>
            <w:tcW w:type="dxa" w:w="8050"/>
            <w:tcMar>
              <w:top w:w="70" w:type="dxa"/>
              <w:start w:w="90" w:type="dxa"/>
              <w:bottom w:w="70" w:type="dxa"/>
              <w:end w:w="90" w:type="dxa"/>
            </w:tcMar>
            <w:vAlign w:val="center"/>
            <w:shd w:fill="F8FAFC"/>
          </w:tcPr>
          <w:p>
            <w:pPr>
              <w:spacing w:after="0" w:before="0"/>
            </w:pPr>
            <w:r/>
            <w:r>
              <w:rPr>
                <w:rFonts w:ascii="Aptos" w:hAnsi="Aptos"/>
                <w:b w:val="0"/>
                <w:color w:val="172B3A"/>
                <w:sz w:val="16"/>
              </w:rPr>
              <w:t>Bastion IP; control-plane VIP; service LoadBalancer pool; pod CIDR; service CIDR; bootstrap container CIDR.</w:t>
            </w:r>
          </w:p>
        </w:tc>
      </w:tr>
      <w:tr>
        <w:trPr>
          <w:cantSplit/>
        </w:trPr>
        <w:tc>
          <w:tcPr>
            <w:tcW w:type="dxa" w:w="1814"/>
            <w:tcMar>
              <w:top w:w="70" w:type="dxa"/>
              <w:start w:w="90" w:type="dxa"/>
              <w:bottom w:w="70" w:type="dxa"/>
              <w:end w:w="90" w:type="dxa"/>
            </w:tcMar>
            <w:vAlign w:val="center"/>
          </w:tcPr>
          <w:p>
            <w:pPr>
              <w:spacing w:after="0" w:before="0"/>
            </w:pPr>
            <w:r/>
            <w:r>
              <w:rPr>
                <w:rFonts w:ascii="Aptos" w:hAnsi="Aptos"/>
                <w:b w:val="0"/>
                <w:color w:val="172B3A"/>
                <w:sz w:val="16"/>
              </w:rPr>
              <w:t>Core services</w:t>
            </w:r>
          </w:p>
        </w:tc>
        <w:tc>
          <w:tcPr>
            <w:tcW w:type="dxa" w:w="8050"/>
            <w:tcMar>
              <w:top w:w="70" w:type="dxa"/>
              <w:start w:w="90" w:type="dxa"/>
              <w:bottom w:w="70" w:type="dxa"/>
              <w:end w:w="90" w:type="dxa"/>
            </w:tcMar>
            <w:vAlign w:val="center"/>
          </w:tcPr>
          <w:p>
            <w:pPr>
              <w:spacing w:after="0" w:before="0"/>
            </w:pPr>
            <w:r/>
            <w:r>
              <w:rPr>
                <w:rFonts w:ascii="Aptos" w:hAnsi="Aptos"/>
                <w:b w:val="0"/>
                <w:color w:val="172B3A"/>
                <w:sz w:val="16"/>
              </w:rPr>
              <w:t>DNS servers/search domain; forward and reverse records; NTP servers; customer root/intermediate CA.</w:t>
            </w:r>
          </w:p>
        </w:tc>
      </w:tr>
      <w:tr>
        <w:trPr>
          <w:cantSplit/>
        </w:trPr>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6"/>
              </w:rPr>
              <w:t>Registry</w:t>
            </w:r>
          </w:p>
        </w:tc>
        <w:tc>
          <w:tcPr>
            <w:tcW w:type="dxa" w:w="8050"/>
            <w:tcMar>
              <w:top w:w="70" w:type="dxa"/>
              <w:start w:w="90" w:type="dxa"/>
              <w:bottom w:w="70" w:type="dxa"/>
              <w:end w:w="90" w:type="dxa"/>
            </w:tcMar>
            <w:vAlign w:val="center"/>
            <w:shd w:fill="F8FAFC"/>
          </w:tcPr>
          <w:p>
            <w:pPr>
              <w:spacing w:after="0" w:before="0"/>
            </w:pPr>
            <w:r/>
            <w:r>
              <w:rPr>
                <w:rFonts w:ascii="Aptos" w:hAnsi="Aptos"/>
                <w:b w:val="0"/>
                <w:color w:val="172B3A"/>
                <w:sz w:val="16"/>
              </w:rPr>
              <w:t>Product/FQDN/port; project; quota; service account; certificate chain; backup; retention; vulnerability scan policy.</w:t>
            </w:r>
          </w:p>
        </w:tc>
      </w:tr>
      <w:tr>
        <w:trPr>
          <w:cantSplit/>
        </w:trPr>
        <w:tc>
          <w:tcPr>
            <w:tcW w:type="dxa" w:w="1814"/>
            <w:tcMar>
              <w:top w:w="70" w:type="dxa"/>
              <w:start w:w="90" w:type="dxa"/>
              <w:bottom w:w="70" w:type="dxa"/>
              <w:end w:w="90" w:type="dxa"/>
            </w:tcMar>
            <w:vAlign w:val="center"/>
          </w:tcPr>
          <w:p>
            <w:pPr>
              <w:spacing w:after="0" w:before="0"/>
            </w:pPr>
            <w:r/>
            <w:r>
              <w:rPr>
                <w:rFonts w:ascii="Aptos" w:hAnsi="Aptos"/>
                <w:b w:val="0"/>
                <w:color w:val="172B3A"/>
                <w:sz w:val="16"/>
              </w:rPr>
              <w:t>Security</w:t>
            </w:r>
          </w:p>
        </w:tc>
        <w:tc>
          <w:tcPr>
            <w:tcW w:type="dxa" w:w="8050"/>
            <w:tcMar>
              <w:top w:w="70" w:type="dxa"/>
              <w:start w:w="90" w:type="dxa"/>
              <w:bottom w:w="70" w:type="dxa"/>
              <w:end w:w="90" w:type="dxa"/>
            </w:tcMar>
            <w:vAlign w:val="center"/>
          </w:tcPr>
          <w:p>
            <w:pPr>
              <w:spacing w:after="0" w:before="0"/>
            </w:pPr>
            <w:r/>
            <w:r>
              <w:rPr>
                <w:rFonts w:ascii="Aptos" w:hAnsi="Aptos"/>
                <w:b w:val="0"/>
                <w:color w:val="172B3A"/>
                <w:sz w:val="16"/>
              </w:rPr>
              <w:t>Media transfer process; malware scan; encryption; chain of custody; approved algorithms; log handling.</w:t>
            </w:r>
          </w:p>
        </w:tc>
      </w:tr>
      <w:tr>
        <w:trPr>
          <w:cantSplit/>
        </w:trPr>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6"/>
              </w:rPr>
              <w:t>Operations</w:t>
            </w:r>
          </w:p>
        </w:tc>
        <w:tc>
          <w:tcPr>
            <w:tcW w:type="dxa" w:w="8050"/>
            <w:tcMar>
              <w:top w:w="70" w:type="dxa"/>
              <w:start w:w="90" w:type="dxa"/>
              <w:bottom w:w="70" w:type="dxa"/>
              <w:end w:w="90" w:type="dxa"/>
            </w:tcMar>
            <w:vAlign w:val="center"/>
            <w:shd w:fill="F8FAFC"/>
          </w:tcPr>
          <w:p>
            <w:pPr>
              <w:spacing w:after="0" w:before="0"/>
            </w:pPr>
            <w:r/>
            <w:r>
              <w:rPr>
                <w:rFonts w:ascii="Aptos" w:hAnsi="Aptos"/>
                <w:b w:val="0"/>
                <w:color w:val="172B3A"/>
                <w:sz w:val="16"/>
              </w:rPr>
              <w:t>Change window; go/no-go authority; incident contacts; Nutanix support entitlement; rollback owner; acceptance sign-off.</w:t>
            </w:r>
          </w:p>
        </w:tc>
      </w:tr>
    </w:tbl>
    <w:p>
      <w:pPr>
        <w:spacing w:after="0"/>
      </w:pPr>
    </w:p>
    <w:p>
      <w:pPr>
        <w:pStyle w:val="Heading2"/>
        <w:keepNext/>
      </w:pPr>
      <w:r>
        <w:t>4.2 Release bill of materials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551"/>
            <w:tcMar>
              <w:top w:w="70" w:type="dxa"/>
              <w:start w:w="90" w:type="dxa"/>
              <w:bottom w:w="70" w:type="dxa"/>
              <w:end w:w="90" w:type="dxa"/>
            </w:tcMar>
            <w:vAlign w:val="center"/>
            <w:shd w:fill="17324D"/>
          </w:tcPr>
          <w:p>
            <w:pPr>
              <w:spacing w:after="0" w:before="0"/>
            </w:pPr>
            <w:r/>
            <w:r>
              <w:rPr>
                <w:rFonts w:ascii="Aptos" w:hAnsi="Aptos"/>
                <w:b/>
                <w:color w:val="FFFFFF"/>
                <w:sz w:val="16"/>
              </w:rPr>
              <w:t>Artifact</w:t>
            </w:r>
          </w:p>
        </w:tc>
        <w:tc>
          <w:tcPr>
            <w:tcW w:type="dxa" w:w="1814"/>
            <w:tcMar>
              <w:top w:w="70" w:type="dxa"/>
              <w:start w:w="90" w:type="dxa"/>
              <w:bottom w:w="70" w:type="dxa"/>
              <w:end w:w="90" w:type="dxa"/>
            </w:tcMar>
            <w:vAlign w:val="center"/>
            <w:shd w:fill="17324D"/>
          </w:tcPr>
          <w:p>
            <w:pPr>
              <w:spacing w:after="0" w:before="0"/>
            </w:pPr>
            <w:r/>
            <w:r>
              <w:rPr>
                <w:rFonts w:ascii="Aptos" w:hAnsi="Aptos"/>
                <w:b/>
                <w:color w:val="FFFFFF"/>
                <w:sz w:val="16"/>
              </w:rPr>
              <w:t>Required</w:t>
            </w:r>
          </w:p>
        </w:tc>
        <w:tc>
          <w:tcPr>
            <w:tcW w:type="dxa" w:w="5499"/>
            <w:tcMar>
              <w:top w:w="70" w:type="dxa"/>
              <w:start w:w="90" w:type="dxa"/>
              <w:bottom w:w="70" w:type="dxa"/>
              <w:end w:w="90" w:type="dxa"/>
            </w:tcMar>
            <w:vAlign w:val="center"/>
            <w:shd w:fill="17324D"/>
          </w:tcPr>
          <w:p>
            <w:pPr>
              <w:spacing w:after="0" w:before="0"/>
            </w:pPr>
            <w:r/>
            <w:r>
              <w:rPr>
                <w:rFonts w:ascii="Aptos" w:hAnsi="Aptos"/>
                <w:b/>
                <w:color w:val="FFFFFF"/>
                <w:sz w:val="16"/>
              </w:rPr>
              <w:t>Recorded fields</w:t>
            </w:r>
          </w:p>
        </w:tc>
      </w:tr>
      <w:tr>
        <w:trPr>
          <w:cantSplit/>
        </w:trPr>
        <w:tc>
          <w:tcPr>
            <w:tcW w:type="dxa" w:w="2551"/>
            <w:tcMar>
              <w:top w:w="70" w:type="dxa"/>
              <w:start w:w="90" w:type="dxa"/>
              <w:bottom w:w="70" w:type="dxa"/>
              <w:end w:w="90" w:type="dxa"/>
            </w:tcMar>
            <w:vAlign w:val="center"/>
          </w:tcPr>
          <w:p>
            <w:pPr>
              <w:spacing w:after="0" w:before="0"/>
            </w:pPr>
            <w:r/>
            <w:r>
              <w:rPr>
                <w:rFonts w:ascii="Aptos" w:hAnsi="Aptos"/>
                <w:b w:val="0"/>
                <w:color w:val="172B3A"/>
                <w:sz w:val="15"/>
              </w:rPr>
              <w:t>NKP Linux x86_64 CLI</w:t>
            </w:r>
          </w:p>
        </w:tc>
        <w:tc>
          <w:tcPr>
            <w:tcW w:type="dxa" w:w="1814"/>
            <w:tcMar>
              <w:top w:w="70" w:type="dxa"/>
              <w:start w:w="90" w:type="dxa"/>
              <w:bottom w:w="70" w:type="dxa"/>
              <w:end w:w="90" w:type="dxa"/>
            </w:tcMar>
            <w:vAlign w:val="center"/>
          </w:tcPr>
          <w:p>
            <w:pPr>
              <w:spacing w:after="0" w:before="0"/>
            </w:pPr>
            <w:r/>
            <w:r>
              <w:rPr>
                <w:rFonts w:ascii="Aptos" w:hAnsi="Aptos"/>
                <w:b w:val="0"/>
                <w:color w:val="172B3A"/>
                <w:sz w:val="15"/>
              </w:rPr>
              <w:t>Yes</w:t>
            </w:r>
          </w:p>
        </w:tc>
        <w:tc>
          <w:tcPr>
            <w:tcW w:type="dxa" w:w="5499"/>
            <w:tcMar>
              <w:top w:w="70" w:type="dxa"/>
              <w:start w:w="90" w:type="dxa"/>
              <w:bottom w:w="70" w:type="dxa"/>
              <w:end w:w="90" w:type="dxa"/>
            </w:tcMar>
            <w:vAlign w:val="center"/>
          </w:tcPr>
          <w:p>
            <w:pPr>
              <w:spacing w:after="0" w:before="0"/>
            </w:pPr>
            <w:r/>
            <w:r>
              <w:rPr>
                <w:rFonts w:ascii="Aptos" w:hAnsi="Aptos"/>
                <w:b w:val="0"/>
                <w:color w:val="172B3A"/>
                <w:sz w:val="15"/>
              </w:rPr>
              <w:t>Exact filename, version output, byte size, SHA256, source portal, download UTC.</w:t>
            </w:r>
          </w:p>
        </w:tc>
      </w:tr>
      <w:tr>
        <w:trPr>
          <w:cantSplit/>
        </w:trPr>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NKP air-gapped image bundle</w:t>
            </w:r>
          </w:p>
        </w:tc>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5"/>
              </w:rPr>
              <w:t>Yes</w:t>
            </w:r>
          </w:p>
        </w:tc>
        <w:tc>
          <w:tcPr>
            <w:tcW w:type="dxa" w:w="5499"/>
            <w:tcMar>
              <w:top w:w="70" w:type="dxa"/>
              <w:start w:w="90" w:type="dxa"/>
              <w:bottom w:w="70" w:type="dxa"/>
              <w:end w:w="90" w:type="dxa"/>
            </w:tcMar>
            <w:vAlign w:val="center"/>
            <w:shd w:fill="F8FAFC"/>
          </w:tcPr>
          <w:p>
            <w:pPr>
              <w:spacing w:after="0" w:before="0"/>
            </w:pPr>
            <w:r/>
            <w:r>
              <w:rPr>
                <w:rFonts w:ascii="Aptos" w:hAnsi="Aptos"/>
                <w:b w:val="0"/>
                <w:color w:val="172B3A"/>
                <w:sz w:val="15"/>
              </w:rPr>
              <w:t>Exact filename, release/build, byte size, SHA256, bundle manifest/image count if available.</w:t>
            </w:r>
          </w:p>
        </w:tc>
      </w:tr>
      <w:tr>
        <w:trPr>
          <w:cantSplit/>
        </w:trPr>
        <w:tc>
          <w:tcPr>
            <w:tcW w:type="dxa" w:w="2551"/>
            <w:tcMar>
              <w:top w:w="70" w:type="dxa"/>
              <w:start w:w="90" w:type="dxa"/>
              <w:bottom w:w="70" w:type="dxa"/>
              <w:end w:w="90" w:type="dxa"/>
            </w:tcMar>
            <w:vAlign w:val="center"/>
          </w:tcPr>
          <w:p>
            <w:pPr>
              <w:spacing w:after="0" w:before="0"/>
            </w:pPr>
            <w:r/>
            <w:r>
              <w:rPr>
                <w:rFonts w:ascii="Aptos" w:hAnsi="Aptos"/>
                <w:b w:val="0"/>
                <w:color w:val="172B3A"/>
                <w:sz w:val="15"/>
              </w:rPr>
              <w:t>NKP-qualified Nutanix node image</w:t>
            </w:r>
          </w:p>
        </w:tc>
        <w:tc>
          <w:tcPr>
            <w:tcW w:type="dxa" w:w="1814"/>
            <w:tcMar>
              <w:top w:w="70" w:type="dxa"/>
              <w:start w:w="90" w:type="dxa"/>
              <w:bottom w:w="70" w:type="dxa"/>
              <w:end w:w="90" w:type="dxa"/>
            </w:tcMar>
            <w:vAlign w:val="center"/>
          </w:tcPr>
          <w:p>
            <w:pPr>
              <w:spacing w:after="0" w:before="0"/>
            </w:pPr>
            <w:r/>
            <w:r>
              <w:rPr>
                <w:rFonts w:ascii="Aptos" w:hAnsi="Aptos"/>
                <w:b w:val="0"/>
                <w:color w:val="172B3A"/>
                <w:sz w:val="15"/>
              </w:rPr>
              <w:t>Yes</w:t>
            </w:r>
          </w:p>
        </w:tc>
        <w:tc>
          <w:tcPr>
            <w:tcW w:type="dxa" w:w="5499"/>
            <w:tcMar>
              <w:top w:w="70" w:type="dxa"/>
              <w:start w:w="90" w:type="dxa"/>
              <w:bottom w:w="70" w:type="dxa"/>
              <w:end w:w="90" w:type="dxa"/>
            </w:tcMar>
            <w:vAlign w:val="center"/>
          </w:tcPr>
          <w:p>
            <w:pPr>
              <w:spacing w:after="0" w:before="0"/>
            </w:pPr>
            <w:r/>
            <w:r>
              <w:rPr>
                <w:rFonts w:ascii="Aptos" w:hAnsi="Aptos"/>
                <w:b w:val="0"/>
                <w:color w:val="172B3A"/>
                <w:sz w:val="15"/>
              </w:rPr>
              <w:t>Filename, OS/Kubernetes mapping, SHA256, Prism image name/UUID after import.</w:t>
            </w:r>
          </w:p>
        </w:tc>
      </w:tr>
      <w:tr>
        <w:trPr>
          <w:cantSplit/>
        </w:trPr>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Release notes and installation guide</w:t>
            </w:r>
          </w:p>
        </w:tc>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5"/>
              </w:rPr>
              <w:t>Yes</w:t>
            </w:r>
          </w:p>
        </w:tc>
        <w:tc>
          <w:tcPr>
            <w:tcW w:type="dxa" w:w="5499"/>
            <w:tcMar>
              <w:top w:w="70" w:type="dxa"/>
              <w:start w:w="90" w:type="dxa"/>
              <w:bottom w:w="70" w:type="dxa"/>
              <w:end w:w="90" w:type="dxa"/>
            </w:tcMar>
            <w:vAlign w:val="center"/>
            <w:shd w:fill="F8FAFC"/>
          </w:tcPr>
          <w:p>
            <w:pPr>
              <w:spacing w:after="0" w:before="0"/>
            </w:pPr>
            <w:r/>
            <w:r>
              <w:rPr>
                <w:rFonts w:ascii="Aptos" w:hAnsi="Aptos"/>
                <w:b w:val="0"/>
                <w:color w:val="172B3A"/>
                <w:sz w:val="15"/>
              </w:rPr>
              <w:t>PDF/HTML saved offline; document version/date; checksum for the saved copy.</w:t>
            </w:r>
          </w:p>
        </w:tc>
      </w:tr>
      <w:tr>
        <w:trPr>
          <w:cantSplit/>
        </w:trPr>
        <w:tc>
          <w:tcPr>
            <w:tcW w:type="dxa" w:w="2551"/>
            <w:tcMar>
              <w:top w:w="70" w:type="dxa"/>
              <w:start w:w="90" w:type="dxa"/>
              <w:bottom w:w="70" w:type="dxa"/>
              <w:end w:w="90" w:type="dxa"/>
            </w:tcMar>
            <w:vAlign w:val="center"/>
          </w:tcPr>
          <w:p>
            <w:pPr>
              <w:spacing w:after="0" w:before="0"/>
            </w:pPr>
            <w:r/>
            <w:r>
              <w:rPr>
                <w:rFonts w:ascii="Aptos" w:hAnsi="Aptos"/>
                <w:b w:val="0"/>
                <w:color w:val="172B3A"/>
                <w:sz w:val="15"/>
              </w:rPr>
              <w:t>License/entitlement information</w:t>
            </w:r>
          </w:p>
        </w:tc>
        <w:tc>
          <w:tcPr>
            <w:tcW w:type="dxa" w:w="1814"/>
            <w:tcMar>
              <w:top w:w="70" w:type="dxa"/>
              <w:start w:w="90" w:type="dxa"/>
              <w:bottom w:w="70" w:type="dxa"/>
              <w:end w:w="90" w:type="dxa"/>
            </w:tcMar>
            <w:vAlign w:val="center"/>
          </w:tcPr>
          <w:p>
            <w:pPr>
              <w:spacing w:after="0" w:before="0"/>
            </w:pPr>
            <w:r/>
            <w:r>
              <w:rPr>
                <w:rFonts w:ascii="Aptos" w:hAnsi="Aptos"/>
                <w:b w:val="0"/>
                <w:color w:val="172B3A"/>
                <w:sz w:val="15"/>
              </w:rPr>
              <w:t>As applicable</w:t>
            </w:r>
          </w:p>
        </w:tc>
        <w:tc>
          <w:tcPr>
            <w:tcW w:type="dxa" w:w="5499"/>
            <w:tcMar>
              <w:top w:w="70" w:type="dxa"/>
              <w:start w:w="90" w:type="dxa"/>
              <w:bottom w:w="70" w:type="dxa"/>
              <w:end w:w="90" w:type="dxa"/>
            </w:tcMar>
            <w:vAlign w:val="center"/>
          </w:tcPr>
          <w:p>
            <w:pPr>
              <w:spacing w:after="0" w:before="0"/>
            </w:pPr>
            <w:r/>
            <w:r>
              <w:rPr>
                <w:rFonts w:ascii="Aptos" w:hAnsi="Aptos"/>
                <w:b w:val="0"/>
                <w:color w:val="172B3A"/>
                <w:sz w:val="15"/>
              </w:rPr>
              <w:t>License file/key or portal entitlement process; owner; secure storage.</w:t>
            </w:r>
          </w:p>
        </w:tc>
      </w:tr>
      <w:tr>
        <w:trPr>
          <w:cantSplit/>
        </w:trPr>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Container runtime packages</w:t>
            </w:r>
          </w:p>
        </w:tc>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5"/>
              </w:rPr>
              <w:t>Yes for bootstrap/Harbor path</w:t>
            </w:r>
          </w:p>
        </w:tc>
        <w:tc>
          <w:tcPr>
            <w:tcW w:type="dxa" w:w="5499"/>
            <w:tcMar>
              <w:top w:w="70" w:type="dxa"/>
              <w:start w:w="90" w:type="dxa"/>
              <w:bottom w:w="70" w:type="dxa"/>
              <w:end w:w="90" w:type="dxa"/>
            </w:tcMar>
            <w:vAlign w:val="center"/>
            <w:shd w:fill="F8FAFC"/>
          </w:tcPr>
          <w:p>
            <w:pPr>
              <w:spacing w:after="0" w:before="0"/>
            </w:pPr>
            <w:r/>
            <w:r>
              <w:rPr>
                <w:rFonts w:ascii="Aptos" w:hAnsi="Aptos"/>
                <w:b w:val="0"/>
                <w:color w:val="172B3A"/>
                <w:sz w:val="15"/>
              </w:rPr>
              <w:t>Runtime version accepted by the NKP and Harbor release; RPMs/dependencies; SHA256.</w:t>
            </w:r>
          </w:p>
        </w:tc>
      </w:tr>
      <w:tr>
        <w:trPr>
          <w:cantSplit/>
        </w:trPr>
        <w:tc>
          <w:tcPr>
            <w:tcW w:type="dxa" w:w="2551"/>
            <w:tcMar>
              <w:top w:w="70" w:type="dxa"/>
              <w:start w:w="90" w:type="dxa"/>
              <w:bottom w:w="70" w:type="dxa"/>
              <w:end w:w="90" w:type="dxa"/>
            </w:tcMar>
            <w:vAlign w:val="center"/>
          </w:tcPr>
          <w:p>
            <w:pPr>
              <w:spacing w:after="0" w:before="0"/>
            </w:pPr>
            <w:r/>
            <w:r>
              <w:rPr>
                <w:rFonts w:ascii="Aptos" w:hAnsi="Aptos"/>
                <w:b w:val="0"/>
                <w:color w:val="172B3A"/>
                <w:sz w:val="15"/>
              </w:rPr>
              <w:t>Harbor offline installer</w:t>
            </w:r>
          </w:p>
        </w:tc>
        <w:tc>
          <w:tcPr>
            <w:tcW w:type="dxa" w:w="1814"/>
            <w:tcMar>
              <w:top w:w="70" w:type="dxa"/>
              <w:start w:w="90" w:type="dxa"/>
              <w:bottom w:w="70" w:type="dxa"/>
              <w:end w:w="90" w:type="dxa"/>
            </w:tcMar>
            <w:vAlign w:val="center"/>
          </w:tcPr>
          <w:p>
            <w:pPr>
              <w:spacing w:after="0" w:before="0"/>
            </w:pPr>
            <w:r/>
            <w:r>
              <w:rPr>
                <w:rFonts w:ascii="Aptos" w:hAnsi="Aptos"/>
                <w:b w:val="0"/>
                <w:color w:val="172B3A"/>
                <w:sz w:val="15"/>
              </w:rPr>
              <w:t>Only when no enterprise registry exists</w:t>
            </w:r>
          </w:p>
        </w:tc>
        <w:tc>
          <w:tcPr>
            <w:tcW w:type="dxa" w:w="5499"/>
            <w:tcMar>
              <w:top w:w="70" w:type="dxa"/>
              <w:start w:w="90" w:type="dxa"/>
              <w:bottom w:w="70" w:type="dxa"/>
              <w:end w:w="90" w:type="dxa"/>
            </w:tcMar>
            <w:vAlign w:val="center"/>
          </w:tcPr>
          <w:p>
            <w:pPr>
              <w:spacing w:after="0" w:before="0"/>
            </w:pPr>
            <w:r/>
            <w:r>
              <w:rPr>
                <w:rFonts w:ascii="Aptos" w:hAnsi="Aptos"/>
                <w:b w:val="0"/>
                <w:color w:val="172B3A"/>
                <w:sz w:val="15"/>
              </w:rPr>
              <w:t>Pinned Harbor version, offline installer, checksum, certificate plan, data volume.</w:t>
            </w:r>
          </w:p>
        </w:tc>
      </w:tr>
      <w:tr>
        <w:trPr>
          <w:cantSplit/>
        </w:trPr>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kubectl/Helm/yq and validation images</w:t>
            </w:r>
          </w:p>
        </w:tc>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5"/>
              </w:rPr>
              <w:t>As required</w:t>
            </w:r>
          </w:p>
        </w:tc>
        <w:tc>
          <w:tcPr>
            <w:tcW w:type="dxa" w:w="5499"/>
            <w:tcMar>
              <w:top w:w="70" w:type="dxa"/>
              <w:start w:w="90" w:type="dxa"/>
              <w:bottom w:w="70" w:type="dxa"/>
              <w:end w:w="90" w:type="dxa"/>
            </w:tcMar>
            <w:vAlign w:val="center"/>
            <w:shd w:fill="F8FAFC"/>
          </w:tcPr>
          <w:p>
            <w:pPr>
              <w:spacing w:after="0" w:before="0"/>
            </w:pPr>
            <w:r/>
            <w:r>
              <w:rPr>
                <w:rFonts w:ascii="Aptos" w:hAnsi="Aptos"/>
                <w:b w:val="0"/>
                <w:color w:val="172B3A"/>
                <w:sz w:val="15"/>
              </w:rPr>
              <w:t>Versions compatible with NKP; official URL; SHA256; immutable image digest.</w:t>
            </w:r>
          </w:p>
        </w:tc>
      </w:tr>
      <w:tr>
        <w:trPr>
          <w:cantSplit/>
        </w:trPr>
        <w:tc>
          <w:tcPr>
            <w:tcW w:type="dxa" w:w="2551"/>
            <w:tcMar>
              <w:top w:w="70" w:type="dxa"/>
              <w:start w:w="90" w:type="dxa"/>
              <w:bottom w:w="70" w:type="dxa"/>
              <w:end w:w="90" w:type="dxa"/>
            </w:tcMar>
            <w:vAlign w:val="center"/>
          </w:tcPr>
          <w:p>
            <w:pPr>
              <w:spacing w:after="0" w:before="0"/>
            </w:pPr>
            <w:r/>
            <w:r>
              <w:rPr>
                <w:rFonts w:ascii="Aptos" w:hAnsi="Aptos"/>
                <w:b w:val="0"/>
                <w:color w:val="172B3A"/>
                <w:sz w:val="15"/>
              </w:rPr>
              <w:t>RHEL ISO and offline RPM repository</w:t>
            </w:r>
          </w:p>
        </w:tc>
        <w:tc>
          <w:tcPr>
            <w:tcW w:type="dxa" w:w="1814"/>
            <w:tcMar>
              <w:top w:w="70" w:type="dxa"/>
              <w:start w:w="90" w:type="dxa"/>
              <w:bottom w:w="70" w:type="dxa"/>
              <w:end w:w="90" w:type="dxa"/>
            </w:tcMar>
            <w:vAlign w:val="center"/>
          </w:tcPr>
          <w:p>
            <w:pPr>
              <w:spacing w:after="0" w:before="0"/>
            </w:pPr>
            <w:r/>
            <w:r>
              <w:rPr>
                <w:rFonts w:ascii="Aptos" w:hAnsi="Aptos"/>
                <w:b w:val="0"/>
                <w:color w:val="172B3A"/>
                <w:sz w:val="15"/>
              </w:rPr>
              <w:t>Yes for reference bastion</w:t>
            </w:r>
          </w:p>
        </w:tc>
        <w:tc>
          <w:tcPr>
            <w:tcW w:type="dxa" w:w="5499"/>
            <w:tcMar>
              <w:top w:w="70" w:type="dxa"/>
              <w:start w:w="90" w:type="dxa"/>
              <w:bottom w:w="70" w:type="dxa"/>
              <w:end w:w="90" w:type="dxa"/>
            </w:tcMar>
            <w:vAlign w:val="center"/>
          </w:tcPr>
          <w:p>
            <w:pPr>
              <w:spacing w:after="0" w:before="0"/>
            </w:pPr>
            <w:r/>
            <w:r>
              <w:rPr>
                <w:rFonts w:ascii="Aptos" w:hAnsi="Aptos"/>
                <w:b w:val="0"/>
                <w:color w:val="172B3A"/>
                <w:sz w:val="15"/>
              </w:rPr>
              <w:t>RHEL 9 media, GPG keys, package cache, repository metadata, manifest.</w:t>
            </w:r>
          </w:p>
        </w:tc>
      </w:tr>
      <w:tr>
        <w:trPr>
          <w:cantSplit/>
        </w:trPr>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Customer CA files</w:t>
            </w:r>
          </w:p>
        </w:tc>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5"/>
              </w:rPr>
              <w:t>Yes</w:t>
            </w:r>
          </w:p>
        </w:tc>
        <w:tc>
          <w:tcPr>
            <w:tcW w:type="dxa" w:w="5499"/>
            <w:tcMar>
              <w:top w:w="70" w:type="dxa"/>
              <w:start w:w="90" w:type="dxa"/>
              <w:bottom w:w="70" w:type="dxa"/>
              <w:end w:w="90" w:type="dxa"/>
            </w:tcMar>
            <w:vAlign w:val="center"/>
            <w:shd w:fill="F8FAFC"/>
          </w:tcPr>
          <w:p>
            <w:pPr>
              <w:spacing w:after="0" w:before="0"/>
            </w:pPr>
            <w:r/>
            <w:r>
              <w:rPr>
                <w:rFonts w:ascii="Aptos" w:hAnsi="Aptos"/>
                <w:b w:val="0"/>
                <w:color w:val="172B3A"/>
                <w:sz w:val="15"/>
              </w:rPr>
              <w:t>Root/intermediate chains only; server key generated/retained according to customer policy.</w:t>
            </w:r>
          </w:p>
        </w:tc>
      </w:tr>
    </w:tbl>
    <w:p>
      <w:pPr>
        <w:spacing w:after="0"/>
      </w:pPr>
    </w:p>
    <w:p>
      <w:pPr>
        <w:pStyle w:val="Heading2"/>
        <w:keepNext/>
      </w:pPr>
      <w:r>
        <w:t>4.3 Address overlap validation</w:t>
      </w:r>
    </w:p>
    <w:p>
      <w:pPr>
        <w:spacing w:after="120" w:line="259" w:lineRule="auto"/>
      </w:pPr>
      <w:r>
        <w:t>Pod, service, node, service LoadBalancer, control-plane VIP, Docker/Kind bridge, and management CIDRs must not overlap. Run the supplied preflight and also compare against remote routes, VPN ranges, DR networks, and future peering plans.</w:t>
      </w:r>
    </w:p>
    <w:p>
      <w:pPr>
        <w:spacing w:after="40"/>
      </w:pPr>
      <w:r>
        <w:rPr>
          <w:b/>
          <w:color w:val="1F6E8C"/>
          <w:sz w:val="18"/>
        </w:rPr>
        <w:t>Manual CIDR check</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python3 - &lt;&lt;'PY'</w:t>
            </w:r>
            <w:r>
              <w:br/>
            </w:r>
            <w:r>
              <w:rPr>
                <w:rFonts w:ascii="Consolas" w:hAnsi="Consolas" w:eastAsia="Consolas"/>
                <w:color w:val="172B3A"/>
                <w:sz w:val="16"/>
              </w:rPr>
              <w:t>import ipaddress</w:t>
            </w:r>
            <w:r>
              <w:br/>
            </w:r>
            <w:r>
              <w:rPr>
                <w:rFonts w:ascii="Consolas" w:hAnsi="Consolas" w:eastAsia="Consolas"/>
                <w:color w:val="172B3A"/>
                <w:sz w:val="16"/>
              </w:rPr>
              <w:t>nets = {</w:t>
            </w:r>
            <w:r>
              <w:br/>
            </w:r>
            <w:r>
              <w:rPr>
                <w:rFonts w:ascii="Consolas" w:hAnsi="Consolas" w:eastAsia="Consolas"/>
                <w:color w:val="172B3A"/>
                <w:sz w:val="16"/>
              </w:rPr>
              <w:t xml:space="preserve">  'node_subnet': '&lt;CIDR&gt;',</w:t>
            </w:r>
            <w:r>
              <w:br/>
            </w:r>
            <w:r>
              <w:rPr>
                <w:rFonts w:ascii="Consolas" w:hAnsi="Consolas" w:eastAsia="Consolas"/>
                <w:color w:val="172B3A"/>
                <w:sz w:val="16"/>
              </w:rPr>
              <w:t xml:space="preserve">  'pod_cidr': '&lt;CIDR&gt;',</w:t>
            </w:r>
            <w:r>
              <w:br/>
            </w:r>
            <w:r>
              <w:rPr>
                <w:rFonts w:ascii="Consolas" w:hAnsi="Consolas" w:eastAsia="Consolas"/>
                <w:color w:val="172B3A"/>
                <w:sz w:val="16"/>
              </w:rPr>
              <w:t xml:space="preserve">  'service_cidr': '&lt;CIDR&gt;',</w:t>
            </w:r>
            <w:r>
              <w:br/>
            </w:r>
            <w:r>
              <w:rPr>
                <w:rFonts w:ascii="Consolas" w:hAnsi="Consolas" w:eastAsia="Consolas"/>
                <w:color w:val="172B3A"/>
                <w:sz w:val="16"/>
              </w:rPr>
              <w:t xml:space="preserve">  'bootstrap_container_cidr': '&lt;CIDR&gt;'</w:t>
            </w:r>
            <w:r>
              <w:br/>
            </w:r>
            <w:r>
              <w:rPr>
                <w:rFonts w:ascii="Consolas" w:hAnsi="Consolas" w:eastAsia="Consolas"/>
                <w:color w:val="172B3A"/>
                <w:sz w:val="16"/>
              </w:rPr>
              <w:t>}</w:t>
            </w:r>
            <w:r>
              <w:br/>
            </w:r>
            <w:r>
              <w:rPr>
                <w:rFonts w:ascii="Consolas" w:hAnsi="Consolas" w:eastAsia="Consolas"/>
                <w:color w:val="172B3A"/>
                <w:sz w:val="16"/>
              </w:rPr>
              <w:t>for a, an in nets.items():</w:t>
            </w:r>
            <w:r>
              <w:br/>
            </w:r>
            <w:r>
              <w:rPr>
                <w:rFonts w:ascii="Consolas" w:hAnsi="Consolas" w:eastAsia="Consolas"/>
                <w:color w:val="172B3A"/>
                <w:sz w:val="16"/>
              </w:rPr>
              <w:t xml:space="preserve">    na = ipaddress.ip_network(an, strict=False)</w:t>
            </w:r>
            <w:r>
              <w:br/>
            </w:r>
            <w:r>
              <w:rPr>
                <w:rFonts w:ascii="Consolas" w:hAnsi="Consolas" w:eastAsia="Consolas"/>
                <w:color w:val="172B3A"/>
                <w:sz w:val="16"/>
              </w:rPr>
              <w:t xml:space="preserve">    for b, bn in nets.items():</w:t>
            </w:r>
            <w:r>
              <w:br/>
            </w:r>
            <w:r>
              <w:rPr>
                <w:rFonts w:ascii="Consolas" w:hAnsi="Consolas" w:eastAsia="Consolas"/>
                <w:color w:val="172B3A"/>
                <w:sz w:val="16"/>
              </w:rPr>
              <w:t xml:space="preserve">        if a &lt; b and na.overlaps(ipaddress.ip_network(bn, strict=False)):</w:t>
            </w:r>
            <w:r>
              <w:br/>
            </w:r>
            <w:r>
              <w:rPr>
                <w:rFonts w:ascii="Consolas" w:hAnsi="Consolas" w:eastAsia="Consolas"/>
                <w:color w:val="172B3A"/>
                <w:sz w:val="16"/>
              </w:rPr>
              <w:t xml:space="preserve">            raise SystemExit(f'OVERLAP: {a} {an} and {b} {bn}')</w:t>
            </w:r>
            <w:r>
              <w:br/>
            </w:r>
            <w:r>
              <w:rPr>
                <w:rFonts w:ascii="Consolas" w:hAnsi="Consolas" w:eastAsia="Consolas"/>
                <w:color w:val="172B3A"/>
                <w:sz w:val="16"/>
              </w:rPr>
              <w:t>print('PASS: no supplied CIDRs overlap')</w:t>
            </w:r>
            <w:r>
              <w:br/>
            </w:r>
            <w:r>
              <w:rPr>
                <w:rFonts w:ascii="Consolas" w:hAnsi="Consolas" w:eastAsia="Consolas"/>
                <w:color w:val="172B3A"/>
                <w:sz w:val="16"/>
              </w:rPr>
              <w:t>PY</w:t>
            </w:r>
          </w:p>
        </w:tc>
      </w:tr>
    </w:tbl>
    <w:p>
      <w:pPr>
        <w:spacing w:after="0"/>
      </w:pPr>
    </w:p>
    <w:p>
      <w:pPr>
        <w:pStyle w:val="Heading1"/>
        <w:keepNext/>
      </w:pPr>
      <w:r>
        <w:t>5. Network, firewall, DNS, NTP, and PKI design</w:t>
      </w:r>
    </w:p>
    <w:p>
      <w:pPr>
        <w:pStyle w:val="Heading2"/>
        <w:keepNext/>
      </w:pPr>
      <w:r>
        <w:t>5.1 Baseline communication matrix</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098"/>
            <w:tcMar>
              <w:top w:w="70" w:type="dxa"/>
              <w:start w:w="90" w:type="dxa"/>
              <w:bottom w:w="70" w:type="dxa"/>
              <w:end w:w="90" w:type="dxa"/>
            </w:tcMar>
            <w:vAlign w:val="center"/>
            <w:shd w:fill="17324D"/>
          </w:tcPr>
          <w:p>
            <w:pPr>
              <w:spacing w:after="0" w:before="0"/>
            </w:pPr>
            <w:r/>
            <w:r>
              <w:rPr>
                <w:rFonts w:ascii="Aptos" w:hAnsi="Aptos"/>
                <w:b/>
                <w:color w:val="FFFFFF"/>
                <w:sz w:val="15"/>
              </w:rPr>
              <w:t>Source</w:t>
            </w:r>
          </w:p>
        </w:tc>
        <w:tc>
          <w:tcPr>
            <w:tcW w:type="dxa" w:w="2381"/>
            <w:tcMar>
              <w:top w:w="70" w:type="dxa"/>
              <w:start w:w="90" w:type="dxa"/>
              <w:bottom w:w="70" w:type="dxa"/>
              <w:end w:w="90" w:type="dxa"/>
            </w:tcMar>
            <w:vAlign w:val="center"/>
            <w:shd w:fill="17324D"/>
          </w:tcPr>
          <w:p>
            <w:pPr>
              <w:spacing w:after="0" w:before="0"/>
            </w:pPr>
            <w:r/>
            <w:r>
              <w:rPr>
                <w:rFonts w:ascii="Aptos" w:hAnsi="Aptos"/>
                <w:b/>
                <w:color w:val="FFFFFF"/>
                <w:sz w:val="15"/>
              </w:rPr>
              <w:t>Destination</w:t>
            </w:r>
          </w:p>
        </w:tc>
        <w:tc>
          <w:tcPr>
            <w:tcW w:type="dxa" w:w="1701"/>
            <w:tcMar>
              <w:top w:w="70" w:type="dxa"/>
              <w:start w:w="90" w:type="dxa"/>
              <w:bottom w:w="70" w:type="dxa"/>
              <w:end w:w="90" w:type="dxa"/>
            </w:tcMar>
            <w:vAlign w:val="center"/>
            <w:shd w:fill="17324D"/>
          </w:tcPr>
          <w:p>
            <w:pPr>
              <w:spacing w:after="0" w:before="0"/>
            </w:pPr>
            <w:r/>
            <w:r>
              <w:rPr>
                <w:rFonts w:ascii="Aptos" w:hAnsi="Aptos"/>
                <w:b/>
                <w:color w:val="FFFFFF"/>
                <w:sz w:val="15"/>
              </w:rPr>
              <w:t>Port/protocol</w:t>
            </w:r>
          </w:p>
        </w:tc>
        <w:tc>
          <w:tcPr>
            <w:tcW w:type="dxa" w:w="3742"/>
            <w:tcMar>
              <w:top w:w="70" w:type="dxa"/>
              <w:start w:w="90" w:type="dxa"/>
              <w:bottom w:w="70" w:type="dxa"/>
              <w:end w:w="90" w:type="dxa"/>
            </w:tcMar>
            <w:vAlign w:val="center"/>
            <w:shd w:fill="17324D"/>
          </w:tcPr>
          <w:p>
            <w:pPr>
              <w:spacing w:after="0" w:before="0"/>
            </w:pPr>
            <w:r/>
            <w:r>
              <w:rPr>
                <w:rFonts w:ascii="Aptos" w:hAnsi="Aptos"/>
                <w:b/>
                <w:color w:val="FFFFFF"/>
                <w:sz w:val="15"/>
              </w:rPr>
              <w:t>Purpose / control</w:t>
            </w:r>
          </w:p>
        </w:tc>
      </w:tr>
      <w:tr>
        <w:trPr>
          <w:cantSplit/>
        </w:trPr>
        <w:tc>
          <w:tcPr>
            <w:tcW w:type="dxa" w:w="2098"/>
            <w:tcMar>
              <w:top w:w="70" w:type="dxa"/>
              <w:start w:w="90" w:type="dxa"/>
              <w:bottom w:w="70" w:type="dxa"/>
              <w:end w:w="90" w:type="dxa"/>
            </w:tcMar>
            <w:vAlign w:val="center"/>
          </w:tcPr>
          <w:p>
            <w:pPr>
              <w:spacing w:after="0" w:before="0"/>
            </w:pPr>
            <w:r/>
            <w:r>
              <w:rPr>
                <w:rFonts w:ascii="Aptos" w:hAnsi="Aptos"/>
                <w:b w:val="0"/>
                <w:color w:val="172B3A"/>
                <w:sz w:val="14"/>
              </w:rPr>
              <w:t>Administrator jump host</w:t>
            </w:r>
          </w:p>
        </w:tc>
        <w:tc>
          <w:tcPr>
            <w:tcW w:type="dxa" w:w="2381"/>
            <w:tcMar>
              <w:top w:w="70" w:type="dxa"/>
              <w:start w:w="90" w:type="dxa"/>
              <w:bottom w:w="70" w:type="dxa"/>
              <w:end w:w="90" w:type="dxa"/>
            </w:tcMar>
            <w:vAlign w:val="center"/>
          </w:tcPr>
          <w:p>
            <w:pPr>
              <w:spacing w:after="0" w:before="0"/>
            </w:pPr>
            <w:r/>
            <w:r>
              <w:rPr>
                <w:rFonts w:ascii="Aptos" w:hAnsi="Aptos"/>
                <w:b w:val="0"/>
                <w:color w:val="172B3A"/>
                <w:sz w:val="14"/>
              </w:rPr>
              <w:t>Bastion</w:t>
            </w:r>
          </w:p>
        </w:tc>
        <w:tc>
          <w:tcPr>
            <w:tcW w:type="dxa" w:w="1701"/>
            <w:tcMar>
              <w:top w:w="70" w:type="dxa"/>
              <w:start w:w="90" w:type="dxa"/>
              <w:bottom w:w="70" w:type="dxa"/>
              <w:end w:w="90" w:type="dxa"/>
            </w:tcMar>
            <w:vAlign w:val="center"/>
          </w:tcPr>
          <w:p>
            <w:pPr>
              <w:spacing w:after="0" w:before="0"/>
            </w:pPr>
            <w:r/>
            <w:r>
              <w:rPr>
                <w:rFonts w:ascii="Aptos" w:hAnsi="Aptos"/>
                <w:b w:val="0"/>
                <w:color w:val="172B3A"/>
                <w:sz w:val="14"/>
              </w:rPr>
              <w:t>TCP 22</w:t>
            </w:r>
          </w:p>
        </w:tc>
        <w:tc>
          <w:tcPr>
            <w:tcW w:type="dxa" w:w="3742"/>
            <w:tcMar>
              <w:top w:w="70" w:type="dxa"/>
              <w:start w:w="90" w:type="dxa"/>
              <w:bottom w:w="70" w:type="dxa"/>
              <w:end w:w="90" w:type="dxa"/>
            </w:tcMar>
            <w:vAlign w:val="center"/>
          </w:tcPr>
          <w:p>
            <w:pPr>
              <w:spacing w:after="0" w:before="0"/>
            </w:pPr>
            <w:r/>
            <w:r>
              <w:rPr>
                <w:rFonts w:ascii="Aptos" w:hAnsi="Aptos"/>
                <w:b w:val="0"/>
                <w:color w:val="172B3A"/>
                <w:sz w:val="14"/>
              </w:rPr>
              <w:t>SSH administration; restrict source CIDRs.</w:t>
            </w:r>
          </w:p>
        </w:tc>
      </w:tr>
      <w:tr>
        <w:trPr>
          <w:cantSplit/>
        </w:trPr>
        <w:tc>
          <w:tcPr>
            <w:tcW w:type="dxa" w:w="2098"/>
            <w:tcMar>
              <w:top w:w="70" w:type="dxa"/>
              <w:start w:w="90" w:type="dxa"/>
              <w:bottom w:w="70" w:type="dxa"/>
              <w:end w:w="90" w:type="dxa"/>
            </w:tcMar>
            <w:vAlign w:val="center"/>
            <w:shd w:fill="F8FAFC"/>
          </w:tcPr>
          <w:p>
            <w:pPr>
              <w:spacing w:after="0" w:before="0"/>
            </w:pPr>
            <w:r/>
            <w:r>
              <w:rPr>
                <w:rFonts w:ascii="Aptos" w:hAnsi="Aptos"/>
                <w:b w:val="0"/>
                <w:color w:val="172B3A"/>
                <w:sz w:val="14"/>
              </w:rPr>
              <w:t>Bastion</w:t>
            </w:r>
          </w:p>
        </w:tc>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Internal DNS</w:t>
            </w:r>
          </w:p>
        </w:tc>
        <w:tc>
          <w:tcPr>
            <w:tcW w:type="dxa" w:w="1701"/>
            <w:tcMar>
              <w:top w:w="70" w:type="dxa"/>
              <w:start w:w="90" w:type="dxa"/>
              <w:bottom w:w="70" w:type="dxa"/>
              <w:end w:w="90" w:type="dxa"/>
            </w:tcMar>
            <w:vAlign w:val="center"/>
            <w:shd w:fill="F8FAFC"/>
          </w:tcPr>
          <w:p>
            <w:pPr>
              <w:spacing w:after="0" w:before="0"/>
            </w:pPr>
            <w:r/>
            <w:r>
              <w:rPr>
                <w:rFonts w:ascii="Aptos" w:hAnsi="Aptos"/>
                <w:b w:val="0"/>
                <w:color w:val="172B3A"/>
                <w:sz w:val="14"/>
              </w:rPr>
              <w:t>UDP/TCP 53</w:t>
            </w:r>
          </w:p>
        </w:tc>
        <w:tc>
          <w:tcPr>
            <w:tcW w:type="dxa" w:w="3742"/>
            <w:tcMar>
              <w:top w:w="70" w:type="dxa"/>
              <w:start w:w="90" w:type="dxa"/>
              <w:bottom w:w="70" w:type="dxa"/>
              <w:end w:w="90" w:type="dxa"/>
            </w:tcMar>
            <w:vAlign w:val="center"/>
            <w:shd w:fill="F8FAFC"/>
          </w:tcPr>
          <w:p>
            <w:pPr>
              <w:spacing w:after="0" w:before="0"/>
            </w:pPr>
            <w:r/>
            <w:r>
              <w:rPr>
                <w:rFonts w:ascii="Aptos" w:hAnsi="Aptos"/>
                <w:b w:val="0"/>
                <w:color w:val="172B3A"/>
                <w:sz w:val="14"/>
              </w:rPr>
              <w:t>Forward/reverse lookup and large DNS responses.</w:t>
            </w:r>
          </w:p>
        </w:tc>
      </w:tr>
      <w:tr>
        <w:trPr>
          <w:cantSplit/>
        </w:trPr>
        <w:tc>
          <w:tcPr>
            <w:tcW w:type="dxa" w:w="2098"/>
            <w:tcMar>
              <w:top w:w="70" w:type="dxa"/>
              <w:start w:w="90" w:type="dxa"/>
              <w:bottom w:w="70" w:type="dxa"/>
              <w:end w:w="90" w:type="dxa"/>
            </w:tcMar>
            <w:vAlign w:val="center"/>
          </w:tcPr>
          <w:p>
            <w:pPr>
              <w:spacing w:after="0" w:before="0"/>
            </w:pPr>
            <w:r/>
            <w:r>
              <w:rPr>
                <w:rFonts w:ascii="Aptos" w:hAnsi="Aptos"/>
                <w:b w:val="0"/>
                <w:color w:val="172B3A"/>
                <w:sz w:val="14"/>
              </w:rPr>
              <w:t>Bastion and NKP nodes</w:t>
            </w:r>
          </w:p>
        </w:tc>
        <w:tc>
          <w:tcPr>
            <w:tcW w:type="dxa" w:w="2381"/>
            <w:tcMar>
              <w:top w:w="70" w:type="dxa"/>
              <w:start w:w="90" w:type="dxa"/>
              <w:bottom w:w="70" w:type="dxa"/>
              <w:end w:w="90" w:type="dxa"/>
            </w:tcMar>
            <w:vAlign w:val="center"/>
          </w:tcPr>
          <w:p>
            <w:pPr>
              <w:spacing w:after="0" w:before="0"/>
            </w:pPr>
            <w:r/>
            <w:r>
              <w:rPr>
                <w:rFonts w:ascii="Aptos" w:hAnsi="Aptos"/>
                <w:b w:val="0"/>
                <w:color w:val="172B3A"/>
                <w:sz w:val="14"/>
              </w:rPr>
              <w:t>Internal NTP</w:t>
            </w:r>
          </w:p>
        </w:tc>
        <w:tc>
          <w:tcPr>
            <w:tcW w:type="dxa" w:w="1701"/>
            <w:tcMar>
              <w:top w:w="70" w:type="dxa"/>
              <w:start w:w="90" w:type="dxa"/>
              <w:bottom w:w="70" w:type="dxa"/>
              <w:end w:w="90" w:type="dxa"/>
            </w:tcMar>
            <w:vAlign w:val="center"/>
          </w:tcPr>
          <w:p>
            <w:pPr>
              <w:spacing w:after="0" w:before="0"/>
            </w:pPr>
            <w:r/>
            <w:r>
              <w:rPr>
                <w:rFonts w:ascii="Aptos" w:hAnsi="Aptos"/>
                <w:b w:val="0"/>
                <w:color w:val="172B3A"/>
                <w:sz w:val="14"/>
              </w:rPr>
              <w:t>UDP 123</w:t>
            </w:r>
          </w:p>
        </w:tc>
        <w:tc>
          <w:tcPr>
            <w:tcW w:type="dxa" w:w="3742"/>
            <w:tcMar>
              <w:top w:w="70" w:type="dxa"/>
              <w:start w:w="90" w:type="dxa"/>
              <w:bottom w:w="70" w:type="dxa"/>
              <w:end w:w="90" w:type="dxa"/>
            </w:tcMar>
            <w:vAlign w:val="center"/>
          </w:tcPr>
          <w:p>
            <w:pPr>
              <w:spacing w:after="0" w:before="0"/>
            </w:pPr>
            <w:r/>
            <w:r>
              <w:rPr>
                <w:rFonts w:ascii="Aptos" w:hAnsi="Aptos"/>
                <w:b w:val="0"/>
                <w:color w:val="172B3A"/>
                <w:sz w:val="14"/>
              </w:rPr>
              <w:t>Time synchronization.</w:t>
            </w:r>
          </w:p>
        </w:tc>
      </w:tr>
      <w:tr>
        <w:trPr>
          <w:cantSplit/>
        </w:trPr>
        <w:tc>
          <w:tcPr>
            <w:tcW w:type="dxa" w:w="2098"/>
            <w:tcMar>
              <w:top w:w="70" w:type="dxa"/>
              <w:start w:w="90" w:type="dxa"/>
              <w:bottom w:w="70" w:type="dxa"/>
              <w:end w:w="90" w:type="dxa"/>
            </w:tcMar>
            <w:vAlign w:val="center"/>
            <w:shd w:fill="F8FAFC"/>
          </w:tcPr>
          <w:p>
            <w:pPr>
              <w:spacing w:after="0" w:before="0"/>
            </w:pPr>
            <w:r/>
            <w:r>
              <w:rPr>
                <w:rFonts w:ascii="Aptos" w:hAnsi="Aptos"/>
                <w:b w:val="0"/>
                <w:color w:val="172B3A"/>
                <w:sz w:val="14"/>
              </w:rPr>
              <w:t>Bastion and NKP nodes</w:t>
            </w:r>
          </w:p>
        </w:tc>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Private registry</w:t>
            </w:r>
          </w:p>
        </w:tc>
        <w:tc>
          <w:tcPr>
            <w:tcW w:type="dxa" w:w="1701"/>
            <w:tcMar>
              <w:top w:w="70" w:type="dxa"/>
              <w:start w:w="90" w:type="dxa"/>
              <w:bottom w:w="70" w:type="dxa"/>
              <w:end w:w="90" w:type="dxa"/>
            </w:tcMar>
            <w:vAlign w:val="center"/>
            <w:shd w:fill="F8FAFC"/>
          </w:tcPr>
          <w:p>
            <w:pPr>
              <w:spacing w:after="0" w:before="0"/>
            </w:pPr>
            <w:r/>
            <w:r>
              <w:rPr>
                <w:rFonts w:ascii="Aptos" w:hAnsi="Aptos"/>
                <w:b w:val="0"/>
                <w:color w:val="172B3A"/>
                <w:sz w:val="14"/>
              </w:rPr>
              <w:t>TCP 443</w:t>
            </w:r>
          </w:p>
        </w:tc>
        <w:tc>
          <w:tcPr>
            <w:tcW w:type="dxa" w:w="3742"/>
            <w:tcMar>
              <w:top w:w="70" w:type="dxa"/>
              <w:start w:w="90" w:type="dxa"/>
              <w:bottom w:w="70" w:type="dxa"/>
              <w:end w:w="90" w:type="dxa"/>
            </w:tcMar>
            <w:vAlign w:val="center"/>
            <w:shd w:fill="F8FAFC"/>
          </w:tcPr>
          <w:p>
            <w:pPr>
              <w:spacing w:after="0" w:before="0"/>
            </w:pPr>
            <w:r/>
            <w:r>
              <w:rPr>
                <w:rFonts w:ascii="Aptos" w:hAnsi="Aptos"/>
                <w:b w:val="0"/>
                <w:color w:val="172B3A"/>
                <w:sz w:val="14"/>
              </w:rPr>
              <w:t>OCI API, image push/pull, Harbor API.</w:t>
            </w:r>
          </w:p>
        </w:tc>
      </w:tr>
      <w:tr>
        <w:trPr>
          <w:cantSplit/>
        </w:trPr>
        <w:tc>
          <w:tcPr>
            <w:tcW w:type="dxa" w:w="2098"/>
            <w:tcMar>
              <w:top w:w="70" w:type="dxa"/>
              <w:start w:w="90" w:type="dxa"/>
              <w:bottom w:w="70" w:type="dxa"/>
              <w:end w:w="90" w:type="dxa"/>
            </w:tcMar>
            <w:vAlign w:val="center"/>
          </w:tcPr>
          <w:p>
            <w:pPr>
              <w:spacing w:after="0" w:before="0"/>
            </w:pPr>
            <w:r/>
            <w:r>
              <w:rPr>
                <w:rFonts w:ascii="Aptos" w:hAnsi="Aptos"/>
                <w:b w:val="0"/>
                <w:color w:val="172B3A"/>
                <w:sz w:val="14"/>
              </w:rPr>
              <w:t>Bastion and NKP components</w:t>
            </w:r>
          </w:p>
        </w:tc>
        <w:tc>
          <w:tcPr>
            <w:tcW w:type="dxa" w:w="2381"/>
            <w:tcMar>
              <w:top w:w="70" w:type="dxa"/>
              <w:start w:w="90" w:type="dxa"/>
              <w:bottom w:w="70" w:type="dxa"/>
              <w:end w:w="90" w:type="dxa"/>
            </w:tcMar>
            <w:vAlign w:val="center"/>
          </w:tcPr>
          <w:p>
            <w:pPr>
              <w:spacing w:after="0" w:before="0"/>
            </w:pPr>
            <w:r/>
            <w:r>
              <w:rPr>
                <w:rFonts w:ascii="Aptos" w:hAnsi="Aptos"/>
                <w:b w:val="0"/>
                <w:color w:val="172B3A"/>
                <w:sz w:val="14"/>
              </w:rPr>
              <w:t>Prism Central / required Prism endpoint</w:t>
            </w:r>
          </w:p>
        </w:tc>
        <w:tc>
          <w:tcPr>
            <w:tcW w:type="dxa" w:w="1701"/>
            <w:tcMar>
              <w:top w:w="70" w:type="dxa"/>
              <w:start w:w="90" w:type="dxa"/>
              <w:bottom w:w="70" w:type="dxa"/>
              <w:end w:w="90" w:type="dxa"/>
            </w:tcMar>
            <w:vAlign w:val="center"/>
          </w:tcPr>
          <w:p>
            <w:pPr>
              <w:spacing w:after="0" w:before="0"/>
            </w:pPr>
            <w:r/>
            <w:r>
              <w:rPr>
                <w:rFonts w:ascii="Aptos" w:hAnsi="Aptos"/>
                <w:b w:val="0"/>
                <w:color w:val="172B3A"/>
                <w:sz w:val="14"/>
              </w:rPr>
              <w:t>TCP 9440</w:t>
            </w:r>
          </w:p>
        </w:tc>
        <w:tc>
          <w:tcPr>
            <w:tcW w:type="dxa" w:w="3742"/>
            <w:tcMar>
              <w:top w:w="70" w:type="dxa"/>
              <w:start w:w="90" w:type="dxa"/>
              <w:bottom w:w="70" w:type="dxa"/>
              <w:end w:w="90" w:type="dxa"/>
            </w:tcMar>
            <w:vAlign w:val="center"/>
          </w:tcPr>
          <w:p>
            <w:pPr>
              <w:spacing w:after="0" w:before="0"/>
            </w:pPr>
            <w:r/>
            <w:r>
              <w:rPr>
                <w:rFonts w:ascii="Aptos" w:hAnsi="Aptos"/>
                <w:b w:val="0"/>
                <w:color w:val="172B3A"/>
                <w:sz w:val="14"/>
              </w:rPr>
              <w:t>Nutanix management APIs and provider/CSI operations; verify exact endpoint path.</w:t>
            </w:r>
          </w:p>
        </w:tc>
      </w:tr>
      <w:tr>
        <w:trPr>
          <w:cantSplit/>
        </w:trPr>
        <w:tc>
          <w:tcPr>
            <w:tcW w:type="dxa" w:w="2098"/>
            <w:tcMar>
              <w:top w:w="70" w:type="dxa"/>
              <w:start w:w="90" w:type="dxa"/>
              <w:bottom w:w="70" w:type="dxa"/>
              <w:end w:w="90" w:type="dxa"/>
            </w:tcMar>
            <w:vAlign w:val="center"/>
            <w:shd w:fill="F8FAFC"/>
          </w:tcPr>
          <w:p>
            <w:pPr>
              <w:spacing w:after="0" w:before="0"/>
            </w:pPr>
            <w:r/>
            <w:r>
              <w:rPr>
                <w:rFonts w:ascii="Aptos" w:hAnsi="Aptos"/>
                <w:b w:val="0"/>
                <w:color w:val="172B3A"/>
                <w:sz w:val="14"/>
              </w:rPr>
              <w:t>Bastion / administrators</w:t>
            </w:r>
          </w:p>
        </w:tc>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NKP Kubernetes API VIP</w:t>
            </w:r>
          </w:p>
        </w:tc>
        <w:tc>
          <w:tcPr>
            <w:tcW w:type="dxa" w:w="1701"/>
            <w:tcMar>
              <w:top w:w="70" w:type="dxa"/>
              <w:start w:w="90" w:type="dxa"/>
              <w:bottom w:w="70" w:type="dxa"/>
              <w:end w:w="90" w:type="dxa"/>
            </w:tcMar>
            <w:vAlign w:val="center"/>
            <w:shd w:fill="F8FAFC"/>
          </w:tcPr>
          <w:p>
            <w:pPr>
              <w:spacing w:after="0" w:before="0"/>
            </w:pPr>
            <w:r/>
            <w:r>
              <w:rPr>
                <w:rFonts w:ascii="Aptos" w:hAnsi="Aptos"/>
                <w:b w:val="0"/>
                <w:color w:val="172B3A"/>
                <w:sz w:val="14"/>
              </w:rPr>
              <w:t>TCP 6443</w:t>
            </w:r>
          </w:p>
        </w:tc>
        <w:tc>
          <w:tcPr>
            <w:tcW w:type="dxa" w:w="3742"/>
            <w:tcMar>
              <w:top w:w="70" w:type="dxa"/>
              <w:start w:w="90" w:type="dxa"/>
              <w:bottom w:w="70" w:type="dxa"/>
              <w:end w:w="90" w:type="dxa"/>
            </w:tcMar>
            <w:vAlign w:val="center"/>
            <w:shd w:fill="F8FAFC"/>
          </w:tcPr>
          <w:p>
            <w:pPr>
              <w:spacing w:after="0" w:before="0"/>
            </w:pPr>
            <w:r/>
            <w:r>
              <w:rPr>
                <w:rFonts w:ascii="Aptos" w:hAnsi="Aptos"/>
                <w:b w:val="0"/>
                <w:color w:val="172B3A"/>
                <w:sz w:val="14"/>
              </w:rPr>
              <w:t>Kubernetes API access.</w:t>
            </w:r>
          </w:p>
        </w:tc>
      </w:tr>
      <w:tr>
        <w:trPr>
          <w:cantSplit/>
        </w:trPr>
        <w:tc>
          <w:tcPr>
            <w:tcW w:type="dxa" w:w="2098"/>
            <w:tcMar>
              <w:top w:w="70" w:type="dxa"/>
              <w:start w:w="90" w:type="dxa"/>
              <w:bottom w:w="70" w:type="dxa"/>
              <w:end w:w="90" w:type="dxa"/>
            </w:tcMar>
            <w:vAlign w:val="center"/>
          </w:tcPr>
          <w:p>
            <w:pPr>
              <w:spacing w:after="0" w:before="0"/>
            </w:pPr>
            <w:r/>
            <w:r>
              <w:rPr>
                <w:rFonts w:ascii="Aptos" w:hAnsi="Aptos"/>
                <w:b w:val="0"/>
                <w:color w:val="172B3A"/>
                <w:sz w:val="14"/>
              </w:rPr>
              <w:t>Control-plane nodes</w:t>
            </w:r>
          </w:p>
        </w:tc>
        <w:tc>
          <w:tcPr>
            <w:tcW w:type="dxa" w:w="2381"/>
            <w:tcMar>
              <w:top w:w="70" w:type="dxa"/>
              <w:start w:w="90" w:type="dxa"/>
              <w:bottom w:w="70" w:type="dxa"/>
              <w:end w:w="90" w:type="dxa"/>
            </w:tcMar>
            <w:vAlign w:val="center"/>
          </w:tcPr>
          <w:p>
            <w:pPr>
              <w:spacing w:after="0" w:before="0"/>
            </w:pPr>
            <w:r/>
            <w:r>
              <w:rPr>
                <w:rFonts w:ascii="Aptos" w:hAnsi="Aptos"/>
                <w:b w:val="0"/>
                <w:color w:val="172B3A"/>
                <w:sz w:val="14"/>
              </w:rPr>
              <w:t>Control-plane nodes</w:t>
            </w:r>
          </w:p>
        </w:tc>
        <w:tc>
          <w:tcPr>
            <w:tcW w:type="dxa" w:w="1701"/>
            <w:tcMar>
              <w:top w:w="70" w:type="dxa"/>
              <w:start w:w="90" w:type="dxa"/>
              <w:bottom w:w="70" w:type="dxa"/>
              <w:end w:w="90" w:type="dxa"/>
            </w:tcMar>
            <w:vAlign w:val="center"/>
          </w:tcPr>
          <w:p>
            <w:pPr>
              <w:spacing w:after="0" w:before="0"/>
            </w:pPr>
            <w:r/>
            <w:r>
              <w:rPr>
                <w:rFonts w:ascii="Aptos" w:hAnsi="Aptos"/>
                <w:b w:val="0"/>
                <w:color w:val="172B3A"/>
                <w:sz w:val="14"/>
              </w:rPr>
              <w:t>TCP 2379-2380</w:t>
            </w:r>
          </w:p>
        </w:tc>
        <w:tc>
          <w:tcPr>
            <w:tcW w:type="dxa" w:w="3742"/>
            <w:tcMar>
              <w:top w:w="70" w:type="dxa"/>
              <w:start w:w="90" w:type="dxa"/>
              <w:bottom w:w="70" w:type="dxa"/>
              <w:end w:w="90" w:type="dxa"/>
            </w:tcMar>
            <w:vAlign w:val="center"/>
          </w:tcPr>
          <w:p>
            <w:pPr>
              <w:spacing w:after="0" w:before="0"/>
            </w:pPr>
            <w:r/>
            <w:r>
              <w:rPr>
                <w:rFonts w:ascii="Aptos" w:hAnsi="Aptos"/>
                <w:b w:val="0"/>
                <w:color w:val="172B3A"/>
                <w:sz w:val="14"/>
              </w:rPr>
              <w:t>etcd client/peer traffic; east-west only.</w:t>
            </w:r>
          </w:p>
        </w:tc>
      </w:tr>
      <w:tr>
        <w:trPr>
          <w:cantSplit/>
        </w:trPr>
        <w:tc>
          <w:tcPr>
            <w:tcW w:type="dxa" w:w="2098"/>
            <w:tcMar>
              <w:top w:w="70" w:type="dxa"/>
              <w:start w:w="90" w:type="dxa"/>
              <w:bottom w:w="70" w:type="dxa"/>
              <w:end w:w="90" w:type="dxa"/>
            </w:tcMar>
            <w:vAlign w:val="center"/>
            <w:shd w:fill="F8FAFC"/>
          </w:tcPr>
          <w:p>
            <w:pPr>
              <w:spacing w:after="0" w:before="0"/>
            </w:pPr>
            <w:r/>
            <w:r>
              <w:rPr>
                <w:rFonts w:ascii="Aptos" w:hAnsi="Aptos"/>
                <w:b w:val="0"/>
                <w:color w:val="172B3A"/>
                <w:sz w:val="14"/>
              </w:rPr>
              <w:t>Control plane / authorized management</w:t>
            </w:r>
          </w:p>
        </w:tc>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All nodes</w:t>
            </w:r>
          </w:p>
        </w:tc>
        <w:tc>
          <w:tcPr>
            <w:tcW w:type="dxa" w:w="1701"/>
            <w:tcMar>
              <w:top w:w="70" w:type="dxa"/>
              <w:start w:w="90" w:type="dxa"/>
              <w:bottom w:w="70" w:type="dxa"/>
              <w:end w:w="90" w:type="dxa"/>
            </w:tcMar>
            <w:vAlign w:val="center"/>
            <w:shd w:fill="F8FAFC"/>
          </w:tcPr>
          <w:p>
            <w:pPr>
              <w:spacing w:after="0" w:before="0"/>
            </w:pPr>
            <w:r/>
            <w:r>
              <w:rPr>
                <w:rFonts w:ascii="Aptos" w:hAnsi="Aptos"/>
                <w:b w:val="0"/>
                <w:color w:val="172B3A"/>
                <w:sz w:val="14"/>
              </w:rPr>
              <w:t>TCP 10250</w:t>
            </w:r>
          </w:p>
        </w:tc>
        <w:tc>
          <w:tcPr>
            <w:tcW w:type="dxa" w:w="3742"/>
            <w:tcMar>
              <w:top w:w="70" w:type="dxa"/>
              <w:start w:w="90" w:type="dxa"/>
              <w:bottom w:w="70" w:type="dxa"/>
              <w:end w:w="90" w:type="dxa"/>
            </w:tcMar>
            <w:vAlign w:val="center"/>
            <w:shd w:fill="F8FAFC"/>
          </w:tcPr>
          <w:p>
            <w:pPr>
              <w:spacing w:after="0" w:before="0"/>
            </w:pPr>
            <w:r/>
            <w:r>
              <w:rPr>
                <w:rFonts w:ascii="Aptos" w:hAnsi="Aptos"/>
                <w:b w:val="0"/>
                <w:color w:val="172B3A"/>
                <w:sz w:val="14"/>
              </w:rPr>
              <w:t>Kubelet API.</w:t>
            </w:r>
          </w:p>
        </w:tc>
      </w:tr>
      <w:tr>
        <w:trPr>
          <w:cantSplit/>
        </w:trPr>
        <w:tc>
          <w:tcPr>
            <w:tcW w:type="dxa" w:w="2098"/>
            <w:tcMar>
              <w:top w:w="70" w:type="dxa"/>
              <w:start w:w="90" w:type="dxa"/>
              <w:bottom w:w="70" w:type="dxa"/>
              <w:end w:w="90" w:type="dxa"/>
            </w:tcMar>
            <w:vAlign w:val="center"/>
          </w:tcPr>
          <w:p>
            <w:pPr>
              <w:spacing w:after="0" w:before="0"/>
            </w:pPr>
            <w:r/>
            <w:r>
              <w:rPr>
                <w:rFonts w:ascii="Aptos" w:hAnsi="Aptos"/>
                <w:b w:val="0"/>
                <w:color w:val="172B3A"/>
                <w:sz w:val="14"/>
              </w:rPr>
              <w:t>Clients / load balancer</w:t>
            </w:r>
          </w:p>
        </w:tc>
        <w:tc>
          <w:tcPr>
            <w:tcW w:type="dxa" w:w="2381"/>
            <w:tcMar>
              <w:top w:w="70" w:type="dxa"/>
              <w:start w:w="90" w:type="dxa"/>
              <w:bottom w:w="70" w:type="dxa"/>
              <w:end w:w="90" w:type="dxa"/>
            </w:tcMar>
            <w:vAlign w:val="center"/>
          </w:tcPr>
          <w:p>
            <w:pPr>
              <w:spacing w:after="0" w:before="0"/>
            </w:pPr>
            <w:r/>
            <w:r>
              <w:rPr>
                <w:rFonts w:ascii="Aptos" w:hAnsi="Aptos"/>
                <w:b w:val="0"/>
                <w:color w:val="172B3A"/>
                <w:sz w:val="14"/>
              </w:rPr>
              <w:t>Worker or service endpoint</w:t>
            </w:r>
          </w:p>
        </w:tc>
        <w:tc>
          <w:tcPr>
            <w:tcW w:type="dxa" w:w="1701"/>
            <w:tcMar>
              <w:top w:w="70" w:type="dxa"/>
              <w:start w:w="90" w:type="dxa"/>
              <w:bottom w:w="70" w:type="dxa"/>
              <w:end w:w="90" w:type="dxa"/>
            </w:tcMar>
            <w:vAlign w:val="center"/>
          </w:tcPr>
          <w:p>
            <w:pPr>
              <w:spacing w:after="0" w:before="0"/>
            </w:pPr>
            <w:r/>
            <w:r>
              <w:rPr>
                <w:rFonts w:ascii="Aptos" w:hAnsi="Aptos"/>
                <w:b w:val="0"/>
                <w:color w:val="172B3A"/>
                <w:sz w:val="14"/>
              </w:rPr>
              <w:t>TCP/UDP application ports</w:t>
            </w:r>
          </w:p>
        </w:tc>
        <w:tc>
          <w:tcPr>
            <w:tcW w:type="dxa" w:w="3742"/>
            <w:tcMar>
              <w:top w:w="70" w:type="dxa"/>
              <w:start w:w="90" w:type="dxa"/>
              <w:bottom w:w="70" w:type="dxa"/>
              <w:end w:w="90" w:type="dxa"/>
            </w:tcMar>
            <w:vAlign w:val="center"/>
          </w:tcPr>
          <w:p>
            <w:pPr>
              <w:spacing w:after="0" w:before="0"/>
            </w:pPr>
            <w:r/>
            <w:r>
              <w:rPr>
                <w:rFonts w:ascii="Aptos" w:hAnsi="Aptos"/>
                <w:b w:val="0"/>
                <w:color w:val="172B3A"/>
                <w:sz w:val="14"/>
              </w:rPr>
              <w:t>Only approved application and health-check ports.</w:t>
            </w:r>
          </w:p>
        </w:tc>
      </w:tr>
      <w:tr>
        <w:trPr>
          <w:cantSplit/>
        </w:trPr>
        <w:tc>
          <w:tcPr>
            <w:tcW w:type="dxa" w:w="2098"/>
            <w:tcMar>
              <w:top w:w="70" w:type="dxa"/>
              <w:start w:w="90" w:type="dxa"/>
              <w:bottom w:w="70" w:type="dxa"/>
              <w:end w:w="90" w:type="dxa"/>
            </w:tcMar>
            <w:vAlign w:val="center"/>
            <w:shd w:fill="F8FAFC"/>
          </w:tcPr>
          <w:p>
            <w:pPr>
              <w:spacing w:after="0" w:before="0"/>
            </w:pPr>
            <w:r/>
            <w:r>
              <w:rPr>
                <w:rFonts w:ascii="Aptos" w:hAnsi="Aptos"/>
                <w:b w:val="0"/>
                <w:color w:val="172B3A"/>
                <w:sz w:val="14"/>
              </w:rPr>
              <w:t>Cluster nodes</w:t>
            </w:r>
          </w:p>
        </w:tc>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Cluster nodes</w:t>
            </w:r>
          </w:p>
        </w:tc>
        <w:tc>
          <w:tcPr>
            <w:tcW w:type="dxa" w:w="1701"/>
            <w:tcMar>
              <w:top w:w="70" w:type="dxa"/>
              <w:start w:w="90" w:type="dxa"/>
              <w:bottom w:w="70" w:type="dxa"/>
              <w:end w:w="90" w:type="dxa"/>
            </w:tcMar>
            <w:vAlign w:val="center"/>
            <w:shd w:fill="F8FAFC"/>
          </w:tcPr>
          <w:p>
            <w:pPr>
              <w:spacing w:after="0" w:before="0"/>
            </w:pPr>
            <w:r/>
            <w:r>
              <w:rPr>
                <w:rFonts w:ascii="Aptos" w:hAnsi="Aptos"/>
                <w:b w:val="0"/>
                <w:color w:val="172B3A"/>
                <w:sz w:val="14"/>
              </w:rPr>
              <w:t>CNI-specific</w:t>
            </w:r>
          </w:p>
        </w:tc>
        <w:tc>
          <w:tcPr>
            <w:tcW w:type="dxa" w:w="3742"/>
            <w:tcMar>
              <w:top w:w="70" w:type="dxa"/>
              <w:start w:w="90" w:type="dxa"/>
              <w:bottom w:w="70" w:type="dxa"/>
              <w:end w:w="90" w:type="dxa"/>
            </w:tcMar>
            <w:vAlign w:val="center"/>
            <w:shd w:fill="F8FAFC"/>
          </w:tcPr>
          <w:p>
            <w:pPr>
              <w:spacing w:after="0" w:before="0"/>
            </w:pPr>
            <w:r/>
            <w:r>
              <w:rPr>
                <w:rFonts w:ascii="Aptos" w:hAnsi="Aptos"/>
                <w:b w:val="0"/>
                <w:color w:val="172B3A"/>
                <w:sz w:val="14"/>
              </w:rPr>
              <w:t>Prefer unrestricted trusted east-west during build; then enforce the exact NKP 2.18 CNI ports/protocols.</w:t>
            </w:r>
          </w:p>
        </w:tc>
      </w:tr>
      <w:tr>
        <w:trPr>
          <w:cantSplit/>
        </w:trPr>
        <w:tc>
          <w:tcPr>
            <w:tcW w:type="dxa" w:w="2098"/>
            <w:tcMar>
              <w:top w:w="70" w:type="dxa"/>
              <w:start w:w="90" w:type="dxa"/>
              <w:bottom w:w="70" w:type="dxa"/>
              <w:end w:w="90" w:type="dxa"/>
            </w:tcMar>
            <w:vAlign w:val="center"/>
          </w:tcPr>
          <w:p>
            <w:pPr>
              <w:spacing w:after="0" w:before="0"/>
            </w:pPr>
            <w:r/>
            <w:r>
              <w:rPr>
                <w:rFonts w:ascii="Aptos" w:hAnsi="Aptos"/>
                <w:b w:val="0"/>
                <w:color w:val="172B3A"/>
                <w:sz w:val="14"/>
              </w:rPr>
              <w:t>Cluster nodes</w:t>
            </w:r>
          </w:p>
        </w:tc>
        <w:tc>
          <w:tcPr>
            <w:tcW w:type="dxa" w:w="2381"/>
            <w:tcMar>
              <w:top w:w="70" w:type="dxa"/>
              <w:start w:w="90" w:type="dxa"/>
              <w:bottom w:w="70" w:type="dxa"/>
              <w:end w:w="90" w:type="dxa"/>
            </w:tcMar>
            <w:vAlign w:val="center"/>
          </w:tcPr>
          <w:p>
            <w:pPr>
              <w:spacing w:after="0" w:before="0"/>
            </w:pPr>
            <w:r/>
            <w:r>
              <w:rPr>
                <w:rFonts w:ascii="Aptos" w:hAnsi="Aptos"/>
                <w:b w:val="0"/>
                <w:color w:val="172B3A"/>
                <w:sz w:val="14"/>
              </w:rPr>
              <w:t>Nutanix storage endpoints</w:t>
            </w:r>
          </w:p>
        </w:tc>
        <w:tc>
          <w:tcPr>
            <w:tcW w:type="dxa" w:w="1701"/>
            <w:tcMar>
              <w:top w:w="70" w:type="dxa"/>
              <w:start w:w="90" w:type="dxa"/>
              <w:bottom w:w="70" w:type="dxa"/>
              <w:end w:w="90" w:type="dxa"/>
            </w:tcMar>
            <w:vAlign w:val="center"/>
          </w:tcPr>
          <w:p>
            <w:pPr>
              <w:spacing w:after="0" w:before="0"/>
            </w:pPr>
            <w:r/>
            <w:r>
              <w:rPr>
                <w:rFonts w:ascii="Aptos" w:hAnsi="Aptos"/>
                <w:b w:val="0"/>
                <w:color w:val="172B3A"/>
                <w:sz w:val="14"/>
              </w:rPr>
              <w:t>TCP 9440 and storage-protocol-specific</w:t>
            </w:r>
          </w:p>
        </w:tc>
        <w:tc>
          <w:tcPr>
            <w:tcW w:type="dxa" w:w="3742"/>
            <w:tcMar>
              <w:top w:w="70" w:type="dxa"/>
              <w:start w:w="90" w:type="dxa"/>
              <w:bottom w:w="70" w:type="dxa"/>
              <w:end w:w="90" w:type="dxa"/>
            </w:tcMar>
            <w:vAlign w:val="center"/>
          </w:tcPr>
          <w:p>
            <w:pPr>
              <w:spacing w:after="0" w:before="0"/>
            </w:pPr>
            <w:r/>
            <w:r>
              <w:rPr>
                <w:rFonts w:ascii="Aptos" w:hAnsi="Aptos"/>
                <w:b w:val="0"/>
                <w:color w:val="172B3A"/>
                <w:sz w:val="14"/>
              </w:rPr>
              <w:t>CSI API; add TCP 3260 for iSCSI/Volumes or TCP 2049 for NFS/Files only when used.</w:t>
            </w:r>
          </w:p>
        </w:tc>
      </w:tr>
    </w:tbl>
    <w:p>
      <w:pPr>
        <w:spacing w:after="0"/>
      </w:pPr>
    </w:p>
    <w:tbl>
      <w:tblPr>
        <w:tblW w:type="auto" w:w="0"/>
        <w:tblLayout w:type="autofit"/>
        <w:tblLook w:firstColumn="1" w:firstRow="1" w:lastColumn="0" w:lastRow="0" w:noHBand="0" w:noVBand="1" w:val="04A0"/>
      </w:tblPr>
      <w:tblGrid>
        <w:gridCol w:w="198"/>
        <w:gridCol w:w="9921"/>
      </w:tblGrid>
      <w:tr>
        <w:tc>
          <w:tcPr>
            <w:tcW w:type="dxa" w:w="5018"/>
            <w:shd w:fill="B7791F"/>
          </w:tcPr>
          <w:p>
            <w:r/>
          </w:p>
        </w:tc>
        <w:tc>
          <w:tcPr>
            <w:tcW w:type="dxa" w:w="5018"/>
            <w:shd w:fill="FFF6E6"/>
            <w:tcMar>
              <w:top w:w="100" w:type="dxa"/>
              <w:start w:w="120" w:type="dxa"/>
              <w:bottom w:w="100" w:type="dxa"/>
              <w:end w:w="120" w:type="dxa"/>
            </w:tcMar>
          </w:tcPr>
          <w:p>
            <w:pPr>
              <w:spacing w:after="40"/>
            </w:pPr>
            <w:r/>
            <w:r>
              <w:rPr>
                <w:b/>
                <w:color w:val="B7791F"/>
                <w:sz w:val="20"/>
              </w:rPr>
              <w:t>CNI port warning</w:t>
            </w:r>
          </w:p>
          <w:p>
            <w:pPr>
              <w:spacing w:after="0" w:line="252" w:lineRule="auto"/>
            </w:pPr>
            <w:r>
              <w:rPr>
                <w:color w:val="172B3A"/>
                <w:sz w:val="18"/>
              </w:rPr>
              <w:t>Do not assume a Calico VXLAN/BGP/IP-in-IP port list without confirming the network plug-in and mode delivered by the exact NKP release. The safest initial design is full node-to-node east-west reachability on the trusted cluster network, followed by rule tightening from the deployed configuration.</w:t>
            </w:r>
          </w:p>
        </w:tc>
      </w:tr>
    </w:tbl>
    <w:p>
      <w:pPr>
        <w:spacing w:after="0"/>
      </w:pPr>
    </w:p>
    <w:p>
      <w:pPr>
        <w:pStyle w:val="Heading2"/>
        <w:keepNext/>
      </w:pPr>
      <w:r>
        <w:t>5.2 DNS records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268"/>
            <w:tcMar>
              <w:top w:w="70" w:type="dxa"/>
              <w:start w:w="90" w:type="dxa"/>
              <w:bottom w:w="70" w:type="dxa"/>
              <w:end w:w="90" w:type="dxa"/>
            </w:tcMar>
            <w:vAlign w:val="center"/>
            <w:shd w:fill="17324D"/>
          </w:tcPr>
          <w:p>
            <w:pPr>
              <w:spacing w:after="0" w:before="0"/>
            </w:pPr>
            <w:r/>
            <w:r>
              <w:rPr>
                <w:rFonts w:ascii="Aptos" w:hAnsi="Aptos"/>
                <w:b/>
                <w:color w:val="FFFFFF"/>
                <w:sz w:val="16"/>
              </w:rPr>
              <w:t>Record</w:t>
            </w:r>
          </w:p>
        </w:tc>
        <w:tc>
          <w:tcPr>
            <w:tcW w:type="dxa" w:w="3458"/>
            <w:tcMar>
              <w:top w:w="70" w:type="dxa"/>
              <w:start w:w="90" w:type="dxa"/>
              <w:bottom w:w="70" w:type="dxa"/>
              <w:end w:w="90" w:type="dxa"/>
            </w:tcMar>
            <w:vAlign w:val="center"/>
            <w:shd w:fill="17324D"/>
          </w:tcPr>
          <w:p>
            <w:pPr>
              <w:spacing w:after="0" w:before="0"/>
            </w:pPr>
            <w:r/>
            <w:r>
              <w:rPr>
                <w:rFonts w:ascii="Aptos" w:hAnsi="Aptos"/>
                <w:b/>
                <w:color w:val="FFFFFF"/>
                <w:sz w:val="16"/>
              </w:rPr>
              <w:t>Example</w:t>
            </w:r>
          </w:p>
        </w:tc>
        <w:tc>
          <w:tcPr>
            <w:tcW w:type="dxa" w:w="4195"/>
            <w:tcMar>
              <w:top w:w="70" w:type="dxa"/>
              <w:start w:w="90" w:type="dxa"/>
              <w:bottom w:w="70" w:type="dxa"/>
              <w:end w:w="90" w:type="dxa"/>
            </w:tcMar>
            <w:vAlign w:val="center"/>
            <w:shd w:fill="17324D"/>
          </w:tcPr>
          <w:p>
            <w:pPr>
              <w:spacing w:after="0" w:before="0"/>
            </w:pPr>
            <w:r/>
            <w:r>
              <w:rPr>
                <w:rFonts w:ascii="Aptos" w:hAnsi="Aptos"/>
                <w:b/>
                <w:color w:val="FFFFFF"/>
                <w:sz w:val="16"/>
              </w:rPr>
              <w:t>Validation</w:t>
            </w:r>
          </w:p>
        </w:tc>
      </w:tr>
      <w:tr>
        <w:trPr>
          <w:cantSplit/>
        </w:trPr>
        <w:tc>
          <w:tcPr>
            <w:tcW w:type="dxa" w:w="2268"/>
            <w:tcMar>
              <w:top w:w="70" w:type="dxa"/>
              <w:start w:w="90" w:type="dxa"/>
              <w:bottom w:w="70" w:type="dxa"/>
              <w:end w:w="90" w:type="dxa"/>
            </w:tcMar>
            <w:vAlign w:val="center"/>
          </w:tcPr>
          <w:p>
            <w:pPr>
              <w:spacing w:after="0" w:before="0"/>
            </w:pPr>
            <w:r/>
            <w:r>
              <w:rPr>
                <w:rFonts w:ascii="Aptos" w:hAnsi="Aptos"/>
                <w:b w:val="0"/>
                <w:color w:val="172B3A"/>
                <w:sz w:val="16"/>
              </w:rPr>
              <w:t>Bastion A/PTR</w:t>
            </w:r>
          </w:p>
        </w:tc>
        <w:tc>
          <w:tcPr>
            <w:tcW w:type="dxa" w:w="3458"/>
            <w:tcMar>
              <w:top w:w="70" w:type="dxa"/>
              <w:start w:w="90" w:type="dxa"/>
              <w:bottom w:w="70" w:type="dxa"/>
              <w:end w:w="90" w:type="dxa"/>
            </w:tcMar>
            <w:vAlign w:val="center"/>
          </w:tcPr>
          <w:p>
            <w:pPr>
              <w:spacing w:after="0" w:before="0"/>
            </w:pPr>
            <w:r/>
            <w:r>
              <w:rPr>
                <w:rFonts w:ascii="Aptos" w:hAnsi="Aptos"/>
                <w:b w:val="0"/>
                <w:color w:val="172B3A"/>
                <w:sz w:val="16"/>
              </w:rPr>
              <w:t>nkp-bastion.customer.local → 10.10.10.20</w:t>
            </w:r>
          </w:p>
        </w:tc>
        <w:tc>
          <w:tcPr>
            <w:tcW w:type="dxa" w:w="4195"/>
            <w:tcMar>
              <w:top w:w="70" w:type="dxa"/>
              <w:start w:w="90" w:type="dxa"/>
              <w:bottom w:w="70" w:type="dxa"/>
              <w:end w:w="90" w:type="dxa"/>
            </w:tcMar>
            <w:vAlign w:val="center"/>
          </w:tcPr>
          <w:p>
            <w:pPr>
              <w:spacing w:after="0" w:before="0"/>
            </w:pPr>
            <w:r/>
            <w:r>
              <w:rPr>
                <w:rFonts w:ascii="Aptos" w:hAnsi="Aptos"/>
                <w:b w:val="0"/>
                <w:color w:val="172B3A"/>
                <w:sz w:val="16"/>
              </w:rPr>
              <w:t>`dig A`, `dig -x`, `getent ahostsv4` from the bastion and admin jump host.</w:t>
            </w:r>
          </w:p>
        </w:tc>
      </w:tr>
      <w:tr>
        <w:trPr>
          <w:cantSplit/>
        </w:trPr>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6"/>
              </w:rPr>
              <w:t>Registry A/PTR</w:t>
            </w:r>
          </w:p>
        </w:tc>
        <w:tc>
          <w:tcPr>
            <w:tcW w:type="dxa" w:w="3458"/>
            <w:tcMar>
              <w:top w:w="70" w:type="dxa"/>
              <w:start w:w="90" w:type="dxa"/>
              <w:bottom w:w="70" w:type="dxa"/>
              <w:end w:w="90" w:type="dxa"/>
            </w:tcMar>
            <w:vAlign w:val="center"/>
            <w:shd w:fill="F8FAFC"/>
          </w:tcPr>
          <w:p>
            <w:pPr>
              <w:spacing w:after="0" w:before="0"/>
            </w:pPr>
            <w:r/>
            <w:r>
              <w:rPr>
                <w:rFonts w:ascii="Aptos" w:hAnsi="Aptos"/>
                <w:b w:val="0"/>
                <w:color w:val="172B3A"/>
                <w:sz w:val="16"/>
              </w:rPr>
              <w:t>registry.customer.local → internal IP</w:t>
            </w:r>
          </w:p>
        </w:tc>
        <w:tc>
          <w:tcPr>
            <w:tcW w:type="dxa" w:w="4195"/>
            <w:tcMar>
              <w:top w:w="70" w:type="dxa"/>
              <w:start w:w="90" w:type="dxa"/>
              <w:bottom w:w="70" w:type="dxa"/>
              <w:end w:w="90" w:type="dxa"/>
            </w:tcMar>
            <w:vAlign w:val="center"/>
            <w:shd w:fill="F8FAFC"/>
          </w:tcPr>
          <w:p>
            <w:pPr>
              <w:spacing w:after="0" w:before="0"/>
            </w:pPr>
            <w:r/>
            <w:r>
              <w:rPr>
                <w:rFonts w:ascii="Aptos" w:hAnsi="Aptos"/>
                <w:b w:val="0"/>
                <w:color w:val="172B3A"/>
                <w:sz w:val="16"/>
              </w:rPr>
              <w:t>Certificate SAN must match the DNS name used by Docker, NKP, and nodes.</w:t>
            </w:r>
          </w:p>
        </w:tc>
      </w:tr>
      <w:tr>
        <w:trPr>
          <w:cantSplit/>
        </w:trPr>
        <w:tc>
          <w:tcPr>
            <w:tcW w:type="dxa" w:w="2268"/>
            <w:tcMar>
              <w:top w:w="70" w:type="dxa"/>
              <w:start w:w="90" w:type="dxa"/>
              <w:bottom w:w="70" w:type="dxa"/>
              <w:end w:w="90" w:type="dxa"/>
            </w:tcMar>
            <w:vAlign w:val="center"/>
          </w:tcPr>
          <w:p>
            <w:pPr>
              <w:spacing w:after="0" w:before="0"/>
            </w:pPr>
            <w:r/>
            <w:r>
              <w:rPr>
                <w:rFonts w:ascii="Aptos" w:hAnsi="Aptos"/>
                <w:b w:val="0"/>
                <w:color w:val="172B3A"/>
                <w:sz w:val="16"/>
              </w:rPr>
              <w:t>Prism Central A/PTR</w:t>
            </w:r>
          </w:p>
        </w:tc>
        <w:tc>
          <w:tcPr>
            <w:tcW w:type="dxa" w:w="3458"/>
            <w:tcMar>
              <w:top w:w="70" w:type="dxa"/>
              <w:start w:w="90" w:type="dxa"/>
              <w:bottom w:w="70" w:type="dxa"/>
              <w:end w:w="90" w:type="dxa"/>
            </w:tcMar>
            <w:vAlign w:val="center"/>
          </w:tcPr>
          <w:p>
            <w:pPr>
              <w:spacing w:after="0" w:before="0"/>
            </w:pPr>
            <w:r/>
            <w:r>
              <w:rPr>
                <w:rFonts w:ascii="Aptos" w:hAnsi="Aptos"/>
                <w:b w:val="0"/>
                <w:color w:val="172B3A"/>
                <w:sz w:val="16"/>
              </w:rPr>
              <w:t>pc.customer.local → PC VIP</w:t>
            </w:r>
          </w:p>
        </w:tc>
        <w:tc>
          <w:tcPr>
            <w:tcW w:type="dxa" w:w="4195"/>
            <w:tcMar>
              <w:top w:w="70" w:type="dxa"/>
              <w:start w:w="90" w:type="dxa"/>
              <w:bottom w:w="70" w:type="dxa"/>
              <w:end w:w="90" w:type="dxa"/>
            </w:tcMar>
            <w:vAlign w:val="center"/>
          </w:tcPr>
          <w:p>
            <w:pPr>
              <w:spacing w:after="0" w:before="0"/>
            </w:pPr>
            <w:r/>
            <w:r>
              <w:rPr>
                <w:rFonts w:ascii="Aptos" w:hAnsi="Aptos"/>
                <w:b w:val="0"/>
                <w:color w:val="172B3A"/>
                <w:sz w:val="16"/>
              </w:rPr>
              <w:t>Forward and reverse records must be stable.</w:t>
            </w:r>
          </w:p>
        </w:tc>
      </w:tr>
      <w:tr>
        <w:trPr>
          <w:cantSplit/>
        </w:trPr>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6"/>
              </w:rPr>
              <w:t>Control-plane API name (optional)</w:t>
            </w:r>
          </w:p>
        </w:tc>
        <w:tc>
          <w:tcPr>
            <w:tcW w:type="dxa" w:w="3458"/>
            <w:tcMar>
              <w:top w:w="70" w:type="dxa"/>
              <w:start w:w="90" w:type="dxa"/>
              <w:bottom w:w="70" w:type="dxa"/>
              <w:end w:w="90" w:type="dxa"/>
            </w:tcMar>
            <w:vAlign w:val="center"/>
            <w:shd w:fill="F8FAFC"/>
          </w:tcPr>
          <w:p>
            <w:pPr>
              <w:spacing w:after="0" w:before="0"/>
            </w:pPr>
            <w:r/>
            <w:r>
              <w:rPr>
                <w:rFonts w:ascii="Aptos" w:hAnsi="Aptos"/>
                <w:b w:val="0"/>
                <w:color w:val="172B3A"/>
                <w:sz w:val="16"/>
              </w:rPr>
              <w:t>nkp-mgmt-01-api.customer.local → control-plane VIP</w:t>
            </w:r>
          </w:p>
        </w:tc>
        <w:tc>
          <w:tcPr>
            <w:tcW w:type="dxa" w:w="4195"/>
            <w:tcMar>
              <w:top w:w="70" w:type="dxa"/>
              <w:start w:w="90" w:type="dxa"/>
              <w:bottom w:w="70" w:type="dxa"/>
              <w:end w:w="90" w:type="dxa"/>
            </w:tcMar>
            <w:vAlign w:val="center"/>
            <w:shd w:fill="F8FAFC"/>
          </w:tcPr>
          <w:p>
            <w:pPr>
              <w:spacing w:after="0" w:before="0"/>
            </w:pPr>
            <w:r/>
            <w:r>
              <w:rPr>
                <w:rFonts w:ascii="Aptos" w:hAnsi="Aptos"/>
                <w:b w:val="0"/>
                <w:color w:val="172B3A"/>
                <w:sz w:val="16"/>
              </w:rPr>
              <w:t>Use when customer standards require a friendly API name; ensure certificate behavior matches NKP design.</w:t>
            </w:r>
          </w:p>
        </w:tc>
      </w:tr>
    </w:tbl>
    <w:p>
      <w:pPr>
        <w:spacing w:after="0"/>
      </w:pPr>
    </w:p>
    <w:p>
      <w:pPr>
        <w:spacing w:after="40"/>
      </w:pPr>
      <w:r>
        <w:rPr>
          <w:b/>
          <w:color w:val="1F6E8C"/>
          <w:sz w:val="18"/>
        </w:rPr>
        <w:t>DNS validation</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for host in nkp-bastion.customer.local registry.customer.local pc.customer.local; do</w:t>
            </w:r>
            <w:r>
              <w:br/>
            </w:r>
            <w:r>
              <w:rPr>
                <w:rFonts w:ascii="Consolas" w:hAnsi="Consolas" w:eastAsia="Consolas"/>
                <w:color w:val="172B3A"/>
                <w:sz w:val="16"/>
              </w:rPr>
              <w:t xml:space="preserve">  echo "===== $host ====="</w:t>
            </w:r>
            <w:r>
              <w:br/>
            </w:r>
            <w:r>
              <w:rPr>
                <w:rFonts w:ascii="Consolas" w:hAnsi="Consolas" w:eastAsia="Consolas"/>
                <w:color w:val="172B3A"/>
                <w:sz w:val="16"/>
              </w:rPr>
              <w:t xml:space="preserve">  getent ahostsv4 "$host"</w:t>
            </w:r>
            <w:r>
              <w:br/>
            </w:r>
            <w:r>
              <w:rPr>
                <w:rFonts w:ascii="Consolas" w:hAnsi="Consolas" w:eastAsia="Consolas"/>
                <w:color w:val="172B3A"/>
                <w:sz w:val="16"/>
              </w:rPr>
              <w:t xml:space="preserve">  dig +short A "$host"</w:t>
            </w:r>
            <w:r>
              <w:br/>
            </w:r>
            <w:r>
              <w:rPr>
                <w:rFonts w:ascii="Consolas" w:hAnsi="Consolas" w:eastAsia="Consolas"/>
                <w:color w:val="172B3A"/>
                <w:sz w:val="16"/>
              </w:rPr>
              <w:t>done</w:t>
            </w:r>
            <w:r>
              <w:br/>
            </w:r>
            <w:r>
              <w:rPr>
                <w:rFonts w:ascii="Consolas" w:hAnsi="Consolas" w:eastAsia="Consolas"/>
                <w:color w:val="172B3A"/>
                <w:sz w:val="16"/>
              </w:rPr>
            </w:r>
            <w:r>
              <w:br/>
            </w:r>
            <w:r>
              <w:rPr>
                <w:rFonts w:ascii="Consolas" w:hAnsi="Consolas" w:eastAsia="Consolas"/>
                <w:color w:val="172B3A"/>
                <w:sz w:val="16"/>
              </w:rPr>
              <w:t>dig -x &lt;BASTION_IP&gt; +short</w:t>
            </w:r>
            <w:r>
              <w:br/>
            </w:r>
            <w:r>
              <w:rPr>
                <w:rFonts w:ascii="Consolas" w:hAnsi="Consolas" w:eastAsia="Consolas"/>
                <w:color w:val="172B3A"/>
                <w:sz w:val="16"/>
              </w:rPr>
              <w:t>dig -x &lt;REGISTRY_IP&gt; +short</w:t>
            </w:r>
            <w:r>
              <w:br/>
            </w:r>
            <w:r>
              <w:rPr>
                <w:rFonts w:ascii="Consolas" w:hAnsi="Consolas" w:eastAsia="Consolas"/>
                <w:color w:val="172B3A"/>
                <w:sz w:val="16"/>
              </w:rPr>
              <w:t>dig -x &lt;PRISM_CENTRAL_IP&gt; +short</w:t>
            </w:r>
          </w:p>
        </w:tc>
      </w:tr>
    </w:tbl>
    <w:p>
      <w:pPr>
        <w:spacing w:after="0"/>
      </w:pPr>
    </w:p>
    <w:p>
      <w:pPr>
        <w:pStyle w:val="Heading2"/>
        <w:keepNext/>
      </w:pPr>
      <w:r>
        <w:t>5.3 Time validation</w:t>
      </w:r>
    </w:p>
    <w:p>
      <w:pPr>
        <w:spacing w:after="40"/>
      </w:pPr>
      <w:r>
        <w:rPr>
          <w:b/>
          <w:color w:val="1F6E8C"/>
          <w:sz w:val="18"/>
        </w:rPr>
        <w:t>Bastion time checks</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timedatectl</w:t>
            </w:r>
            <w:r>
              <w:br/>
            </w:r>
            <w:r>
              <w:rPr>
                <w:rFonts w:ascii="Consolas" w:hAnsi="Consolas" w:eastAsia="Consolas"/>
                <w:color w:val="172B3A"/>
                <w:sz w:val="16"/>
              </w:rPr>
              <w:t>chronyc tracking</w:t>
            </w:r>
            <w:r>
              <w:br/>
            </w:r>
            <w:r>
              <w:rPr>
                <w:rFonts w:ascii="Consolas" w:hAnsi="Consolas" w:eastAsia="Consolas"/>
                <w:color w:val="172B3A"/>
                <w:sz w:val="16"/>
              </w:rPr>
              <w:t>chronyc sources -v</w:t>
            </w:r>
            <w:r>
              <w:br/>
            </w:r>
            <w:r>
              <w:rPr>
                <w:rFonts w:ascii="Consolas" w:hAnsi="Consolas" w:eastAsia="Consolas"/>
                <w:color w:val="172B3A"/>
                <w:sz w:val="16"/>
              </w:rPr>
            </w:r>
            <w:r>
              <w:br/>
            </w:r>
            <w:r>
              <w:rPr>
                <w:rFonts w:ascii="Consolas" w:hAnsi="Consolas" w:eastAsia="Consolas"/>
                <w:color w:val="172B3A"/>
                <w:sz w:val="16"/>
              </w:rPr>
              <w:t># A healthy result has a synchronized system clock and reachable internal sources.</w:t>
            </w:r>
            <w:r>
              <w:br/>
            </w:r>
            <w:r>
              <w:rPr>
                <w:rFonts w:ascii="Consolas" w:hAnsi="Consolas" w:eastAsia="Consolas"/>
                <w:color w:val="172B3A"/>
                <w:sz w:val="16"/>
              </w:rPr>
              <w:t># Investigate large offset, unsynchronized leap status, or public NTP servers.</w:t>
            </w:r>
          </w:p>
        </w:tc>
      </w:tr>
    </w:tbl>
    <w:p>
      <w:pPr>
        <w:spacing w:after="0"/>
      </w:pPr>
    </w:p>
    <w:p>
      <w:pPr>
        <w:pStyle w:val="Heading2"/>
        <w:keepNext/>
      </w:pPr>
      <w:r>
        <w:t>5.4 TLS and CA validation</w:t>
      </w:r>
    </w:p>
    <w:p>
      <w:pPr>
        <w:spacing w:after="120" w:line="259" w:lineRule="auto"/>
      </w:pPr>
      <w:r>
        <w:t>Use customer-issued certificates with DNS SANs. Supply the full issuing chain in the correct order. The registry server private key remains inside the customer boundary. Trust the root/intermediate CA in the Linux system trust store, Docker/container runtime trust directory, and NKP registry-mirror configuration.</w:t>
      </w:r>
    </w:p>
    <w:p>
      <w:pPr>
        <w:spacing w:after="40"/>
      </w:pPr>
      <w:r>
        <w:rPr>
          <w:b/>
          <w:color w:val="1F6E8C"/>
          <w:sz w:val="18"/>
        </w:rPr>
        <w:t>Registry TLS checks</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Inspect the registry certificate and verify the chain and SAN.</w:t>
            </w:r>
            <w:r>
              <w:br/>
            </w:r>
            <w:r>
              <w:rPr>
                <w:rFonts w:ascii="Consolas" w:hAnsi="Consolas" w:eastAsia="Consolas"/>
                <w:color w:val="172B3A"/>
                <w:sz w:val="16"/>
              </w:rPr>
              <w:t>openssl s_client   -connect registry.customer.local:443   -servername registry.customer.local   -verify_return_error   -CAfile /opt/nkp/pki/registry-ca-chain.crt   &lt;/dev/null</w:t>
            </w:r>
            <w:r>
              <w:br/>
            </w:r>
            <w:r>
              <w:rPr>
                <w:rFonts w:ascii="Consolas" w:hAnsi="Consolas" w:eastAsia="Consolas"/>
                <w:color w:val="172B3A"/>
                <w:sz w:val="16"/>
              </w:rPr>
            </w:r>
            <w:r>
              <w:br/>
            </w:r>
            <w:r>
              <w:rPr>
                <w:rFonts w:ascii="Consolas" w:hAnsi="Consolas" w:eastAsia="Consolas"/>
                <w:color w:val="172B3A"/>
                <w:sz w:val="16"/>
              </w:rPr>
              <w:t>openssl s_client -connect registry.customer.local:443   -servername registry.customer.local &lt;/dev/null 2&gt;/dev/null   | openssl x509 -noout -subject -issuer -serial -dates -ext subjectAltName</w:t>
            </w:r>
            <w:r>
              <w:br/>
            </w:r>
            <w:r>
              <w:rPr>
                <w:rFonts w:ascii="Consolas" w:hAnsi="Consolas" w:eastAsia="Consolas"/>
                <w:color w:val="172B3A"/>
                <w:sz w:val="16"/>
              </w:rPr>
            </w:r>
            <w:r>
              <w:br/>
            </w:r>
            <w:r>
              <w:rPr>
                <w:rFonts w:ascii="Consolas" w:hAnsi="Consolas" w:eastAsia="Consolas"/>
                <w:color w:val="172B3A"/>
                <w:sz w:val="16"/>
              </w:rPr>
              <w:t>curl --fail --cacert /opt/nkp/pki/registry-ca-chain.crt   https://registry.customer.local/v2/</w:t>
            </w:r>
          </w:p>
        </w:tc>
      </w:tr>
    </w:tbl>
    <w:p>
      <w:pPr>
        <w:spacing w:after="0"/>
      </w:pPr>
    </w:p>
    <w:tbl>
      <w:tblPr>
        <w:tblW w:type="auto" w:w="0"/>
        <w:tblLayout w:type="autofit"/>
        <w:tblLook w:firstColumn="1" w:firstRow="1" w:lastColumn="0" w:lastRow="0" w:noHBand="0" w:noVBand="1" w:val="04A0"/>
      </w:tblPr>
      <w:tblGrid>
        <w:gridCol w:w="198"/>
        <w:gridCol w:w="9921"/>
      </w:tblGrid>
      <w:tr>
        <w:tc>
          <w:tcPr>
            <w:tcW w:type="dxa" w:w="5018"/>
            <w:shd w:fill="B83232"/>
          </w:tcPr>
          <w:p>
            <w:r/>
          </w:p>
        </w:tc>
        <w:tc>
          <w:tcPr>
            <w:tcW w:type="dxa" w:w="5018"/>
            <w:shd w:fill="FDECEC"/>
            <w:tcMar>
              <w:top w:w="100" w:type="dxa"/>
              <w:start w:w="120" w:type="dxa"/>
              <w:bottom w:w="100" w:type="dxa"/>
              <w:end w:w="120" w:type="dxa"/>
            </w:tcMar>
          </w:tcPr>
          <w:p>
            <w:pPr>
              <w:spacing w:after="40"/>
            </w:pPr>
            <w:r/>
            <w:r>
              <w:rPr>
                <w:b/>
                <w:color w:val="B83232"/>
                <w:sz w:val="20"/>
              </w:rPr>
              <w:t>Do not normalize insecure flags</w:t>
            </w:r>
          </w:p>
          <w:p>
            <w:pPr>
              <w:spacing w:after="0" w:line="252" w:lineRule="auto"/>
            </w:pPr>
            <w:r>
              <w:rPr>
                <w:color w:val="172B3A"/>
                <w:sz w:val="18"/>
              </w:rPr>
              <w:t>`curl -k`, an HTTP registry, `--insecure`, or disabling certificate verification can be a temporary diagnostic under an approved incident action, but it is not an acceptance criterion. Correct DNS SANs and CA distribution before proceeding.</w:t>
            </w:r>
          </w:p>
        </w:tc>
      </w:tr>
    </w:tbl>
    <w:p>
      <w:pPr>
        <w:spacing w:after="0"/>
      </w:pPr>
    </w:p>
    <w:p>
      <w:pPr>
        <w:pStyle w:val="Heading1"/>
        <w:keepNext/>
      </w:pPr>
      <w:r>
        <w:t>6. Connected staging host and transfer-kit preparation</w:t>
      </w:r>
    </w:p>
    <w:p>
      <w:pPr>
        <w:pStyle w:val="Heading2"/>
        <w:keepNext/>
      </w:pPr>
      <w:r>
        <w:t>6.1 Staging-host requirements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154"/>
            <w:tcMar>
              <w:top w:w="70" w:type="dxa"/>
              <w:start w:w="90" w:type="dxa"/>
              <w:bottom w:w="70" w:type="dxa"/>
              <w:end w:w="90" w:type="dxa"/>
            </w:tcMar>
            <w:vAlign w:val="center"/>
            <w:shd w:fill="17324D"/>
          </w:tcPr>
          <w:p>
            <w:pPr>
              <w:spacing w:after="0" w:before="0"/>
            </w:pPr>
            <w:r/>
            <w:r>
              <w:rPr>
                <w:rFonts w:ascii="Aptos" w:hAnsi="Aptos"/>
                <w:b/>
                <w:color w:val="FFFFFF"/>
                <w:sz w:val="16"/>
              </w:rPr>
              <w:t>Item</w:t>
            </w:r>
          </w:p>
        </w:tc>
        <w:tc>
          <w:tcPr>
            <w:tcW w:type="dxa" w:w="7767"/>
            <w:tcMar>
              <w:top w:w="70" w:type="dxa"/>
              <w:start w:w="90" w:type="dxa"/>
              <w:bottom w:w="70" w:type="dxa"/>
              <w:end w:w="90" w:type="dxa"/>
            </w:tcMar>
            <w:vAlign w:val="center"/>
            <w:shd w:fill="17324D"/>
          </w:tcPr>
          <w:p>
            <w:pPr>
              <w:spacing w:after="0" w:before="0"/>
            </w:pPr>
            <w:r/>
            <w:r>
              <w:rPr>
                <w:rFonts w:ascii="Aptos" w:hAnsi="Aptos"/>
                <w:b/>
                <w:color w:val="FFFFFF"/>
                <w:sz w:val="16"/>
              </w:rPr>
              <w:t>Reference requirement</w:t>
            </w:r>
          </w:p>
        </w:tc>
      </w:tr>
      <w:tr>
        <w:trPr>
          <w:cantSplit/>
        </w:trPr>
        <w:tc>
          <w:tcPr>
            <w:tcW w:type="dxa" w:w="2154"/>
            <w:tcMar>
              <w:top w:w="70" w:type="dxa"/>
              <w:start w:w="90" w:type="dxa"/>
              <w:bottom w:w="70" w:type="dxa"/>
              <w:end w:w="90" w:type="dxa"/>
            </w:tcMar>
            <w:vAlign w:val="center"/>
          </w:tcPr>
          <w:p>
            <w:pPr>
              <w:spacing w:after="0" w:before="0"/>
            </w:pPr>
            <w:r/>
            <w:r>
              <w:rPr>
                <w:rFonts w:ascii="Aptos" w:hAnsi="Aptos"/>
                <w:b w:val="0"/>
                <w:color w:val="172B3A"/>
                <w:sz w:val="16"/>
              </w:rPr>
              <w:t>Host</w:t>
            </w:r>
          </w:p>
        </w:tc>
        <w:tc>
          <w:tcPr>
            <w:tcW w:type="dxa" w:w="7767"/>
            <w:tcMar>
              <w:top w:w="70" w:type="dxa"/>
              <w:start w:w="90" w:type="dxa"/>
              <w:bottom w:w="70" w:type="dxa"/>
              <w:end w:w="90" w:type="dxa"/>
            </w:tcMar>
            <w:vAlign w:val="center"/>
          </w:tcPr>
          <w:p>
            <w:pPr>
              <w:spacing w:after="0" w:before="0"/>
            </w:pPr>
            <w:r/>
            <w:r>
              <w:rPr>
                <w:rFonts w:ascii="Aptos" w:hAnsi="Aptos"/>
                <w:b w:val="0"/>
                <w:color w:val="172B3A"/>
                <w:sz w:val="16"/>
              </w:rPr>
              <w:t>Dedicated Linux x86_64 staging host in an Internet-connected controlled network.</w:t>
            </w:r>
          </w:p>
        </w:tc>
      </w:tr>
      <w:tr>
        <w:trPr>
          <w:cantSplit/>
        </w:trPr>
        <w:tc>
          <w:tcPr>
            <w:tcW w:type="dxa" w:w="2154"/>
            <w:tcMar>
              <w:top w:w="70" w:type="dxa"/>
              <w:start w:w="90" w:type="dxa"/>
              <w:bottom w:w="70" w:type="dxa"/>
              <w:end w:w="90" w:type="dxa"/>
            </w:tcMar>
            <w:vAlign w:val="center"/>
            <w:shd w:fill="F8FAFC"/>
          </w:tcPr>
          <w:p>
            <w:pPr>
              <w:spacing w:after="0" w:before="0"/>
            </w:pPr>
            <w:r/>
            <w:r>
              <w:rPr>
                <w:rFonts w:ascii="Aptos" w:hAnsi="Aptos"/>
                <w:b w:val="0"/>
                <w:color w:val="172B3A"/>
                <w:sz w:val="16"/>
              </w:rPr>
              <w:t>Capacity</w:t>
            </w:r>
          </w:p>
        </w:tc>
        <w:tc>
          <w:tcPr>
            <w:tcW w:type="dxa" w:w="7767"/>
            <w:tcMar>
              <w:top w:w="70" w:type="dxa"/>
              <w:start w:w="90" w:type="dxa"/>
              <w:bottom w:w="70" w:type="dxa"/>
              <w:end w:w="90" w:type="dxa"/>
            </w:tcMar>
            <w:vAlign w:val="center"/>
            <w:shd w:fill="F8FAFC"/>
          </w:tcPr>
          <w:p>
            <w:pPr>
              <w:spacing w:after="0" w:before="0"/>
            </w:pPr>
            <w:r/>
            <w:r>
              <w:rPr>
                <w:rFonts w:ascii="Aptos" w:hAnsi="Aptos"/>
                <w:b w:val="0"/>
                <w:color w:val="172B3A"/>
                <w:sz w:val="16"/>
              </w:rPr>
              <w:t>Free space at least 2.5 times the total download size to allow extraction, hashing, and archive creation.</w:t>
            </w:r>
          </w:p>
        </w:tc>
      </w:tr>
      <w:tr>
        <w:trPr>
          <w:cantSplit/>
        </w:trPr>
        <w:tc>
          <w:tcPr>
            <w:tcW w:type="dxa" w:w="2154"/>
            <w:tcMar>
              <w:top w:w="70" w:type="dxa"/>
              <w:start w:w="90" w:type="dxa"/>
              <w:bottom w:w="70" w:type="dxa"/>
              <w:end w:w="90" w:type="dxa"/>
            </w:tcMar>
            <w:vAlign w:val="center"/>
          </w:tcPr>
          <w:p>
            <w:pPr>
              <w:spacing w:after="0" w:before="0"/>
            </w:pPr>
            <w:r/>
            <w:r>
              <w:rPr>
                <w:rFonts w:ascii="Aptos" w:hAnsi="Aptos"/>
                <w:b w:val="0"/>
                <w:color w:val="172B3A"/>
                <w:sz w:val="16"/>
              </w:rPr>
              <w:t>Access</w:t>
            </w:r>
          </w:p>
        </w:tc>
        <w:tc>
          <w:tcPr>
            <w:tcW w:type="dxa" w:w="7767"/>
            <w:tcMar>
              <w:top w:w="70" w:type="dxa"/>
              <w:start w:w="90" w:type="dxa"/>
              <w:bottom w:w="70" w:type="dxa"/>
              <w:end w:w="90" w:type="dxa"/>
            </w:tcMar>
            <w:vAlign w:val="center"/>
          </w:tcPr>
          <w:p>
            <w:pPr>
              <w:spacing w:after="0" w:before="0"/>
            </w:pPr>
            <w:r/>
            <w:r>
              <w:rPr>
                <w:rFonts w:ascii="Aptos" w:hAnsi="Aptos"/>
                <w:b w:val="0"/>
                <w:color w:val="172B3A"/>
                <w:sz w:val="16"/>
              </w:rPr>
              <w:t>Nutanix Support Portal entitlement, official open-source release pages, customer-approved malware scanning.</w:t>
            </w:r>
          </w:p>
        </w:tc>
      </w:tr>
      <w:tr>
        <w:trPr>
          <w:cantSplit/>
        </w:trPr>
        <w:tc>
          <w:tcPr>
            <w:tcW w:type="dxa" w:w="2154"/>
            <w:tcMar>
              <w:top w:w="70" w:type="dxa"/>
              <w:start w:w="90" w:type="dxa"/>
              <w:bottom w:w="70" w:type="dxa"/>
              <w:end w:w="90" w:type="dxa"/>
            </w:tcMar>
            <w:vAlign w:val="center"/>
            <w:shd w:fill="F8FAFC"/>
          </w:tcPr>
          <w:p>
            <w:pPr>
              <w:spacing w:after="0" w:before="0"/>
            </w:pPr>
            <w:r/>
            <w:r>
              <w:rPr>
                <w:rFonts w:ascii="Aptos" w:hAnsi="Aptos"/>
                <w:b w:val="0"/>
                <w:color w:val="172B3A"/>
                <w:sz w:val="16"/>
              </w:rPr>
              <w:t>Security</w:t>
            </w:r>
          </w:p>
        </w:tc>
        <w:tc>
          <w:tcPr>
            <w:tcW w:type="dxa" w:w="7767"/>
            <w:tcMar>
              <w:top w:w="70" w:type="dxa"/>
              <w:start w:w="90" w:type="dxa"/>
              <w:bottom w:w="70" w:type="dxa"/>
              <w:end w:w="90" w:type="dxa"/>
            </w:tcMar>
            <w:vAlign w:val="center"/>
            <w:shd w:fill="F8FAFC"/>
          </w:tcPr>
          <w:p>
            <w:pPr>
              <w:spacing w:after="0" w:before="0"/>
            </w:pPr>
            <w:r/>
            <w:r>
              <w:rPr>
                <w:rFonts w:ascii="Aptos" w:hAnsi="Aptos"/>
                <w:b w:val="0"/>
                <w:color w:val="172B3A"/>
                <w:sz w:val="16"/>
              </w:rPr>
              <w:t>No production credentials; clean working directory; recorded operator, UTC timestamps, and transfer ID.</w:t>
            </w:r>
          </w:p>
        </w:tc>
      </w:tr>
      <w:tr>
        <w:trPr>
          <w:cantSplit/>
        </w:trPr>
        <w:tc>
          <w:tcPr>
            <w:tcW w:type="dxa" w:w="2154"/>
            <w:tcMar>
              <w:top w:w="70" w:type="dxa"/>
              <w:start w:w="90" w:type="dxa"/>
              <w:bottom w:w="70" w:type="dxa"/>
              <w:end w:w="90" w:type="dxa"/>
            </w:tcMar>
            <w:vAlign w:val="center"/>
          </w:tcPr>
          <w:p>
            <w:pPr>
              <w:spacing w:after="0" w:before="0"/>
            </w:pPr>
            <w:r/>
            <w:r>
              <w:rPr>
                <w:rFonts w:ascii="Aptos" w:hAnsi="Aptos"/>
                <w:b w:val="0"/>
                <w:color w:val="172B3A"/>
                <w:sz w:val="16"/>
              </w:rPr>
              <w:t>Tools</w:t>
            </w:r>
          </w:p>
        </w:tc>
        <w:tc>
          <w:tcPr>
            <w:tcW w:type="dxa" w:w="7767"/>
            <w:tcMar>
              <w:top w:w="70" w:type="dxa"/>
              <w:start w:w="90" w:type="dxa"/>
              <w:bottom w:w="70" w:type="dxa"/>
              <w:end w:w="90" w:type="dxa"/>
            </w:tcMar>
            <w:vAlign w:val="center"/>
          </w:tcPr>
          <w:p>
            <w:pPr>
              <w:spacing w:after="0" w:before="0"/>
            </w:pPr>
            <w:r/>
            <w:r>
              <w:rPr>
                <w:rFonts w:ascii="Aptos" w:hAnsi="Aptos"/>
                <w:b w:val="0"/>
                <w:color w:val="172B3A"/>
                <w:sz w:val="16"/>
              </w:rPr>
              <w:t>curl/wget, sha256sum, tar, unzip, GPG/cosign when vendor signatures are available, Docker/Skopeo for validation as needed, dnf/createrepo_c for RHEL package cache.</w:t>
            </w:r>
          </w:p>
        </w:tc>
      </w:tr>
    </w:tbl>
    <w:p>
      <w:pPr>
        <w:spacing w:after="0"/>
      </w:pPr>
    </w:p>
    <w:p>
      <w:pPr>
        <w:pStyle w:val="Heading2"/>
        <w:keepNext/>
      </w:pPr>
      <w:r>
        <w:t>6.2 Create the staging workspace</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export NKP_FULL_VERSION='&lt;EXACT_2.18_PATCH&gt;'</w:t>
            </w:r>
            <w:r>
              <w:br/>
            </w:r>
            <w:r>
              <w:rPr>
                <w:rFonts w:ascii="Consolas" w:hAnsi="Consolas" w:eastAsia="Consolas"/>
                <w:color w:val="172B3A"/>
                <w:sz w:val="16"/>
              </w:rPr>
              <w:t>export STAGE="$HOME/nkp-airgap-stage/${NKP_FULL_VERSION}"</w:t>
            </w:r>
            <w:r>
              <w:br/>
            </w:r>
            <w:r>
              <w:rPr>
                <w:rFonts w:ascii="Consolas" w:hAnsi="Consolas" w:eastAsia="Consolas"/>
                <w:color w:val="172B3A"/>
                <w:sz w:val="16"/>
              </w:rPr>
              <w:t>umask 027</w:t>
            </w:r>
            <w:r>
              <w:br/>
            </w:r>
            <w:r>
              <w:rPr>
                <w:rFonts w:ascii="Consolas" w:hAnsi="Consolas" w:eastAsia="Consolas"/>
                <w:color w:val="172B3A"/>
                <w:sz w:val="16"/>
              </w:rPr>
              <w:t>mkdir -p "$STAGE"/{inbox,artifacts,documentation,os-packages,manifest,logs}</w:t>
            </w:r>
            <w:r>
              <w:br/>
            </w:r>
            <w:r>
              <w:rPr>
                <w:rFonts w:ascii="Consolas" w:hAnsi="Consolas" w:eastAsia="Consolas"/>
                <w:color w:val="172B3A"/>
                <w:sz w:val="16"/>
              </w:rPr>
              <w:t>chmod 0750 "$STAGE"</w:t>
            </w:r>
            <w:r>
              <w:br/>
            </w:r>
            <w:r>
              <w:rPr>
                <w:rFonts w:ascii="Consolas" w:hAnsi="Consolas" w:eastAsia="Consolas"/>
                <w:color w:val="172B3A"/>
                <w:sz w:val="16"/>
              </w:rPr>
              <w:t>date -u +%FT%TZ | tee "$STAGE/manifest/staging-start-utc.txt</w:t>
            </w:r>
          </w:p>
        </w:tc>
      </w:tr>
    </w:tbl>
    <w:p>
      <w:pPr>
        <w:spacing w:after="0"/>
      </w:pPr>
    </w:p>
    <w:p>
      <w:pPr>
        <w:pStyle w:val="Heading2"/>
        <w:keepNext/>
      </w:pPr>
      <w:r>
        <w:t>6.3 Download and freeze the vendor artifact set</w:t>
      </w:r>
    </w:p>
    <w:p>
      <w:pPr>
        <w:pStyle w:val="ListNumber"/>
      </w:pPr>
      <w:r>
        <w:t>Sign in to the Nutanix Support Portal using the customer or partner entitlement approved for the engagement.</w:t>
      </w:r>
    </w:p>
    <w:p>
      <w:pPr>
        <w:pStyle w:val="ListNumber"/>
      </w:pPr>
      <w:r>
        <w:t>Confirm that the release is the latest supported NKP 2.18.x build for the customer Prism Central/AOS/AHV versions. Save the release notes and compatibility information offline.</w:t>
      </w:r>
    </w:p>
    <w:p>
      <w:pPr>
        <w:pStyle w:val="ListNumber"/>
      </w:pPr>
      <w:r>
        <w:t>Download the Linux x86_64 NKP CLI, the matching NKP air-gapped bundle, and the release-qualified Nutanix node image. Do not rename files until the original names are recorded.</w:t>
      </w:r>
    </w:p>
    <w:p>
      <w:pPr>
        <w:pStyle w:val="ListNumber"/>
      </w:pPr>
      <w:r>
        <w:t>Download or save the vendor-provided checksum/signature files. Where the portal does not expose a public checksum, compute a local SHA256 immediately and record the download source, UTC time, and operator.</w:t>
      </w:r>
    </w:p>
    <w:p>
      <w:pPr>
        <w:pStyle w:val="ListNumber"/>
      </w:pPr>
      <w:r>
        <w:t>Collect the license/entitlement material and support contact details required inside the secure site.</w:t>
      </w:r>
    </w:p>
    <w:p>
      <w:pPr>
        <w:spacing w:after="40"/>
      </w:pPr>
      <w:r>
        <w:rPr>
          <w:b/>
          <w:color w:val="1F6E8C"/>
          <w:sz w:val="18"/>
        </w:rPr>
        <w:t>Initial artifact inventory</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cd "$STAGE/inbox"</w:t>
            </w:r>
            <w:r>
              <w:br/>
            </w:r>
            <w:r>
              <w:rPr>
                <w:rFonts w:ascii="Consolas" w:hAnsi="Consolas" w:eastAsia="Consolas"/>
                <w:color w:val="172B3A"/>
                <w:sz w:val="16"/>
              </w:rPr>
              <w:t>sha256sum * | tee "$STAGE/manifest/vendor-downloads.sha256"</w:t>
            </w:r>
            <w:r>
              <w:br/>
            </w:r>
            <w:r>
              <w:rPr>
                <w:rFonts w:ascii="Consolas" w:hAnsi="Consolas" w:eastAsia="Consolas"/>
                <w:color w:val="172B3A"/>
                <w:sz w:val="16"/>
              </w:rPr>
              <w:t>find . -maxdepth 1 -type f -printf '%f</w:t>
              <w:tab/>
              <w:t>%s bytes</w:t>
            </w:r>
            <w:r>
              <w:br/>
            </w:r>
            <w:r>
              <w:rPr>
                <w:rFonts w:ascii="Consolas" w:hAnsi="Consolas" w:eastAsia="Consolas"/>
                <w:color w:val="172B3A"/>
                <w:sz w:val="16"/>
              </w:rPr>
              <w:t>'   | sort | tee "$STAGE/manifest/vendor-downloads-inventory.tsv"</w:t>
            </w:r>
            <w:r>
              <w:br/>
            </w:r>
            <w:r>
              <w:rPr>
                <w:rFonts w:ascii="Consolas" w:hAnsi="Consolas" w:eastAsia="Consolas"/>
                <w:color w:val="172B3A"/>
                <w:sz w:val="16"/>
              </w:rPr>
            </w:r>
            <w:r>
              <w:br/>
            </w:r>
            <w:r>
              <w:rPr>
                <w:rFonts w:ascii="Consolas" w:hAnsi="Consolas" w:eastAsia="Consolas"/>
                <w:color w:val="172B3A"/>
                <w:sz w:val="16"/>
              </w:rPr>
              <w:t># Verify vendor checksum file when supplied.</w:t>
            </w:r>
            <w:r>
              <w:br/>
            </w:r>
            <w:r>
              <w:rPr>
                <w:rFonts w:ascii="Consolas" w:hAnsi="Consolas" w:eastAsia="Consolas"/>
                <w:color w:val="172B3A"/>
                <w:sz w:val="16"/>
              </w:rPr>
              <w:t>sha256sum -c &lt;VENDOR_SHA256SUMS_FILE&gt;</w:t>
            </w:r>
          </w:p>
        </w:tc>
      </w:tr>
    </w:tbl>
    <w:p>
      <w:pPr>
        <w:spacing w:after="0"/>
      </w:pPr>
    </w:p>
    <w:p>
      <w:pPr>
        <w:pStyle w:val="Heading2"/>
        <w:keepNext/>
      </w:pPr>
      <w:r>
        <w:t>6.4 Build the RHEL 9 offline package repository</w:t>
      </w:r>
    </w:p>
    <w:p>
      <w:pPr>
        <w:spacing w:after="120" w:line="259" w:lineRule="auto"/>
      </w:pPr>
      <w:r>
        <w:t>Use the customer’s entitled RHEL infrastructure or approved mirrored repositories. The package cache must be built on the same major architecture and should be tested on a disposable VM before entering the site. The provided script uses a fixed package list and `dnf download --resolve --alldeps`; it never executes this step on the air-gapped bastion.</w:t>
      </w:r>
    </w:p>
    <w:p>
      <w:pPr>
        <w:spacing w:after="40"/>
      </w:pPr>
      <w:r>
        <w:rPr>
          <w:b/>
          <w:color w:val="1F6E8C"/>
          <w:sz w:val="18"/>
        </w:rPr>
        <w:t>Connected RHEL repository build</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sudo dnf install -y dnf-plugins-core createrepo_c</w:t>
            </w:r>
            <w:r>
              <w:br/>
            </w:r>
            <w:r>
              <w:rPr>
                <w:rFonts w:ascii="Consolas" w:hAnsi="Consolas" w:eastAsia="Consolas"/>
                <w:color w:val="172B3A"/>
                <w:sz w:val="16"/>
              </w:rPr>
              <w:t>mkdir -p "$STAGE/os-packages/rhel9"</w:t>
            </w:r>
            <w:r>
              <w:br/>
            </w:r>
            <w:r>
              <w:rPr>
                <w:rFonts w:ascii="Consolas" w:hAnsi="Consolas" w:eastAsia="Consolas"/>
                <w:color w:val="172B3A"/>
                <w:sz w:val="16"/>
              </w:rPr>
              <w:t>mapfile -t pkgs &lt; &lt;(grep -Ev '^\s*(#|$)' templates/rhel9-packages.txt)</w:t>
            </w:r>
            <w:r>
              <w:br/>
            </w:r>
            <w:r>
              <w:rPr>
                <w:rFonts w:ascii="Consolas" w:hAnsi="Consolas" w:eastAsia="Consolas"/>
                <w:color w:val="172B3A"/>
                <w:sz w:val="16"/>
              </w:rPr>
              <w:t>sudo dnf download --resolve --alldeps   --destdir "$STAGE/os-packages/rhel9" "${pkgs[@]}"</w:t>
            </w:r>
            <w:r>
              <w:br/>
            </w:r>
            <w:r>
              <w:rPr>
                <w:rFonts w:ascii="Consolas" w:hAnsi="Consolas" w:eastAsia="Consolas"/>
                <w:color w:val="172B3A"/>
                <w:sz w:val="16"/>
              </w:rPr>
              <w:t>createrepo_c "$STAGE/os-packages/rhel9"</w:t>
            </w:r>
            <w:r>
              <w:br/>
            </w:r>
            <w:r>
              <w:rPr>
                <w:rFonts w:ascii="Consolas" w:hAnsi="Consolas" w:eastAsia="Consolas"/>
                <w:color w:val="172B3A"/>
                <w:sz w:val="16"/>
              </w:rPr>
            </w:r>
            <w:r>
              <w:br/>
            </w:r>
            <w:r>
              <w:rPr>
                <w:rFonts w:ascii="Consolas" w:hAnsi="Consolas" w:eastAsia="Consolas"/>
                <w:color w:val="172B3A"/>
                <w:sz w:val="16"/>
              </w:rPr>
              <w:t>find "$STAGE/os-packages/rhel9" -type f -print0   | sort -z | xargs -0 sha256sum   &gt; "$STAGE/manifest/rhel9-rpms.sha256</w:t>
            </w:r>
          </w:p>
        </w:tc>
      </w:tr>
    </w:tbl>
    <w:p>
      <w:pPr>
        <w:spacing w:after="0"/>
      </w:pPr>
    </w:p>
    <w:p>
      <w:pPr>
        <w:pStyle w:val="Heading2"/>
        <w:keepNext/>
      </w:pPr>
      <w:r>
        <w:t>6.5 Pin open-source dependencies</w:t>
      </w:r>
    </w:p>
    <w:p>
      <w:pPr>
        <w:spacing w:after="120" w:line="259" w:lineRule="auto"/>
      </w:pPr>
      <w:r>
        <w:t>Create an approved BOM containing product, version, official download URL, SHA256, purpose, and license. Do not use a floating “latest” URL. Versions must match the NKP release requirements and, when Harbor is used, the Harbor support matrix. The supplied `open-source-bom.tsv.example` intentionally contains placeholders so an operator cannot accidentally download an unreviewed version.</w:t>
      </w:r>
    </w:p>
    <w:p>
      <w:pPr>
        <w:pStyle w:val="Heading2"/>
        <w:keepNext/>
      </w:pPr>
      <w:r>
        <w:t>6.6 Build and verify the transfer kit</w:t>
      </w:r>
    </w:p>
    <w:p>
      <w:pPr>
        <w:spacing w:after="40"/>
      </w:pPr>
      <w:r>
        <w:rPr>
          <w:b/>
          <w:color w:val="1F6E8C"/>
          <w:sz w:val="18"/>
        </w:rPr>
        <w:t>Transfer-kit script</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cp templates/00_customer_inputs.env.example ./customer.env</w:t>
            </w:r>
            <w:r>
              <w:br/>
            </w:r>
            <w:r>
              <w:rPr>
                <w:rFonts w:ascii="Consolas" w:hAnsi="Consolas" w:eastAsia="Consolas"/>
                <w:color w:val="172B3A"/>
                <w:sz w:val="16"/>
              </w:rPr>
              <w:t>chmod 600 ./customer.env</w:t>
            </w:r>
            <w:r>
              <w:br/>
            </w:r>
            <w:r>
              <w:rPr>
                <w:rFonts w:ascii="Consolas" w:hAnsi="Consolas" w:eastAsia="Consolas"/>
                <w:color w:val="172B3A"/>
                <w:sz w:val="16"/>
              </w:rPr>
              <w:t># Fill only non-secret site values and artifact filenames.</w:t>
            </w:r>
            <w:r>
              <w:br/>
            </w:r>
            <w:r>
              <w:rPr>
                <w:rFonts w:ascii="Consolas" w:hAnsi="Consolas" w:eastAsia="Consolas"/>
                <w:color w:val="172B3A"/>
                <w:sz w:val="16"/>
              </w:rPr>
            </w:r>
            <w:r>
              <w:br/>
            </w:r>
            <w:r>
              <w:rPr>
                <w:rFonts w:ascii="Consolas" w:hAnsi="Consolas" w:eastAsia="Consolas"/>
                <w:color w:val="172B3A"/>
                <w:sz w:val="16"/>
              </w:rPr>
              <w:t>ENV_FILE=./customer.env   ./scripts/01_build_connected_transfer_kit.sh --dry-run</w:t>
            </w:r>
            <w:r>
              <w:br/>
            </w:r>
            <w:r>
              <w:rPr>
                <w:rFonts w:ascii="Consolas" w:hAnsi="Consolas" w:eastAsia="Consolas"/>
                <w:color w:val="172B3A"/>
                <w:sz w:val="16"/>
              </w:rPr>
            </w:r>
            <w:r>
              <w:br/>
            </w:r>
            <w:r>
              <w:rPr>
                <w:rFonts w:ascii="Consolas" w:hAnsi="Consolas" w:eastAsia="Consolas"/>
                <w:color w:val="172B3A"/>
                <w:sz w:val="16"/>
              </w:rPr>
              <w:t># Review every warning and the generated plan, then:</w:t>
            </w:r>
            <w:r>
              <w:br/>
            </w:r>
            <w:r>
              <w:rPr>
                <w:rFonts w:ascii="Consolas" w:hAnsi="Consolas" w:eastAsia="Consolas"/>
                <w:color w:val="172B3A"/>
                <w:sz w:val="16"/>
              </w:rPr>
              <w:t>ENV_FILE=./customer.env   ./scripts/01_build_connected_transfer_kit.sh --apply</w:t>
            </w:r>
            <w:r>
              <w:br/>
            </w:r>
            <w:r>
              <w:rPr>
                <w:rFonts w:ascii="Consolas" w:hAnsi="Consolas" w:eastAsia="Consolas"/>
                <w:color w:val="172B3A"/>
                <w:sz w:val="16"/>
              </w:rPr>
            </w:r>
            <w:r>
              <w:br/>
            </w:r>
            <w:r>
              <w:rPr>
                <w:rFonts w:ascii="Consolas" w:hAnsi="Consolas" w:eastAsia="Consolas"/>
                <w:color w:val="172B3A"/>
                <w:sz w:val="16"/>
              </w:rPr>
              <w:t>sha256sum -c nkp-airgap-transfer-kit-&lt;VERSION&gt;.tar.gz.sha256</w:t>
            </w:r>
          </w:p>
        </w:tc>
      </w:tr>
    </w:tbl>
    <w:p>
      <w:pPr>
        <w:spacing w:after="0"/>
      </w:pPr>
    </w:p>
    <w:tbl>
      <w:tblPr>
        <w:tblW w:type="auto" w:w="0"/>
        <w:tblLayout w:type="autofit"/>
        <w:tblLook w:firstColumn="1" w:firstRow="1" w:lastColumn="0" w:lastRow="0" w:noHBand="0" w:noVBand="1" w:val="04A0"/>
      </w:tblPr>
      <w:tblGrid>
        <w:gridCol w:w="198"/>
        <w:gridCol w:w="9921"/>
      </w:tblGrid>
      <w:tr>
        <w:tc>
          <w:tcPr>
            <w:tcW w:type="dxa" w:w="5018"/>
            <w:shd w:fill="2F855A"/>
          </w:tcPr>
          <w:p>
            <w:r/>
          </w:p>
        </w:tc>
        <w:tc>
          <w:tcPr>
            <w:tcW w:type="dxa" w:w="5018"/>
            <w:shd w:fill="EAF7EF"/>
            <w:tcMar>
              <w:top w:w="100" w:type="dxa"/>
              <w:start w:w="120" w:type="dxa"/>
              <w:bottom w:w="100" w:type="dxa"/>
              <w:end w:w="120" w:type="dxa"/>
            </w:tcMar>
          </w:tcPr>
          <w:p>
            <w:pPr>
              <w:spacing w:after="40"/>
            </w:pPr>
            <w:r/>
            <w:r>
              <w:rPr>
                <w:b/>
                <w:color w:val="2F855A"/>
                <w:sz w:val="20"/>
              </w:rPr>
              <w:t>Gate 1 – Transfer kit ready</w:t>
            </w:r>
          </w:p>
          <w:p>
            <w:pPr>
              <w:spacing w:after="0" w:line="252" w:lineRule="auto"/>
            </w:pPr>
            <w:r>
              <w:rPr>
                <w:color w:val="172B3A"/>
                <w:sz w:val="18"/>
              </w:rPr>
              <w:t>Proceed only when every mandatory artifact is present, hashes pass, documentation is saved offline, the package repository has been tested, capacity is sufficient, and the customer accepts the BOM and transfer method.</w:t>
            </w:r>
          </w:p>
        </w:tc>
      </w:tr>
    </w:tbl>
    <w:p>
      <w:pPr>
        <w:spacing w:after="0"/>
      </w:pPr>
    </w:p>
    <w:p>
      <w:pPr>
        <w:pStyle w:val="Heading2"/>
        <w:keepNext/>
      </w:pPr>
      <w:r>
        <w:t>6.7 Chain of custody</w:t>
      </w:r>
    </w:p>
    <w:p>
      <w:pPr>
        <w:ind w:left="312" w:hanging="142"/>
      </w:pPr>
      <w:r>
        <w:t xml:space="preserve">☐ </w:t>
      </w:r>
      <w:r>
        <w:t>Record media serial number, encryption method, source host, operator, UTC start/end, archive SHA256, malware-scan result, and approver.</w:t>
      </w:r>
    </w:p>
    <w:p>
      <w:pPr>
        <w:ind w:left="312" w:hanging="142"/>
      </w:pPr>
      <w:r>
        <w:t xml:space="preserve">☐ </w:t>
      </w:r>
      <w:r>
        <w:t>Make the source manifest read-only before transfer. Sign it with the organization’s approved mechanism when available.</w:t>
      </w:r>
    </w:p>
    <w:p>
      <w:pPr>
        <w:ind w:left="312" w:hanging="142"/>
      </w:pPr>
      <w:r>
        <w:t xml:space="preserve">☐ </w:t>
      </w:r>
      <w:r>
        <w:t>On the receiving side, copy to a quarantine directory, scan, and verify the archive and every internal file before extraction into `/opt/nkp/artifacts`.</w:t>
      </w:r>
    </w:p>
    <w:p>
      <w:pPr>
        <w:ind w:left="312" w:hanging="142"/>
      </w:pPr>
      <w:r>
        <w:t xml:space="preserve">☐ </w:t>
      </w:r>
      <w:r>
        <w:t>Keep the original sealed media until customer acceptance. Do not reuse it for unrelated files.</w:t>
      </w:r>
    </w:p>
    <w:p>
      <w:pPr>
        <w:pStyle w:val="Heading1"/>
        <w:keepNext/>
      </w:pPr>
      <w:r>
        <w:t>7. Bastion VM design and creation on Nutanix AHV</w:t>
      </w:r>
    </w:p>
    <w:p>
      <w:pPr>
        <w:pStyle w:val="Heading2"/>
        <w:keepNext/>
      </w:pPr>
      <w:r>
        <w:t>7.1 Reference sizing</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2268"/>
            <w:tcMar>
              <w:top w:w="70" w:type="dxa"/>
              <w:start w:w="90" w:type="dxa"/>
              <w:bottom w:w="70" w:type="dxa"/>
              <w:end w:w="90" w:type="dxa"/>
            </w:tcMar>
            <w:vAlign w:val="center"/>
            <w:shd w:fill="17324D"/>
          </w:tcPr>
          <w:p>
            <w:pPr>
              <w:spacing w:after="0" w:before="0"/>
            </w:pPr>
            <w:r/>
            <w:r>
              <w:rPr>
                <w:rFonts w:ascii="Aptos" w:hAnsi="Aptos"/>
                <w:b/>
                <w:color w:val="FFFFFF"/>
                <w:sz w:val="16"/>
              </w:rPr>
              <w:t>Profile</w:t>
            </w:r>
          </w:p>
        </w:tc>
        <w:tc>
          <w:tcPr>
            <w:tcW w:type="dxa" w:w="907"/>
            <w:tcMar>
              <w:top w:w="70" w:type="dxa"/>
              <w:start w:w="90" w:type="dxa"/>
              <w:bottom w:w="70" w:type="dxa"/>
              <w:end w:w="90" w:type="dxa"/>
            </w:tcMar>
            <w:vAlign w:val="center"/>
            <w:shd w:fill="17324D"/>
          </w:tcPr>
          <w:p>
            <w:pPr>
              <w:spacing w:after="0" w:before="0"/>
            </w:pPr>
            <w:r/>
            <w:r>
              <w:rPr>
                <w:rFonts w:ascii="Aptos" w:hAnsi="Aptos"/>
                <w:b/>
                <w:color w:val="FFFFFF"/>
                <w:sz w:val="16"/>
              </w:rPr>
              <w:t>vCPU</w:t>
            </w:r>
          </w:p>
        </w:tc>
        <w:tc>
          <w:tcPr>
            <w:tcW w:type="dxa" w:w="1191"/>
            <w:tcMar>
              <w:top w:w="70" w:type="dxa"/>
              <w:start w:w="90" w:type="dxa"/>
              <w:bottom w:w="70" w:type="dxa"/>
              <w:end w:w="90" w:type="dxa"/>
            </w:tcMar>
            <w:vAlign w:val="center"/>
            <w:shd w:fill="17324D"/>
          </w:tcPr>
          <w:p>
            <w:pPr>
              <w:spacing w:after="0" w:before="0"/>
            </w:pPr>
            <w:r/>
            <w:r>
              <w:rPr>
                <w:rFonts w:ascii="Aptos" w:hAnsi="Aptos"/>
                <w:b/>
                <w:color w:val="FFFFFF"/>
                <w:sz w:val="16"/>
              </w:rPr>
              <w:t>RAM</w:t>
            </w:r>
          </w:p>
        </w:tc>
        <w:tc>
          <w:tcPr>
            <w:tcW w:type="dxa" w:w="2948"/>
            <w:tcMar>
              <w:top w:w="70" w:type="dxa"/>
              <w:start w:w="90" w:type="dxa"/>
              <w:bottom w:w="70" w:type="dxa"/>
              <w:end w:w="90" w:type="dxa"/>
            </w:tcMar>
            <w:vAlign w:val="center"/>
            <w:shd w:fill="17324D"/>
          </w:tcPr>
          <w:p>
            <w:pPr>
              <w:spacing w:after="0" w:before="0"/>
            </w:pPr>
            <w:r/>
            <w:r>
              <w:rPr>
                <w:rFonts w:ascii="Aptos" w:hAnsi="Aptos"/>
                <w:b/>
                <w:color w:val="FFFFFF"/>
                <w:sz w:val="16"/>
              </w:rPr>
              <w:t>Storage</w:t>
            </w:r>
          </w:p>
        </w:tc>
        <w:tc>
          <w:tcPr>
            <w:tcW w:type="dxa" w:w="2608"/>
            <w:tcMar>
              <w:top w:w="70" w:type="dxa"/>
              <w:start w:w="90" w:type="dxa"/>
              <w:bottom w:w="70" w:type="dxa"/>
              <w:end w:w="90" w:type="dxa"/>
            </w:tcMar>
            <w:vAlign w:val="center"/>
            <w:shd w:fill="17324D"/>
          </w:tcPr>
          <w:p>
            <w:pPr>
              <w:spacing w:after="0" w:before="0"/>
            </w:pPr>
            <w:r/>
            <w:r>
              <w:rPr>
                <w:rFonts w:ascii="Aptos" w:hAnsi="Aptos"/>
                <w:b/>
                <w:color w:val="FFFFFF"/>
                <w:sz w:val="16"/>
              </w:rPr>
              <w:t>Use</w:t>
            </w:r>
          </w:p>
        </w:tc>
      </w:tr>
      <w:tr>
        <w:trPr>
          <w:cantSplit/>
        </w:trPr>
        <w:tc>
          <w:tcPr>
            <w:tcW w:type="dxa" w:w="2268"/>
            <w:tcMar>
              <w:top w:w="70" w:type="dxa"/>
              <w:start w:w="90" w:type="dxa"/>
              <w:bottom w:w="70" w:type="dxa"/>
              <w:end w:w="90" w:type="dxa"/>
            </w:tcMar>
            <w:vAlign w:val="center"/>
          </w:tcPr>
          <w:p>
            <w:pPr>
              <w:spacing w:after="0" w:before="0"/>
            </w:pPr>
            <w:r/>
            <w:r>
              <w:rPr>
                <w:rFonts w:ascii="Aptos" w:hAnsi="Aptos"/>
                <w:b w:val="0"/>
                <w:color w:val="172B3A"/>
                <w:sz w:val="15"/>
              </w:rPr>
              <w:t>External enterprise registry</w:t>
            </w:r>
          </w:p>
        </w:tc>
        <w:tc>
          <w:tcPr>
            <w:tcW w:type="dxa" w:w="907"/>
            <w:tcMar>
              <w:top w:w="70" w:type="dxa"/>
              <w:start w:w="90" w:type="dxa"/>
              <w:bottom w:w="70" w:type="dxa"/>
              <w:end w:w="90" w:type="dxa"/>
            </w:tcMar>
            <w:vAlign w:val="center"/>
          </w:tcPr>
          <w:p>
            <w:pPr>
              <w:spacing w:after="0" w:before="0"/>
            </w:pPr>
            <w:r/>
            <w:r>
              <w:rPr>
                <w:rFonts w:ascii="Aptos" w:hAnsi="Aptos"/>
                <w:b w:val="0"/>
                <w:color w:val="172B3A"/>
                <w:sz w:val="15"/>
              </w:rPr>
              <w:t>8</w:t>
            </w:r>
          </w:p>
        </w:tc>
        <w:tc>
          <w:tcPr>
            <w:tcW w:type="dxa" w:w="1191"/>
            <w:tcMar>
              <w:top w:w="70" w:type="dxa"/>
              <w:start w:w="90" w:type="dxa"/>
              <w:bottom w:w="70" w:type="dxa"/>
              <w:end w:w="90" w:type="dxa"/>
            </w:tcMar>
            <w:vAlign w:val="center"/>
          </w:tcPr>
          <w:p>
            <w:pPr>
              <w:spacing w:after="0" w:before="0"/>
            </w:pPr>
            <w:r/>
            <w:r>
              <w:rPr>
                <w:rFonts w:ascii="Aptos" w:hAnsi="Aptos"/>
                <w:b w:val="0"/>
                <w:color w:val="172B3A"/>
                <w:sz w:val="15"/>
              </w:rPr>
              <w:t>32 GB</w:t>
            </w:r>
          </w:p>
        </w:tc>
        <w:tc>
          <w:tcPr>
            <w:tcW w:type="dxa" w:w="2948"/>
            <w:tcMar>
              <w:top w:w="70" w:type="dxa"/>
              <w:start w:w="90" w:type="dxa"/>
              <w:bottom w:w="70" w:type="dxa"/>
              <w:end w:w="90" w:type="dxa"/>
            </w:tcMar>
            <w:vAlign w:val="center"/>
          </w:tcPr>
          <w:p>
            <w:pPr>
              <w:spacing w:after="0" w:before="0"/>
            </w:pPr>
            <w:r/>
            <w:r>
              <w:rPr>
                <w:rFonts w:ascii="Aptos" w:hAnsi="Aptos"/>
                <w:b w:val="0"/>
                <w:color w:val="172B3A"/>
                <w:sz w:val="15"/>
              </w:rPr>
              <w:t>100 GB OS + 300–500 GB NKP workspace</w:t>
            </w:r>
          </w:p>
        </w:tc>
        <w:tc>
          <w:tcPr>
            <w:tcW w:type="dxa" w:w="2608"/>
            <w:tcMar>
              <w:top w:w="70" w:type="dxa"/>
              <w:start w:w="90" w:type="dxa"/>
              <w:bottom w:w="70" w:type="dxa"/>
              <w:end w:w="90" w:type="dxa"/>
            </w:tcMar>
            <w:vAlign w:val="center"/>
          </w:tcPr>
          <w:p>
            <w:pPr>
              <w:spacing w:after="0" w:before="0"/>
            </w:pPr>
            <w:r/>
            <w:r>
              <w:rPr>
                <w:rFonts w:ascii="Aptos" w:hAnsi="Aptos"/>
                <w:b w:val="0"/>
                <w:color w:val="172B3A"/>
                <w:sz w:val="15"/>
              </w:rPr>
              <w:t>CLI, Kind/bootstrap runtime, logs, bundles, evidence. Increase for unusually large bundles.</w:t>
            </w:r>
          </w:p>
        </w:tc>
      </w:tr>
      <w:tr>
        <w:trPr>
          <w:cantSplit/>
        </w:trPr>
        <w:tc>
          <w:tcPr>
            <w:tcW w:type="dxa" w:w="2268"/>
            <w:tcMar>
              <w:top w:w="70" w:type="dxa"/>
              <w:start w:w="90" w:type="dxa"/>
              <w:bottom w:w="70" w:type="dxa"/>
              <w:end w:w="90" w:type="dxa"/>
            </w:tcMar>
            <w:vAlign w:val="center"/>
            <w:shd w:fill="F8FAFC"/>
          </w:tcPr>
          <w:p>
            <w:pPr>
              <w:spacing w:after="0" w:before="0"/>
            </w:pPr>
            <w:r/>
            <w:r>
              <w:rPr>
                <w:rFonts w:ascii="Aptos" w:hAnsi="Aptos"/>
                <w:b w:val="0"/>
                <w:color w:val="172B3A"/>
                <w:sz w:val="15"/>
              </w:rPr>
              <w:t>Harbor on bastion</w:t>
            </w:r>
          </w:p>
        </w:tc>
        <w:tc>
          <w:tcPr>
            <w:tcW w:type="dxa" w:w="907"/>
            <w:tcMar>
              <w:top w:w="70" w:type="dxa"/>
              <w:start w:w="90" w:type="dxa"/>
              <w:bottom w:w="70" w:type="dxa"/>
              <w:end w:w="90" w:type="dxa"/>
            </w:tcMar>
            <w:vAlign w:val="center"/>
            <w:shd w:fill="F8FAFC"/>
          </w:tcPr>
          <w:p>
            <w:pPr>
              <w:spacing w:after="0" w:before="0"/>
            </w:pPr>
            <w:r/>
            <w:r>
              <w:rPr>
                <w:rFonts w:ascii="Aptos" w:hAnsi="Aptos"/>
                <w:b w:val="0"/>
                <w:color w:val="172B3A"/>
                <w:sz w:val="15"/>
              </w:rPr>
              <w:t>12–16</w:t>
            </w:r>
          </w:p>
        </w:tc>
        <w:tc>
          <w:tcPr>
            <w:tcW w:type="dxa" w:w="1191"/>
            <w:tcMar>
              <w:top w:w="70" w:type="dxa"/>
              <w:start w:w="90" w:type="dxa"/>
              <w:bottom w:w="70" w:type="dxa"/>
              <w:end w:w="90" w:type="dxa"/>
            </w:tcMar>
            <w:vAlign w:val="center"/>
            <w:shd w:fill="F8FAFC"/>
          </w:tcPr>
          <w:p>
            <w:pPr>
              <w:spacing w:after="0" w:before="0"/>
            </w:pPr>
            <w:r/>
            <w:r>
              <w:rPr>
                <w:rFonts w:ascii="Aptos" w:hAnsi="Aptos"/>
                <w:b w:val="0"/>
                <w:color w:val="172B3A"/>
                <w:sz w:val="15"/>
              </w:rPr>
              <w:t>48–64 GB</w:t>
            </w:r>
          </w:p>
        </w:tc>
        <w:tc>
          <w:tcPr>
            <w:tcW w:type="dxa" w:w="2948"/>
            <w:tcMar>
              <w:top w:w="70" w:type="dxa"/>
              <w:start w:w="90" w:type="dxa"/>
              <w:bottom w:w="70" w:type="dxa"/>
              <w:end w:w="90" w:type="dxa"/>
            </w:tcMar>
            <w:vAlign w:val="center"/>
            <w:shd w:fill="F8FAFC"/>
          </w:tcPr>
          <w:p>
            <w:pPr>
              <w:spacing w:after="0" w:before="0"/>
            </w:pPr>
            <w:r/>
            <w:r>
              <w:rPr>
                <w:rFonts w:ascii="Aptos" w:hAnsi="Aptos"/>
                <w:b w:val="0"/>
                <w:color w:val="172B3A"/>
                <w:sz w:val="15"/>
              </w:rPr>
              <w:t>100 GB OS + 250 GB runtime/workspace + 500 GB–1.5 TB registry</w:t>
            </w:r>
          </w:p>
        </w:tc>
        <w:tc>
          <w:tcPr>
            <w:tcW w:type="dxa" w:w="2608"/>
            <w:tcMar>
              <w:top w:w="70" w:type="dxa"/>
              <w:start w:w="90" w:type="dxa"/>
              <w:bottom w:w="70" w:type="dxa"/>
              <w:end w:w="90" w:type="dxa"/>
            </w:tcMar>
            <w:vAlign w:val="center"/>
            <w:shd w:fill="F8FAFC"/>
          </w:tcPr>
          <w:p>
            <w:pPr>
              <w:spacing w:after="0" w:before="0"/>
            </w:pPr>
            <w:r/>
            <w:r>
              <w:rPr>
                <w:rFonts w:ascii="Aptos" w:hAnsi="Aptos"/>
                <w:b w:val="0"/>
                <w:color w:val="172B3A"/>
                <w:sz w:val="15"/>
              </w:rPr>
              <w:t>Combined bastion and persistent registry. Use separate virtual disks and protect the registry data volume.</w:t>
            </w:r>
          </w:p>
        </w:tc>
      </w:tr>
      <w:tr>
        <w:trPr>
          <w:cantSplit/>
        </w:trPr>
        <w:tc>
          <w:tcPr>
            <w:tcW w:type="dxa" w:w="2268"/>
            <w:tcMar>
              <w:top w:w="70" w:type="dxa"/>
              <w:start w:w="90" w:type="dxa"/>
              <w:bottom w:w="70" w:type="dxa"/>
              <w:end w:w="90" w:type="dxa"/>
            </w:tcMar>
            <w:vAlign w:val="center"/>
          </w:tcPr>
          <w:p>
            <w:pPr>
              <w:spacing w:after="0" w:before="0"/>
            </w:pPr>
            <w:r/>
            <w:r>
              <w:rPr>
                <w:rFonts w:ascii="Aptos" w:hAnsi="Aptos"/>
                <w:b w:val="0"/>
                <w:color w:val="172B3A"/>
                <w:sz w:val="15"/>
              </w:rPr>
              <w:t>Minimum lab only</w:t>
            </w:r>
          </w:p>
        </w:tc>
        <w:tc>
          <w:tcPr>
            <w:tcW w:type="dxa" w:w="907"/>
            <w:tcMar>
              <w:top w:w="70" w:type="dxa"/>
              <w:start w:w="90" w:type="dxa"/>
              <w:bottom w:w="70" w:type="dxa"/>
              <w:end w:w="90" w:type="dxa"/>
            </w:tcMar>
            <w:vAlign w:val="center"/>
          </w:tcPr>
          <w:p>
            <w:pPr>
              <w:spacing w:after="0" w:before="0"/>
            </w:pPr>
            <w:r/>
            <w:r>
              <w:rPr>
                <w:rFonts w:ascii="Aptos" w:hAnsi="Aptos"/>
                <w:b w:val="0"/>
                <w:color w:val="172B3A"/>
                <w:sz w:val="15"/>
              </w:rPr>
              <w:t>4</w:t>
            </w:r>
          </w:p>
        </w:tc>
        <w:tc>
          <w:tcPr>
            <w:tcW w:type="dxa" w:w="1191"/>
            <w:tcMar>
              <w:top w:w="70" w:type="dxa"/>
              <w:start w:w="90" w:type="dxa"/>
              <w:bottom w:w="70" w:type="dxa"/>
              <w:end w:w="90" w:type="dxa"/>
            </w:tcMar>
            <w:vAlign w:val="center"/>
          </w:tcPr>
          <w:p>
            <w:pPr>
              <w:spacing w:after="0" w:before="0"/>
            </w:pPr>
            <w:r/>
            <w:r>
              <w:rPr>
                <w:rFonts w:ascii="Aptos" w:hAnsi="Aptos"/>
                <w:b w:val="0"/>
                <w:color w:val="172B3A"/>
                <w:sz w:val="15"/>
              </w:rPr>
              <w:t>16 GB</w:t>
            </w:r>
          </w:p>
        </w:tc>
        <w:tc>
          <w:tcPr>
            <w:tcW w:type="dxa" w:w="2948"/>
            <w:tcMar>
              <w:top w:w="70" w:type="dxa"/>
              <w:start w:w="90" w:type="dxa"/>
              <w:bottom w:w="70" w:type="dxa"/>
              <w:end w:w="90" w:type="dxa"/>
            </w:tcMar>
            <w:vAlign w:val="center"/>
          </w:tcPr>
          <w:p>
            <w:pPr>
              <w:spacing w:after="0" w:before="0"/>
            </w:pPr>
            <w:r/>
            <w:r>
              <w:rPr>
                <w:rFonts w:ascii="Aptos" w:hAnsi="Aptos"/>
                <w:b w:val="0"/>
                <w:color w:val="172B3A"/>
                <w:sz w:val="15"/>
              </w:rPr>
              <w:t>250–400 GB total</w:t>
            </w:r>
          </w:p>
        </w:tc>
        <w:tc>
          <w:tcPr>
            <w:tcW w:type="dxa" w:w="2608"/>
            <w:tcMar>
              <w:top w:w="70" w:type="dxa"/>
              <w:start w:w="90" w:type="dxa"/>
              <w:bottom w:w="70" w:type="dxa"/>
              <w:end w:w="90" w:type="dxa"/>
            </w:tcMar>
            <w:vAlign w:val="center"/>
          </w:tcPr>
          <w:p>
            <w:pPr>
              <w:spacing w:after="0" w:before="0"/>
            </w:pPr>
            <w:r/>
            <w:r>
              <w:rPr>
                <w:rFonts w:ascii="Aptos" w:hAnsi="Aptos"/>
                <w:b w:val="0"/>
                <w:color w:val="172B3A"/>
                <w:sz w:val="15"/>
              </w:rPr>
              <w:t>Not recommended for production or combined Harbor due to bootstrap and image-unpack pressure.</w:t>
            </w:r>
          </w:p>
        </w:tc>
      </w:tr>
    </w:tbl>
    <w:p>
      <w:pPr>
        <w:spacing w:after="0"/>
      </w:pPr>
    </w:p>
    <w:p>
      <w:pPr>
        <w:spacing w:after="120" w:line="259" w:lineRule="auto"/>
      </w:pPr>
      <w:r>
        <w:t>These are conservative implementation design values, not a replacement for Nutanix product minimums. Final capacity depends on the air-gap bundle size, number of retained releases, registry replication, bootstrap runtime behavior, and customer evidence retention.</w:t>
      </w:r>
    </w:p>
    <w:p>
      <w:pPr>
        <w:jc w:val="center"/>
      </w:pPr>
      <w:r>
        <w:drawing>
          <wp:inline xmlns:a="http://schemas.openxmlformats.org/drawingml/2006/main" xmlns:pic="http://schemas.openxmlformats.org/drawingml/2006/picture">
            <wp:extent cx="5940000" cy="3135000"/>
            <wp:docPr id="4" name="Picture 4"/>
            <wp:cNvGraphicFramePr>
              <a:graphicFrameLocks noChangeAspect="1"/>
            </wp:cNvGraphicFramePr>
            <a:graphic>
              <a:graphicData uri="http://schemas.openxmlformats.org/drawingml/2006/picture">
                <pic:pic>
                  <pic:nvPicPr>
                    <pic:cNvPr id="0" name="bastion_storage.png"/>
                    <pic:cNvPicPr/>
                  </pic:nvPicPr>
                  <pic:blipFill>
                    <a:blip r:embed="rId13"/>
                    <a:stretch>
                      <a:fillRect/>
                    </a:stretch>
                  </pic:blipFill>
                  <pic:spPr>
                    <a:xfrm>
                      <a:off x="0" y="0"/>
                      <a:ext cx="5940000" cy="3135000"/>
                    </a:xfrm>
                    <a:prstGeom prst="rect"/>
                  </pic:spPr>
                </pic:pic>
              </a:graphicData>
            </a:graphic>
          </wp:inline>
        </w:drawing>
      </w:r>
    </w:p>
    <w:p>
      <w:pPr>
        <w:pStyle w:val="Caption"/>
        <w:jc w:val="center"/>
      </w:pPr>
      <w:r>
        <w:t>Figure 3 – Reference bastion storage layout</w:t>
      </w:r>
    </w:p>
    <w:p>
      <w:pPr>
        <w:pStyle w:val="Heading2"/>
        <w:keepNext/>
      </w:pPr>
      <w:r>
        <w:t>7.2 Create the VM in Prism Central</w:t>
      </w:r>
    </w:p>
    <w:p>
      <w:pPr>
        <w:pStyle w:val="ListNumber"/>
      </w:pPr>
      <w:r>
        <w:t>In Prism Central, open the VM creation workflow and select the AHV cluster and project/category approved for platform management.</w:t>
      </w:r>
    </w:p>
    <w:p>
      <w:pPr>
        <w:pStyle w:val="ListNumber"/>
      </w:pPr>
      <w:r>
        <w:t>Name the VM using the customer standard, for example `nkp-bastion-01`. Add owner, environment, application, and backup categories.</w:t>
      </w:r>
    </w:p>
    <w:p>
      <w:pPr>
        <w:pStyle w:val="ListNumber"/>
      </w:pPr>
      <w:r>
        <w:t>Allocate the selected vCPU and memory profile. Avoid memory overcommit if the bastion will host Harbor and a bootstrap cluster at the same time.</w:t>
      </w:r>
    </w:p>
    <w:p>
      <w:pPr>
        <w:pStyle w:val="ListNumber"/>
      </w:pPr>
      <w:r>
        <w:t>Create a 100–120 GB OS disk. Add separate data disks for `/opt/nkp`, `/var/lib/docker`, and `/srv/registry` according to the chosen profile.</w:t>
      </w:r>
    </w:p>
    <w:p>
      <w:pPr>
        <w:pStyle w:val="ListNumber"/>
      </w:pPr>
      <w:r>
        <w:t>Attach one NIC to the restricted management subnet. Record the MAC, subnet name/UUID, VLAN, and planned static address.</w:t>
      </w:r>
    </w:p>
    <w:p>
      <w:pPr>
        <w:pStyle w:val="ListNumber"/>
      </w:pPr>
      <w:r>
        <w:t>Attach the customer-approved RHEL 9 x86_64 ISO or use a hardened internal image. Configure UEFI/Secure Boot only when supported by the image and customer baseline.</w:t>
      </w:r>
    </w:p>
    <w:p>
      <w:pPr>
        <w:pStyle w:val="ListNumber"/>
      </w:pPr>
      <w:r>
        <w:t>Enable console access for initial networking and recovery. Do not depend on SSH until the static IP, routes, DNS, and firewall are validated.</w:t>
      </w:r>
    </w:p>
    <w:p>
      <w:pPr>
        <w:pStyle w:val="ListNumber"/>
      </w:pPr>
      <w:r>
        <w:t>Power on, install the OS, apply the customer hardening baseline, and create an administrator using SSH public-key authentication. Disable direct root SSH and password login unless customer policy explicitly requires them.</w:t>
      </w:r>
    </w:p>
    <w:p>
      <w:pPr>
        <w:pStyle w:val="Heading2"/>
        <w:keepNext/>
      </w:pPr>
      <w:r>
        <w:t>7.3 Static network configuration</w:t>
      </w:r>
    </w:p>
    <w:tbl>
      <w:tblPr>
        <w:tblW w:type="auto" w:w="0"/>
        <w:tblLayout w:type="autofit"/>
        <w:tblLook w:firstColumn="1" w:firstRow="1" w:lastColumn="0" w:lastRow="0" w:noHBand="0" w:noVBand="1" w:val="04A0"/>
      </w:tblPr>
      <w:tblGrid>
        <w:gridCol w:w="198"/>
        <w:gridCol w:w="9921"/>
      </w:tblGrid>
      <w:tr>
        <w:tc>
          <w:tcPr>
            <w:tcW w:type="dxa" w:w="5018"/>
            <w:shd w:fill="B7791F"/>
          </w:tcPr>
          <w:p>
            <w:r/>
          </w:p>
        </w:tc>
        <w:tc>
          <w:tcPr>
            <w:tcW w:type="dxa" w:w="5018"/>
            <w:shd w:fill="FFF6E6"/>
            <w:tcMar>
              <w:top w:w="100" w:type="dxa"/>
              <w:start w:w="120" w:type="dxa"/>
              <w:bottom w:w="100" w:type="dxa"/>
              <w:end w:w="120" w:type="dxa"/>
            </w:tcMar>
          </w:tcPr>
          <w:p>
            <w:pPr>
              <w:spacing w:after="40"/>
            </w:pPr>
            <w:r/>
            <w:r>
              <w:rPr>
                <w:b/>
                <w:color w:val="B7791F"/>
                <w:sz w:val="20"/>
              </w:rPr>
              <w:t>Console safety</w:t>
            </w:r>
          </w:p>
          <w:p>
            <w:pPr>
              <w:spacing w:after="0" w:line="252" w:lineRule="auto"/>
            </w:pPr>
            <w:r>
              <w:rPr>
                <w:color w:val="172B3A"/>
                <w:sz w:val="18"/>
              </w:rPr>
              <w:t>Changing the active NetworkManager connection can disconnect SSH. Perform this from the Prism console or ensure out-of-band recovery before `nmcli connection up`.</w:t>
            </w:r>
          </w:p>
        </w:tc>
      </w:tr>
    </w:tbl>
    <w:p>
      <w:pPr>
        <w:spacing w:after="0"/>
      </w:pPr>
    </w:p>
    <w:p>
      <w:pPr>
        <w:spacing w:after="40"/>
      </w:pPr>
      <w:r>
        <w:rPr>
          <w:b/>
          <w:color w:val="1F6E8C"/>
          <w:sz w:val="18"/>
        </w:rPr>
        <w:t>RHEL 9 static IP</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sudo -i</w:t>
            </w:r>
            <w:r>
              <w:br/>
            </w:r>
            <w:r>
              <w:rPr>
                <w:rFonts w:ascii="Consolas" w:hAnsi="Consolas" w:eastAsia="Consolas"/>
                <w:color w:val="172B3A"/>
                <w:sz w:val="16"/>
              </w:rPr>
              <w:t>nmcli -t -f NAME,DEVICE,TYPE connection show --active</w:t>
            </w:r>
            <w:r>
              <w:br/>
            </w:r>
            <w:r>
              <w:rPr>
                <w:rFonts w:ascii="Consolas" w:hAnsi="Consolas" w:eastAsia="Consolas"/>
                <w:color w:val="172B3A"/>
                <w:sz w:val="16"/>
              </w:rPr>
              <w:t>CON='&lt;ACTIVE_CONNECTION_NAME&gt;'</w:t>
            </w:r>
            <w:r>
              <w:br/>
            </w:r>
            <w:r>
              <w:rPr>
                <w:rFonts w:ascii="Consolas" w:hAnsi="Consolas" w:eastAsia="Consolas"/>
                <w:color w:val="172B3A"/>
                <w:sz w:val="16"/>
              </w:rPr>
            </w:r>
            <w:r>
              <w:br/>
            </w:r>
            <w:r>
              <w:rPr>
                <w:rFonts w:ascii="Consolas" w:hAnsi="Consolas" w:eastAsia="Consolas"/>
                <w:color w:val="172B3A"/>
                <w:sz w:val="16"/>
              </w:rPr>
              <w:t>nmcli connection modify "$CON"   ipv4.method manual   ipv4.addresses '&lt;BASTION_IP&gt;/&lt;PREFIX&gt;'   ipv4.gateway '&lt;INTERNAL_GATEWAY&gt;'   ipv4.dns '&lt;DNS1&gt; &lt;DNS2&gt;'   ipv4.dns-search '&lt;CUSTOMER_DOMAIN&gt;'   ipv6.method disabled</w:t>
            </w:r>
            <w:r>
              <w:br/>
            </w:r>
            <w:r>
              <w:rPr>
                <w:rFonts w:ascii="Consolas" w:hAnsi="Consolas" w:eastAsia="Consolas"/>
                <w:color w:val="172B3A"/>
                <w:sz w:val="16"/>
              </w:rPr>
            </w:r>
            <w:r>
              <w:br/>
            </w:r>
            <w:r>
              <w:rPr>
                <w:rFonts w:ascii="Consolas" w:hAnsi="Consolas" w:eastAsia="Consolas"/>
                <w:color w:val="172B3A"/>
                <w:sz w:val="16"/>
              </w:rPr>
              <w:t>nmcli connection up "$CON"</w:t>
            </w:r>
            <w:r>
              <w:br/>
            </w:r>
            <w:r>
              <w:rPr>
                <w:rFonts w:ascii="Consolas" w:hAnsi="Consolas" w:eastAsia="Consolas"/>
                <w:color w:val="172B3A"/>
                <w:sz w:val="16"/>
              </w:rPr>
              <w:t>ip -br address</w:t>
            </w:r>
            <w:r>
              <w:br/>
            </w:r>
            <w:r>
              <w:rPr>
                <w:rFonts w:ascii="Consolas" w:hAnsi="Consolas" w:eastAsia="Consolas"/>
                <w:color w:val="172B3A"/>
                <w:sz w:val="16"/>
              </w:rPr>
              <w:t>ip route</w:t>
            </w:r>
            <w:r>
              <w:br/>
            </w:r>
            <w:r>
              <w:rPr>
                <w:rFonts w:ascii="Consolas" w:hAnsi="Consolas" w:eastAsia="Consolas"/>
                <w:color w:val="172B3A"/>
                <w:sz w:val="16"/>
              </w:rPr>
              <w:t>cat /etc/resolv.conf</w:t>
            </w:r>
            <w:r>
              <w:br/>
            </w:r>
            <w:r>
              <w:rPr>
                <w:rFonts w:ascii="Consolas" w:hAnsi="Consolas" w:eastAsia="Consolas"/>
                <w:color w:val="172B3A"/>
                <w:sz w:val="16"/>
              </w:rPr>
              <w:t>ping -c 3 &lt;INTERNAL_GATEWAY&gt;</w:t>
            </w:r>
          </w:p>
        </w:tc>
      </w:tr>
    </w:tbl>
    <w:p>
      <w:pPr>
        <w:spacing w:after="0"/>
      </w:pPr>
    </w:p>
    <w:p>
      <w:pPr>
        <w:pStyle w:val="Heading2"/>
        <w:keepNext/>
      </w:pPr>
      <w:r>
        <w:t>7.4 Prepare data disks and filesystems</w:t>
      </w:r>
    </w:p>
    <w:tbl>
      <w:tblPr>
        <w:tblW w:type="auto" w:w="0"/>
        <w:tblLayout w:type="autofit"/>
        <w:tblLook w:firstColumn="1" w:firstRow="1" w:lastColumn="0" w:lastRow="0" w:noHBand="0" w:noVBand="1" w:val="04A0"/>
      </w:tblPr>
      <w:tblGrid>
        <w:gridCol w:w="198"/>
        <w:gridCol w:w="9921"/>
      </w:tblGrid>
      <w:tr>
        <w:tc>
          <w:tcPr>
            <w:tcW w:type="dxa" w:w="5018"/>
            <w:shd w:fill="B83232"/>
          </w:tcPr>
          <w:p>
            <w:r/>
          </w:p>
        </w:tc>
        <w:tc>
          <w:tcPr>
            <w:tcW w:type="dxa" w:w="5018"/>
            <w:shd w:fill="FDECEC"/>
            <w:tcMar>
              <w:top w:w="100" w:type="dxa"/>
              <w:start w:w="120" w:type="dxa"/>
              <w:bottom w:w="100" w:type="dxa"/>
              <w:end w:w="120" w:type="dxa"/>
            </w:tcMar>
          </w:tcPr>
          <w:p>
            <w:pPr>
              <w:spacing w:after="40"/>
            </w:pPr>
            <w:r/>
            <w:r>
              <w:rPr>
                <w:b/>
                <w:color w:val="B83232"/>
                <w:sz w:val="20"/>
              </w:rPr>
              <w:t>Destructive disk operation</w:t>
            </w:r>
          </w:p>
          <w:p>
            <w:pPr>
              <w:spacing w:after="0" w:line="252" w:lineRule="auto"/>
            </w:pPr>
            <w:r>
              <w:rPr>
                <w:color w:val="172B3A"/>
                <w:sz w:val="18"/>
              </w:rPr>
              <w:t>`pvcreate`, `mkfs`, and LVM commands destroy data on the selected device. Confirm empty Nutanix data disks using `lsblk`, `blkid`, `wipefs -n`, size, and serial before applying. Never copy device names from this example without validation.</w:t>
            </w:r>
          </w:p>
        </w:tc>
      </w:tr>
    </w:tbl>
    <w:p>
      <w:pPr>
        <w:spacing w:after="0"/>
      </w:pPr>
    </w:p>
    <w:p>
      <w:pPr>
        <w:spacing w:after="40"/>
      </w:pPr>
      <w:r>
        <w:rPr>
          <w:b/>
          <w:color w:val="1F6E8C"/>
          <w:sz w:val="18"/>
        </w:rPr>
        <w:t>LVM and XFS example</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Read-only inspection first.</w:t>
            </w:r>
            <w:r>
              <w:br/>
            </w:r>
            <w:r>
              <w:rPr>
                <w:rFonts w:ascii="Consolas" w:hAnsi="Consolas" w:eastAsia="Consolas"/>
                <w:color w:val="172B3A"/>
                <w:sz w:val="16"/>
              </w:rPr>
              <w:t>lsblk -o NAME,SIZE,TYPE,FSTYPE,MOUNTPOINTS,MODEL,SERIAL</w:t>
            </w:r>
            <w:r>
              <w:br/>
            </w:r>
            <w:r>
              <w:rPr>
                <w:rFonts w:ascii="Consolas" w:hAnsi="Consolas" w:eastAsia="Consolas"/>
                <w:color w:val="172B3A"/>
                <w:sz w:val="16"/>
              </w:rPr>
              <w:t>sudo blkid</w:t>
            </w:r>
            <w:r>
              <w:br/>
            </w:r>
            <w:r>
              <w:rPr>
                <w:rFonts w:ascii="Consolas" w:hAnsi="Consolas" w:eastAsia="Consolas"/>
                <w:color w:val="172B3A"/>
                <w:sz w:val="16"/>
              </w:rPr>
              <w:t>sudo wipefs -n /dev/sdb</w:t>
            </w:r>
            <w:r>
              <w:br/>
            </w:r>
            <w:r>
              <w:rPr>
                <w:rFonts w:ascii="Consolas" w:hAnsi="Consolas" w:eastAsia="Consolas"/>
                <w:color w:val="172B3A"/>
                <w:sz w:val="16"/>
              </w:rPr>
              <w:t>sudo wipefs -n /dev/sdc</w:t>
            </w:r>
            <w:r>
              <w:br/>
            </w:r>
            <w:r>
              <w:rPr>
                <w:rFonts w:ascii="Consolas" w:hAnsi="Consolas" w:eastAsia="Consolas"/>
                <w:color w:val="172B3A"/>
                <w:sz w:val="16"/>
              </w:rPr>
            </w:r>
            <w:r>
              <w:br/>
            </w:r>
            <w:r>
              <w:rPr>
                <w:rFonts w:ascii="Consolas" w:hAnsi="Consolas" w:eastAsia="Consolas"/>
                <w:color w:val="172B3A"/>
                <w:sz w:val="16"/>
              </w:rPr>
              <w:t># EXAMPLE APPLY COMMANDS — replace devices and sizes after approval.</w:t>
            </w:r>
            <w:r>
              <w:br/>
            </w:r>
            <w:r>
              <w:rPr>
                <w:rFonts w:ascii="Consolas" w:hAnsi="Consolas" w:eastAsia="Consolas"/>
                <w:color w:val="172B3A"/>
                <w:sz w:val="16"/>
              </w:rPr>
              <w:t>sudo pvcreate /dev/sdb /dev/sdc</w:t>
            </w:r>
            <w:r>
              <w:br/>
            </w:r>
            <w:r>
              <w:rPr>
                <w:rFonts w:ascii="Consolas" w:hAnsi="Consolas" w:eastAsia="Consolas"/>
                <w:color w:val="172B3A"/>
                <w:sz w:val="16"/>
              </w:rPr>
              <w:t>sudo vgcreate vg_nkp /dev/sdb /dev/sdc</w:t>
            </w:r>
            <w:r>
              <w:br/>
            </w:r>
            <w:r>
              <w:rPr>
                <w:rFonts w:ascii="Consolas" w:hAnsi="Consolas" w:eastAsia="Consolas"/>
                <w:color w:val="172B3A"/>
                <w:sz w:val="16"/>
              </w:rPr>
              <w:t>sudo lvcreate -L 300G -n lv_nkp vg_nkp</w:t>
            </w:r>
            <w:r>
              <w:br/>
            </w:r>
            <w:r>
              <w:rPr>
                <w:rFonts w:ascii="Consolas" w:hAnsi="Consolas" w:eastAsia="Consolas"/>
                <w:color w:val="172B3A"/>
                <w:sz w:val="16"/>
              </w:rPr>
              <w:t>sudo lvcreate -L 250G -n lv_docker vg_nkp</w:t>
            </w:r>
            <w:r>
              <w:br/>
            </w:r>
            <w:r>
              <w:rPr>
                <w:rFonts w:ascii="Consolas" w:hAnsi="Consolas" w:eastAsia="Consolas"/>
                <w:color w:val="172B3A"/>
                <w:sz w:val="16"/>
              </w:rPr>
              <w:t>sudo lvcreate -l 100%FREE -n lv_registry vg_nkp</w:t>
            </w:r>
            <w:r>
              <w:br/>
            </w:r>
            <w:r>
              <w:rPr>
                <w:rFonts w:ascii="Consolas" w:hAnsi="Consolas" w:eastAsia="Consolas"/>
                <w:color w:val="172B3A"/>
                <w:sz w:val="16"/>
              </w:rPr>
              <w:t>sudo mkfs.xfs /dev/vg_nkp/lv_nkp</w:t>
            </w:r>
            <w:r>
              <w:br/>
            </w:r>
            <w:r>
              <w:rPr>
                <w:rFonts w:ascii="Consolas" w:hAnsi="Consolas" w:eastAsia="Consolas"/>
                <w:color w:val="172B3A"/>
                <w:sz w:val="16"/>
              </w:rPr>
              <w:t>sudo mkfs.xfs /dev/vg_nkp/lv_docker</w:t>
            </w:r>
            <w:r>
              <w:br/>
            </w:r>
            <w:r>
              <w:rPr>
                <w:rFonts w:ascii="Consolas" w:hAnsi="Consolas" w:eastAsia="Consolas"/>
                <w:color w:val="172B3A"/>
                <w:sz w:val="16"/>
              </w:rPr>
              <w:t>sudo mkfs.xfs /dev/vg_nkp/lv_registry</w:t>
            </w:r>
            <w:r>
              <w:br/>
            </w:r>
            <w:r>
              <w:rPr>
                <w:rFonts w:ascii="Consolas" w:hAnsi="Consolas" w:eastAsia="Consolas"/>
                <w:color w:val="172B3A"/>
                <w:sz w:val="16"/>
              </w:rPr>
              <w:t>sudo mkdir -p /opt/nkp /var/lib/docker /srv/registry</w:t>
            </w:r>
            <w:r>
              <w:br/>
            </w:r>
            <w:r>
              <w:rPr>
                <w:rFonts w:ascii="Consolas" w:hAnsi="Consolas" w:eastAsia="Consolas"/>
                <w:color w:val="172B3A"/>
                <w:sz w:val="16"/>
              </w:rPr>
            </w:r>
            <w:r>
              <w:br/>
            </w:r>
            <w:r>
              <w:rPr>
                <w:rFonts w:ascii="Consolas" w:hAnsi="Consolas" w:eastAsia="Consolas"/>
                <w:color w:val="172B3A"/>
                <w:sz w:val="16"/>
              </w:rPr>
              <w:t>for lv in lv_nkp lv_docker lv_registry; do sudo blkid "/dev/vg_nkp/$lv"; done</w:t>
            </w:r>
            <w:r>
              <w:br/>
            </w:r>
            <w:r>
              <w:rPr>
                <w:rFonts w:ascii="Consolas" w:hAnsi="Consolas" w:eastAsia="Consolas"/>
                <w:color w:val="172B3A"/>
                <w:sz w:val="16"/>
              </w:rPr>
              <w:t># Add UUID-based entries to /etc/fstab, then validate without reboot:</w:t>
            </w:r>
            <w:r>
              <w:br/>
            </w:r>
            <w:r>
              <w:rPr>
                <w:rFonts w:ascii="Consolas" w:hAnsi="Consolas" w:eastAsia="Consolas"/>
                <w:color w:val="172B3A"/>
                <w:sz w:val="16"/>
              </w:rPr>
              <w:t>sudo mount -a</w:t>
            </w:r>
            <w:r>
              <w:br/>
            </w:r>
            <w:r>
              <w:rPr>
                <w:rFonts w:ascii="Consolas" w:hAnsi="Consolas" w:eastAsia="Consolas"/>
                <w:color w:val="172B3A"/>
                <w:sz w:val="16"/>
              </w:rPr>
              <w:t>findmnt /opt/nkp /var/lib/docker /srv/registry</w:t>
            </w:r>
            <w:r>
              <w:br/>
            </w:r>
            <w:r>
              <w:rPr>
                <w:rFonts w:ascii="Consolas" w:hAnsi="Consolas" w:eastAsia="Consolas"/>
                <w:color w:val="172B3A"/>
                <w:sz w:val="16"/>
              </w:rPr>
              <w:t>df -hT /opt/nkp /var/lib/docker /srv/registry</w:t>
            </w:r>
          </w:p>
        </w:tc>
      </w:tr>
    </w:tbl>
    <w:p>
      <w:pPr>
        <w:spacing w:after="0"/>
      </w:pPr>
    </w:p>
    <w:p>
      <w:pPr>
        <w:pStyle w:val="Heading2"/>
        <w:keepNext/>
      </w:pPr>
      <w:r>
        <w:t>7.5 Mount local installation media and configure repositories</w:t>
      </w:r>
    </w:p>
    <w:p>
      <w:pPr>
        <w:spacing w:after="40"/>
      </w:pPr>
      <w:r>
        <w:rPr>
          <w:b/>
          <w:color w:val="1F6E8C"/>
          <w:sz w:val="18"/>
        </w:rPr>
        <w:t>Offline repository validation</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sudo mkdir -p /mnt/rhel9</w:t>
            </w:r>
            <w:r>
              <w:br/>
            </w:r>
            <w:r>
              <w:rPr>
                <w:rFonts w:ascii="Consolas" w:hAnsi="Consolas" w:eastAsia="Consolas"/>
                <w:color w:val="172B3A"/>
                <w:sz w:val="16"/>
              </w:rPr>
              <w:t>sudo mount -o loop,ro /opt/nkp/artifacts/rhel-9.x-x86_64-dvd.iso /mnt/rhel9</w:t>
            </w:r>
            <w:r>
              <w:br/>
            </w:r>
            <w:r>
              <w:rPr>
                <w:rFonts w:ascii="Consolas" w:hAnsi="Consolas" w:eastAsia="Consolas"/>
                <w:color w:val="172B3A"/>
                <w:sz w:val="16"/>
              </w:rPr>
              <w:t>sudo install -m 0644 templates/nkp-offline.repo.example   /etc/yum.repos.d/nkp-offline.repo</w:t>
            </w:r>
            <w:r>
              <w:br/>
            </w:r>
            <w:r>
              <w:rPr>
                <w:rFonts w:ascii="Consolas" w:hAnsi="Consolas" w:eastAsia="Consolas"/>
                <w:color w:val="172B3A"/>
                <w:sz w:val="16"/>
              </w:rPr>
              <w:t>sudo dnf clean all</w:t>
            </w:r>
            <w:r>
              <w:br/>
            </w:r>
            <w:r>
              <w:rPr>
                <w:rFonts w:ascii="Consolas" w:hAnsi="Consolas" w:eastAsia="Consolas"/>
                <w:color w:val="172B3A"/>
                <w:sz w:val="16"/>
              </w:rPr>
              <w:t>sudo dnf repolist --enabled</w:t>
            </w:r>
            <w:r>
              <w:br/>
            </w:r>
            <w:r>
              <w:rPr>
                <w:rFonts w:ascii="Consolas" w:hAnsi="Consolas" w:eastAsia="Consolas"/>
                <w:color w:val="172B3A"/>
                <w:sz w:val="16"/>
              </w:rPr>
              <w:t>sudo dnf --disablerepo='*'   --enablerepo=nkp-rhel9-baseos,nkp-rhel9-appstream,nkp-offline   makecache</w:t>
            </w:r>
            <w:r>
              <w:br/>
            </w:r>
            <w:r>
              <w:rPr>
                <w:rFonts w:ascii="Consolas" w:hAnsi="Consolas" w:eastAsia="Consolas"/>
                <w:color w:val="172B3A"/>
                <w:sz w:val="16"/>
              </w:rPr>
            </w:r>
            <w:r>
              <w:br/>
            </w:r>
            <w:r>
              <w:rPr>
                <w:rFonts w:ascii="Consolas" w:hAnsi="Consolas" w:eastAsia="Consolas"/>
                <w:color w:val="172B3A"/>
                <w:sz w:val="16"/>
              </w:rPr>
              <w:t># Prove no public repository is needed.</w:t>
            </w:r>
            <w:r>
              <w:br/>
            </w:r>
            <w:r>
              <w:rPr>
                <w:rFonts w:ascii="Consolas" w:hAnsi="Consolas" w:eastAsia="Consolas"/>
                <w:color w:val="172B3A"/>
                <w:sz w:val="16"/>
              </w:rPr>
              <w:t>sudo dnf --disablerepo='*' --enablerepo=nkp-offline   repoquery bash-completion chrony conntrack-tools jq nmap-ncat</w:t>
            </w:r>
          </w:p>
        </w:tc>
      </w:tr>
    </w:tbl>
    <w:p>
      <w:pPr>
        <w:spacing w:after="0"/>
      </w:pPr>
    </w:p>
    <w:p>
      <w:pPr>
        <w:pStyle w:val="Heading2"/>
        <w:keepNext/>
      </w:pPr>
      <w:r>
        <w:t>7.6 Apply bastion preparation safely</w:t>
      </w:r>
    </w:p>
    <w:p>
      <w:pPr>
        <w:spacing w:after="40"/>
      </w:pPr>
      <w:r>
        <w:rPr>
          <w:b/>
          <w:color w:val="1F6E8C"/>
          <w:sz w:val="18"/>
        </w:rPr>
        <w:t>Bastion preparation</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sudo install -d -m 0750 /opt/nkp/{config,scripts,artifacts,pki,evidence,logs}</w:t>
            </w:r>
            <w:r>
              <w:br/>
            </w:r>
            <w:r>
              <w:rPr>
                <w:rFonts w:ascii="Consolas" w:hAnsi="Consolas" w:eastAsia="Consolas"/>
                <w:color w:val="172B3A"/>
                <w:sz w:val="16"/>
              </w:rPr>
              <w:t>sudo cp templates/00_customer_inputs.env.example /opt/nkp/config/customer.env</w:t>
            </w:r>
            <w:r>
              <w:br/>
            </w:r>
            <w:r>
              <w:rPr>
                <w:rFonts w:ascii="Consolas" w:hAnsi="Consolas" w:eastAsia="Consolas"/>
                <w:color w:val="172B3A"/>
                <w:sz w:val="16"/>
              </w:rPr>
              <w:t>sudo chmod 600 /opt/nkp/config/customer.env</w:t>
            </w:r>
            <w:r>
              <w:br/>
            </w:r>
            <w:r>
              <w:rPr>
                <w:rFonts w:ascii="Consolas" w:hAnsi="Consolas" w:eastAsia="Consolas"/>
                <w:color w:val="172B3A"/>
                <w:sz w:val="16"/>
              </w:rPr>
              <w:t>sudo cp scripts/*.sh /opt/nkp/scripts/</w:t>
            </w:r>
            <w:r>
              <w:br/>
            </w:r>
            <w:r>
              <w:rPr>
                <w:rFonts w:ascii="Consolas" w:hAnsi="Consolas" w:eastAsia="Consolas"/>
                <w:color w:val="172B3A"/>
                <w:sz w:val="16"/>
              </w:rPr>
              <w:t>sudo chmod 0750 /opt/nkp/scripts/*.sh</w:t>
            </w:r>
            <w:r>
              <w:br/>
            </w:r>
            <w:r>
              <w:rPr>
                <w:rFonts w:ascii="Consolas" w:hAnsi="Consolas" w:eastAsia="Consolas"/>
                <w:color w:val="172B3A"/>
                <w:sz w:val="16"/>
              </w:rPr>
            </w:r>
            <w:r>
              <w:br/>
            </w:r>
            <w:r>
              <w:rPr>
                <w:rFonts w:ascii="Consolas" w:hAnsi="Consolas" w:eastAsia="Consolas"/>
                <w:color w:val="172B3A"/>
                <w:sz w:val="16"/>
              </w:rPr>
              <w:t># Replace every &lt;...&gt; placeholder in customer.env first.</w:t>
            </w:r>
            <w:r>
              <w:br/>
            </w:r>
            <w:r>
              <w:rPr>
                <w:rFonts w:ascii="Consolas" w:hAnsi="Consolas" w:eastAsia="Consolas"/>
                <w:color w:val="172B3A"/>
                <w:sz w:val="16"/>
              </w:rPr>
              <w:t>sudo ENV_FILE=/opt/nkp/config/customer.env   /opt/nkp/scripts/03_prepare_bastion_rhel9.sh --dry-run</w:t>
            </w:r>
            <w:r>
              <w:br/>
            </w:r>
            <w:r>
              <w:rPr>
                <w:rFonts w:ascii="Consolas" w:hAnsi="Consolas" w:eastAsia="Consolas"/>
                <w:color w:val="172B3A"/>
                <w:sz w:val="16"/>
              </w:rPr>
            </w:r>
            <w:r>
              <w:br/>
            </w:r>
            <w:r>
              <w:rPr>
                <w:rFonts w:ascii="Consolas" w:hAnsi="Consolas" w:eastAsia="Consolas"/>
                <w:color w:val="172B3A"/>
                <w:sz w:val="16"/>
              </w:rPr>
              <w:t># Apply only after reviewing repository, packages, CA files, NTP, firewall, and paths.</w:t>
            </w:r>
            <w:r>
              <w:br/>
            </w:r>
            <w:r>
              <w:rPr>
                <w:rFonts w:ascii="Consolas" w:hAnsi="Consolas" w:eastAsia="Consolas"/>
                <w:color w:val="172B3A"/>
                <w:sz w:val="16"/>
              </w:rPr>
              <w:t>sudo ENV_FILE=/opt/nkp/config/customer.env   /opt/nkp/scripts/03_prepare_bastion_rhel9.sh --apply</w:t>
            </w:r>
            <w:r>
              <w:br/>
            </w:r>
            <w:r>
              <w:rPr>
                <w:rFonts w:ascii="Consolas" w:hAnsi="Consolas" w:eastAsia="Consolas"/>
                <w:color w:val="172B3A"/>
                <w:sz w:val="16"/>
              </w:rPr>
            </w:r>
            <w:r>
              <w:br/>
            </w:r>
            <w:r>
              <w:rPr>
                <w:rFonts w:ascii="Consolas" w:hAnsi="Consolas" w:eastAsia="Consolas"/>
                <w:color w:val="172B3A"/>
                <w:sz w:val="16"/>
              </w:rPr>
              <w:t>sudo reboot</w:t>
            </w:r>
          </w:p>
        </w:tc>
      </w:tr>
    </w:tbl>
    <w:p>
      <w:pPr>
        <w:spacing w:after="0"/>
      </w:pPr>
    </w:p>
    <w:p>
      <w:pPr>
        <w:pStyle w:val="Heading2"/>
        <w:keepNext/>
      </w:pPr>
      <w:r>
        <w:t>7.7 Install the bootstrap container runtime</w:t>
      </w:r>
    </w:p>
    <w:p>
      <w:pPr>
        <w:spacing w:after="120" w:line="259" w:lineRule="auto"/>
      </w:pPr>
      <w:r>
        <w:t>NKP cluster creation commonly uses a local bootstrap container cluster, and Harbor requires a supported container runtime. Use the runtime and version explicitly supported by the exact NKP 2.18 and Harbor releases. The reference scripts test Docker Engine and Compose because they provide a predictable Kind/bootstrap and Harbor path. Install all packages from transferred RPMs or a customer internal repository; never add a public repository to the air-gapped bastion.</w:t>
      </w:r>
    </w:p>
    <w:p>
      <w:pPr>
        <w:spacing w:after="40"/>
      </w:pPr>
      <w:r>
        <w:rPr>
          <w:b/>
          <w:color w:val="1F6E8C"/>
          <w:sz w:val="18"/>
        </w:rPr>
        <w:t>Offline Docker reference path</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Example only: install the pre-resolved, reviewed local RPM set.</w:t>
            </w:r>
            <w:r>
              <w:br/>
            </w:r>
            <w:r>
              <w:rPr>
                <w:rFonts w:ascii="Consolas" w:hAnsi="Consolas" w:eastAsia="Consolas"/>
                <w:color w:val="172B3A"/>
                <w:sz w:val="16"/>
              </w:rPr>
              <w:t>sudo dnf --disablerepo='*' install -y   /opt/nkp/artifacts/docker-rpms/containerd.io-*.rpm   /opt/nkp/artifacts/docker-rpms/docker-ce-*.rpm   /opt/nkp/artifacts/docker-rpms/docker-ce-cli-*.rpm   /opt/nkp/artifacts/docker-rpms/docker-buildx-plugin-*.rpm   /opt/nkp/artifacts/docker-rpms/docker-compose-plugin-*.rpm</w:t>
            </w:r>
            <w:r>
              <w:br/>
            </w:r>
            <w:r>
              <w:rPr>
                <w:rFonts w:ascii="Consolas" w:hAnsi="Consolas" w:eastAsia="Consolas"/>
                <w:color w:val="172B3A"/>
                <w:sz w:val="16"/>
              </w:rPr>
            </w:r>
            <w:r>
              <w:br/>
            </w:r>
            <w:r>
              <w:rPr>
                <w:rFonts w:ascii="Consolas" w:hAnsi="Consolas" w:eastAsia="Consolas"/>
                <w:color w:val="172B3A"/>
                <w:sz w:val="16"/>
              </w:rPr>
              <w:t>sudo install -d -m 0755 /etc/docker</w:t>
            </w:r>
            <w:r>
              <w:br/>
            </w:r>
            <w:r>
              <w:rPr>
                <w:rFonts w:ascii="Consolas" w:hAnsi="Consolas" w:eastAsia="Consolas"/>
                <w:color w:val="172B3A"/>
                <w:sz w:val="16"/>
              </w:rPr>
              <w:t>sudo cp templates/docker-daemon.json.example /etc/docker/daemon.json</w:t>
            </w:r>
            <w:r>
              <w:br/>
            </w:r>
            <w:r>
              <w:rPr>
                <w:rFonts w:ascii="Consolas" w:hAnsi="Consolas" w:eastAsia="Consolas"/>
                <w:color w:val="172B3A"/>
                <w:sz w:val="16"/>
              </w:rPr>
              <w:t># Replace the bootstrap CIDR and confirm it does not overlap any customer network.</w:t>
            </w:r>
            <w:r>
              <w:br/>
            </w:r>
            <w:r>
              <w:rPr>
                <w:rFonts w:ascii="Consolas" w:hAnsi="Consolas" w:eastAsia="Consolas"/>
                <w:color w:val="172B3A"/>
                <w:sz w:val="16"/>
              </w:rPr>
              <w:t>sudo docker --validate --config-file /etc/docker/daemon.json</w:t>
            </w:r>
            <w:r>
              <w:br/>
            </w:r>
            <w:r>
              <w:rPr>
                <w:rFonts w:ascii="Consolas" w:hAnsi="Consolas" w:eastAsia="Consolas"/>
                <w:color w:val="172B3A"/>
                <w:sz w:val="16"/>
              </w:rPr>
              <w:t>sudo systemctl enable --now docker</w:t>
            </w:r>
            <w:r>
              <w:br/>
            </w:r>
            <w:r>
              <w:rPr>
                <w:rFonts w:ascii="Consolas" w:hAnsi="Consolas" w:eastAsia="Consolas"/>
                <w:color w:val="172B3A"/>
                <w:sz w:val="16"/>
              </w:rPr>
              <w:t>docker version</w:t>
            </w:r>
            <w:r>
              <w:br/>
            </w:r>
            <w:r>
              <w:rPr>
                <w:rFonts w:ascii="Consolas" w:hAnsi="Consolas" w:eastAsia="Consolas"/>
                <w:color w:val="172B3A"/>
                <w:sz w:val="16"/>
              </w:rPr>
              <w:t>docker info</w:t>
            </w:r>
            <w:r>
              <w:br/>
            </w:r>
            <w:r>
              <w:rPr>
                <w:rFonts w:ascii="Consolas" w:hAnsi="Consolas" w:eastAsia="Consolas"/>
                <w:color w:val="172B3A"/>
                <w:sz w:val="16"/>
              </w:rPr>
              <w:t>docker compose version</w:t>
            </w:r>
          </w:p>
        </w:tc>
      </w:tr>
    </w:tbl>
    <w:p>
      <w:pPr>
        <w:spacing w:after="0"/>
      </w:pPr>
    </w:p>
    <w:p>
      <w:pPr>
        <w:pStyle w:val="Heading2"/>
        <w:keepNext/>
      </w:pPr>
      <w:r>
        <w:t>7.8 Install NKP and companion CLIs</w:t>
      </w:r>
    </w:p>
    <w:p>
      <w:pPr>
        <w:spacing w:after="40"/>
      </w:pPr>
      <w:r>
        <w:rPr>
          <w:b/>
          <w:color w:val="1F6E8C"/>
          <w:sz w:val="18"/>
        </w:rPr>
        <w:t>Offline CLI installation</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sudo ENV_FILE=/opt/nkp/config/customer.env   /opt/nkp/scripts/04_install_offline_cli_tools.sh --dry-run</w:t>
            </w:r>
            <w:r>
              <w:br/>
            </w:r>
            <w:r>
              <w:rPr>
                <w:rFonts w:ascii="Consolas" w:hAnsi="Consolas" w:eastAsia="Consolas"/>
                <w:color w:val="172B3A"/>
                <w:sz w:val="16"/>
              </w:rPr>
            </w:r>
            <w:r>
              <w:br/>
            </w:r>
            <w:r>
              <w:rPr>
                <w:rFonts w:ascii="Consolas" w:hAnsi="Consolas" w:eastAsia="Consolas"/>
                <w:color w:val="172B3A"/>
                <w:sz w:val="16"/>
              </w:rPr>
              <w:t>sudo ENV_FILE=/opt/nkp/config/customer.env   /opt/nkp/scripts/04_install_offline_cli_tools.sh --apply</w:t>
            </w:r>
            <w:r>
              <w:br/>
            </w:r>
            <w:r>
              <w:rPr>
                <w:rFonts w:ascii="Consolas" w:hAnsi="Consolas" w:eastAsia="Consolas"/>
                <w:color w:val="172B3A"/>
                <w:sz w:val="16"/>
              </w:rPr>
            </w:r>
            <w:r>
              <w:br/>
            </w:r>
            <w:r>
              <w:rPr>
                <w:rFonts w:ascii="Consolas" w:hAnsi="Consolas" w:eastAsia="Consolas"/>
                <w:color w:val="172B3A"/>
                <w:sz w:val="16"/>
              </w:rPr>
              <w:t>nkp version || nkp --version</w:t>
            </w:r>
            <w:r>
              <w:br/>
            </w:r>
            <w:r>
              <w:rPr>
                <w:rFonts w:ascii="Consolas" w:hAnsi="Consolas" w:eastAsia="Consolas"/>
                <w:color w:val="172B3A"/>
                <w:sz w:val="16"/>
              </w:rPr>
              <w:t>kubectl version --client -o yaml</w:t>
            </w:r>
            <w:r>
              <w:br/>
            </w:r>
            <w:r>
              <w:rPr>
                <w:rFonts w:ascii="Consolas" w:hAnsi="Consolas" w:eastAsia="Consolas"/>
                <w:color w:val="172B3A"/>
                <w:sz w:val="16"/>
              </w:rPr>
              <w:t>helm version --short</w:t>
            </w:r>
            <w:r>
              <w:br/>
            </w:r>
            <w:r>
              <w:rPr>
                <w:rFonts w:ascii="Consolas" w:hAnsi="Consolas" w:eastAsia="Consolas"/>
                <w:color w:val="172B3A"/>
                <w:sz w:val="16"/>
              </w:rPr>
              <w:t>docker version</w:t>
            </w:r>
          </w:p>
        </w:tc>
      </w:tr>
    </w:tbl>
    <w:p>
      <w:pPr>
        <w:spacing w:after="0"/>
      </w:pPr>
    </w:p>
    <w:p>
      <w:pPr>
        <w:pStyle w:val="Heading2"/>
        <w:keepNext/>
      </w:pPr>
      <w:r>
        <w:t>7.9 Verify that the host is truly air-gapped</w:t>
      </w:r>
    </w:p>
    <w:p>
      <w:pPr>
        <w:spacing w:after="40"/>
      </w:pPr>
      <w:r>
        <w:rPr>
          <w:b/>
          <w:color w:val="1F6E8C"/>
          <w:sz w:val="18"/>
        </w:rPr>
        <w:t>Read-only bastion preflight</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ENV_FILE=/opt/nkp/config/customer.env   /opt/nkp/scripts/02_bastion_preflight.sh</w:t>
            </w:r>
            <w:r>
              <w:br/>
            </w:r>
            <w:r>
              <w:rPr>
                <w:rFonts w:ascii="Consolas" w:hAnsi="Consolas" w:eastAsia="Consolas"/>
                <w:color w:val="172B3A"/>
                <w:sz w:val="16"/>
              </w:rPr>
            </w:r>
            <w:r>
              <w:br/>
            </w:r>
            <w:r>
              <w:rPr>
                <w:rFonts w:ascii="Consolas" w:hAnsi="Consolas" w:eastAsia="Consolas"/>
                <w:color w:val="172B3A"/>
                <w:sz w:val="16"/>
              </w:rPr>
              <w:t># Additional manual evidence:</w:t>
            </w:r>
            <w:r>
              <w:br/>
            </w:r>
            <w:r>
              <w:rPr>
                <w:rFonts w:ascii="Consolas" w:hAnsi="Consolas" w:eastAsia="Consolas"/>
                <w:color w:val="172B3A"/>
                <w:sz w:val="16"/>
              </w:rPr>
              <w:t>env | grep -iE '^(http|https|no)_proxy=' || true</w:t>
            </w:r>
            <w:r>
              <w:br/>
            </w:r>
            <w:r>
              <w:rPr>
                <w:rFonts w:ascii="Consolas" w:hAnsi="Consolas" w:eastAsia="Consolas"/>
                <w:color w:val="172B3A"/>
                <w:sz w:val="16"/>
              </w:rPr>
              <w:t>ip route show</w:t>
            </w:r>
            <w:r>
              <w:br/>
            </w:r>
            <w:r>
              <w:rPr>
                <w:rFonts w:ascii="Consolas" w:hAnsi="Consolas" w:eastAsia="Consolas"/>
                <w:color w:val="172B3A"/>
                <w:sz w:val="16"/>
              </w:rPr>
              <w:t>curl --head --connect-timeout 3 --max-time 5 https://example.com   &amp;&amp; echo 'FAIL: unexpected Internet access'   || echo 'PASS: public egress blocked'</w:t>
            </w:r>
          </w:p>
        </w:tc>
      </w:tr>
    </w:tbl>
    <w:p>
      <w:pPr>
        <w:spacing w:after="0"/>
      </w:pPr>
    </w:p>
    <w:tbl>
      <w:tblPr>
        <w:tblW w:type="auto" w:w="0"/>
        <w:tblLayout w:type="autofit"/>
        <w:tblLook w:firstColumn="1" w:firstRow="1" w:lastColumn="0" w:lastRow="0" w:noHBand="0" w:noVBand="1" w:val="04A0"/>
      </w:tblPr>
      <w:tblGrid>
        <w:gridCol w:w="198"/>
        <w:gridCol w:w="9921"/>
      </w:tblGrid>
      <w:tr>
        <w:tc>
          <w:tcPr>
            <w:tcW w:type="dxa" w:w="5018"/>
            <w:shd w:fill="2F855A"/>
          </w:tcPr>
          <w:p>
            <w:r/>
          </w:p>
        </w:tc>
        <w:tc>
          <w:tcPr>
            <w:tcW w:type="dxa" w:w="5018"/>
            <w:shd w:fill="EAF7EF"/>
            <w:tcMar>
              <w:top w:w="100" w:type="dxa"/>
              <w:start w:w="120" w:type="dxa"/>
              <w:bottom w:w="100" w:type="dxa"/>
              <w:end w:w="120" w:type="dxa"/>
            </w:tcMar>
          </w:tcPr>
          <w:p>
            <w:pPr>
              <w:spacing w:after="40"/>
            </w:pPr>
            <w:r/>
            <w:r>
              <w:rPr>
                <w:b/>
                <w:color w:val="2F855A"/>
                <w:sz w:val="20"/>
              </w:rPr>
              <w:t>Gate 2 – Bastion ready</w:t>
            </w:r>
          </w:p>
          <w:p>
            <w:pPr>
              <w:spacing w:after="0" w:line="252" w:lineRule="auto"/>
            </w:pPr>
            <w:r>
              <w:rPr>
                <w:color w:val="172B3A"/>
                <w:sz w:val="18"/>
              </w:rPr>
              <w:t>Go only when CPU/memory/disk capacity passes, DNS and NTP are healthy, proxy variables are understood, public egress is blocked, SELinux remains enforcing, the firewall is enabled, required local files exist, checksums pass, and the exact NKP CLI runs.</w:t>
            </w:r>
          </w:p>
        </w:tc>
      </w:tr>
    </w:tbl>
    <w:p>
      <w:pPr>
        <w:spacing w:after="0"/>
      </w:pPr>
    </w:p>
    <w:p>
      <w:pPr>
        <w:pStyle w:val="Heading1"/>
        <w:keepNext/>
      </w:pPr>
      <w:r>
        <w:t>8. Private OCI registry preparation</w:t>
      </w:r>
    </w:p>
    <w:p>
      <w:pPr>
        <w:pStyle w:val="Heading2"/>
        <w:keepNext/>
      </w:pPr>
      <w:r>
        <w:t>8.1 Preferred design decision</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1928"/>
            <w:tcMar>
              <w:top w:w="70" w:type="dxa"/>
              <w:start w:w="90" w:type="dxa"/>
              <w:bottom w:w="70" w:type="dxa"/>
              <w:end w:w="90" w:type="dxa"/>
            </w:tcMar>
            <w:vAlign w:val="center"/>
            <w:shd w:fill="17324D"/>
          </w:tcPr>
          <w:p>
            <w:pPr>
              <w:spacing w:after="0" w:before="0"/>
            </w:pPr>
            <w:r/>
            <w:r>
              <w:rPr>
                <w:rFonts w:ascii="Aptos" w:hAnsi="Aptos"/>
                <w:b/>
                <w:color w:val="FFFFFF"/>
                <w:sz w:val="15"/>
              </w:rPr>
              <w:t>Option</w:t>
            </w:r>
          </w:p>
        </w:tc>
        <w:tc>
          <w:tcPr>
            <w:tcW w:type="dxa" w:w="2551"/>
            <w:tcMar>
              <w:top w:w="70" w:type="dxa"/>
              <w:start w:w="90" w:type="dxa"/>
              <w:bottom w:w="70" w:type="dxa"/>
              <w:end w:w="90" w:type="dxa"/>
            </w:tcMar>
            <w:vAlign w:val="center"/>
            <w:shd w:fill="17324D"/>
          </w:tcPr>
          <w:p>
            <w:pPr>
              <w:spacing w:after="0" w:before="0"/>
            </w:pPr>
            <w:r/>
            <w:r>
              <w:rPr>
                <w:rFonts w:ascii="Aptos" w:hAnsi="Aptos"/>
                <w:b/>
                <w:color w:val="FFFFFF"/>
                <w:sz w:val="15"/>
              </w:rPr>
              <w:t>When to use</w:t>
            </w:r>
          </w:p>
        </w:tc>
        <w:tc>
          <w:tcPr>
            <w:tcW w:type="dxa" w:w="2551"/>
            <w:tcMar>
              <w:top w:w="70" w:type="dxa"/>
              <w:start w:w="90" w:type="dxa"/>
              <w:bottom w:w="70" w:type="dxa"/>
              <w:end w:w="90" w:type="dxa"/>
            </w:tcMar>
            <w:vAlign w:val="center"/>
            <w:shd w:fill="17324D"/>
          </w:tcPr>
          <w:p>
            <w:pPr>
              <w:spacing w:after="0" w:before="0"/>
            </w:pPr>
            <w:r/>
            <w:r>
              <w:rPr>
                <w:rFonts w:ascii="Aptos" w:hAnsi="Aptos"/>
                <w:b/>
                <w:color w:val="FFFFFF"/>
                <w:sz w:val="15"/>
              </w:rPr>
              <w:t>Advantages</w:t>
            </w:r>
          </w:p>
        </w:tc>
        <w:tc>
          <w:tcPr>
            <w:tcW w:type="dxa" w:w="2835"/>
            <w:tcMar>
              <w:top w:w="70" w:type="dxa"/>
              <w:start w:w="90" w:type="dxa"/>
              <w:bottom w:w="70" w:type="dxa"/>
              <w:end w:w="90" w:type="dxa"/>
            </w:tcMar>
            <w:vAlign w:val="center"/>
            <w:shd w:fill="17324D"/>
          </w:tcPr>
          <w:p>
            <w:pPr>
              <w:spacing w:after="0" w:before="0"/>
            </w:pPr>
            <w:r/>
            <w:r>
              <w:rPr>
                <w:rFonts w:ascii="Aptos" w:hAnsi="Aptos"/>
                <w:b/>
                <w:color w:val="FFFFFF"/>
                <w:sz w:val="15"/>
              </w:rPr>
              <w:t>Risks / controls</w:t>
            </w:r>
          </w:p>
        </w:tc>
      </w:tr>
      <w:tr>
        <w:trPr>
          <w:cantSplit/>
        </w:trPr>
        <w:tc>
          <w:tcPr>
            <w:tcW w:type="dxa" w:w="1928"/>
            <w:tcMar>
              <w:top w:w="70" w:type="dxa"/>
              <w:start w:w="90" w:type="dxa"/>
              <w:bottom w:w="70" w:type="dxa"/>
              <w:end w:w="90" w:type="dxa"/>
            </w:tcMar>
            <w:vAlign w:val="center"/>
          </w:tcPr>
          <w:p>
            <w:pPr>
              <w:spacing w:after="0" w:before="0"/>
            </w:pPr>
            <w:r/>
            <w:r>
              <w:rPr>
                <w:rFonts w:ascii="Aptos" w:hAnsi="Aptos"/>
                <w:b w:val="0"/>
                <w:color w:val="172B3A"/>
                <w:sz w:val="15"/>
              </w:rPr>
              <w:t>Existing enterprise registry</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5"/>
              </w:rPr>
              <w:t>Production customer already operates Harbor, Quay, Artifactory, Nexus, or another NKP-supported OCI registry.</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5"/>
              </w:rPr>
              <w:t>Existing HA, backup, monitoring, RBAC, certificates, storage, and operations.</w:t>
            </w:r>
          </w:p>
        </w:tc>
        <w:tc>
          <w:tcPr>
            <w:tcW w:type="dxa" w:w="2835"/>
            <w:tcMar>
              <w:top w:w="70" w:type="dxa"/>
              <w:start w:w="90" w:type="dxa"/>
              <w:bottom w:w="70" w:type="dxa"/>
              <w:end w:w="90" w:type="dxa"/>
            </w:tcMar>
            <w:vAlign w:val="center"/>
          </w:tcPr>
          <w:p>
            <w:pPr>
              <w:spacing w:after="0" w:before="0"/>
            </w:pPr>
            <w:r/>
            <w:r>
              <w:rPr>
                <w:rFonts w:ascii="Aptos" w:hAnsi="Aptos"/>
                <w:b w:val="0"/>
                <w:color w:val="172B3A"/>
                <w:sz w:val="15"/>
              </w:rPr>
              <w:t>Confirm NKP bundle compatibility, project quota, robot account rights, delete/GC policy, and node reachability.</w:t>
            </w:r>
          </w:p>
        </w:tc>
      </w:tr>
      <w:tr>
        <w:trPr>
          <w:cantSplit/>
        </w:trPr>
        <w:tc>
          <w:tcPr>
            <w:tcW w:type="dxa" w:w="1928"/>
            <w:tcMar>
              <w:top w:w="70" w:type="dxa"/>
              <w:start w:w="90" w:type="dxa"/>
              <w:bottom w:w="70" w:type="dxa"/>
              <w:end w:w="90" w:type="dxa"/>
            </w:tcMar>
            <w:vAlign w:val="center"/>
            <w:shd w:fill="F8FAFC"/>
          </w:tcPr>
          <w:p>
            <w:pPr>
              <w:spacing w:after="0" w:before="0"/>
            </w:pPr>
            <w:r/>
            <w:r>
              <w:rPr>
                <w:rFonts w:ascii="Aptos" w:hAnsi="Aptos"/>
                <w:b w:val="0"/>
                <w:color w:val="172B3A"/>
                <w:sz w:val="15"/>
              </w:rPr>
              <w:t>Harbor on dedicated VM</w:t>
            </w:r>
          </w:p>
        </w:tc>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No registry exists, but production requires separation from the bastion.</w:t>
            </w:r>
          </w:p>
        </w:tc>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5"/>
              </w:rPr>
              <w:t>Clear lifecycle and capacity boundary; registry remains available when bastion maintenance occurs.</w:t>
            </w:r>
          </w:p>
        </w:tc>
        <w:tc>
          <w:tcPr>
            <w:tcW w:type="dxa" w:w="2835"/>
            <w:tcMar>
              <w:top w:w="70" w:type="dxa"/>
              <w:start w:w="90" w:type="dxa"/>
              <w:bottom w:w="70" w:type="dxa"/>
              <w:end w:w="90" w:type="dxa"/>
            </w:tcMar>
            <w:vAlign w:val="center"/>
            <w:shd w:fill="F8FAFC"/>
          </w:tcPr>
          <w:p>
            <w:pPr>
              <w:spacing w:after="0" w:before="0"/>
            </w:pPr>
            <w:r/>
            <w:r>
              <w:rPr>
                <w:rFonts w:ascii="Aptos" w:hAnsi="Aptos"/>
                <w:b w:val="0"/>
                <w:color w:val="172B3A"/>
                <w:sz w:val="15"/>
              </w:rPr>
              <w:t>Requires another VM, offline Harbor runtime, backup, certificates, and operations ownership.</w:t>
            </w:r>
          </w:p>
        </w:tc>
      </w:tr>
      <w:tr>
        <w:trPr>
          <w:cantSplit/>
        </w:trPr>
        <w:tc>
          <w:tcPr>
            <w:tcW w:type="dxa" w:w="1928"/>
            <w:tcMar>
              <w:top w:w="70" w:type="dxa"/>
              <w:start w:w="90" w:type="dxa"/>
              <w:bottom w:w="70" w:type="dxa"/>
              <w:end w:w="90" w:type="dxa"/>
            </w:tcMar>
            <w:vAlign w:val="center"/>
          </w:tcPr>
          <w:p>
            <w:pPr>
              <w:spacing w:after="0" w:before="0"/>
            </w:pPr>
            <w:r/>
            <w:r>
              <w:rPr>
                <w:rFonts w:ascii="Aptos" w:hAnsi="Aptos"/>
                <w:b w:val="0"/>
                <w:color w:val="172B3A"/>
                <w:sz w:val="15"/>
              </w:rPr>
              <w:t>Harbor on bastion</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5"/>
              </w:rPr>
              <w:t>POC, small isolated environment, or temporary bootstrap where customer accepts combined failure domain.</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5"/>
              </w:rPr>
              <w:t>Fastest complete local design; scripts included.</w:t>
            </w:r>
          </w:p>
        </w:tc>
        <w:tc>
          <w:tcPr>
            <w:tcW w:type="dxa" w:w="2835"/>
            <w:tcMar>
              <w:top w:w="70" w:type="dxa"/>
              <w:start w:w="90" w:type="dxa"/>
              <w:bottom w:w="70" w:type="dxa"/>
              <w:end w:w="90" w:type="dxa"/>
            </w:tcMar>
            <w:vAlign w:val="center"/>
          </w:tcPr>
          <w:p>
            <w:pPr>
              <w:spacing w:after="0" w:before="0"/>
            </w:pPr>
            <w:r/>
            <w:r>
              <w:rPr>
                <w:rFonts w:ascii="Aptos" w:hAnsi="Aptos"/>
                <w:b w:val="0"/>
                <w:color w:val="172B3A"/>
                <w:sz w:val="15"/>
              </w:rPr>
              <w:t>Bastion and image distribution share CPU/disk/failure domain. Size generously and protect registry data.</w:t>
            </w:r>
          </w:p>
        </w:tc>
      </w:tr>
    </w:tbl>
    <w:p>
      <w:pPr>
        <w:spacing w:after="0"/>
      </w:pPr>
    </w:p>
    <w:p>
      <w:pPr>
        <w:pStyle w:val="Heading2"/>
        <w:keepNext/>
      </w:pPr>
      <w:r>
        <w:t>8.2 Registry certificate requirements</w:t>
      </w:r>
    </w:p>
    <w:p>
      <w:pPr>
        <w:ind w:left="312" w:hanging="142"/>
      </w:pPr>
      <w:r>
        <w:t xml:space="preserve">☐ </w:t>
      </w:r>
      <w:r>
        <w:t>Certificate DNS SAN exactly matches `REGISTRY_FQDN`. Add an IP SAN only when clients will use the IP address, which is not preferred.</w:t>
      </w:r>
    </w:p>
    <w:p>
      <w:pPr>
        <w:ind w:left="312" w:hanging="142"/>
      </w:pPr>
      <w:r>
        <w:t xml:space="preserve">☐ </w:t>
      </w:r>
      <w:r>
        <w:t>Full issuer chain is provided. The private key is 3072-bit RSA or an approved customer algorithm and is stored mode 0600.</w:t>
      </w:r>
    </w:p>
    <w:p>
      <w:pPr>
        <w:ind w:left="312" w:hanging="142"/>
      </w:pPr>
      <w:r>
        <w:t xml:space="preserve">☐ </w:t>
      </w:r>
      <w:r>
        <w:t>Certificate validity covers the implementation and operational period; expiry monitoring and rotation ownership are assigned.</w:t>
      </w:r>
    </w:p>
    <w:p>
      <w:pPr>
        <w:ind w:left="312" w:hanging="142"/>
      </w:pPr>
      <w:r>
        <w:t xml:space="preserve">☐ </w:t>
      </w:r>
      <w:r>
        <w:t>Customer root/intermediate CA is copied to the bastion system trust and the Docker trust directory. NKP is given the CA file using the release-supported registry mirror option.</w:t>
      </w:r>
    </w:p>
    <w:p>
      <w:pPr>
        <w:spacing w:after="40"/>
      </w:pPr>
      <w:r>
        <w:rPr>
          <w:b/>
          <w:color w:val="1F6E8C"/>
          <w:sz w:val="18"/>
        </w:rPr>
        <w:t>Registry CSR example</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Generate a CSR only. Have the customer CA sign it.</w:t>
            </w:r>
            <w:r>
              <w:br/>
            </w:r>
            <w:r>
              <w:rPr>
                <w:rFonts w:ascii="Consolas" w:hAnsi="Consolas" w:eastAsia="Consolas"/>
                <w:color w:val="172B3A"/>
                <w:sz w:val="16"/>
              </w:rPr>
              <w:t>openssl req -new -newkey rsa:3072 -nodes   -keyout registry-server.key   -out registry-server.csr   -config templates/registry-san.cnf.example</w:t>
            </w:r>
            <w:r>
              <w:br/>
            </w:r>
            <w:r>
              <w:rPr>
                <w:rFonts w:ascii="Consolas" w:hAnsi="Consolas" w:eastAsia="Consolas"/>
                <w:color w:val="172B3A"/>
                <w:sz w:val="16"/>
              </w:rPr>
            </w:r>
            <w:r>
              <w:br/>
            </w:r>
            <w:r>
              <w:rPr>
                <w:rFonts w:ascii="Consolas" w:hAnsi="Consolas" w:eastAsia="Consolas"/>
                <w:color w:val="172B3A"/>
                <w:sz w:val="16"/>
              </w:rPr>
              <w:t>chmod 0600 registry-server.key</w:t>
            </w:r>
            <w:r>
              <w:br/>
            </w:r>
            <w:r>
              <w:rPr>
                <w:rFonts w:ascii="Consolas" w:hAnsi="Consolas" w:eastAsia="Consolas"/>
                <w:color w:val="172B3A"/>
                <w:sz w:val="16"/>
              </w:rPr>
              <w:t>openssl req -in registry-server.csr -noout -text   | sed -n '/Subject:/p;/Subject Alternative Name/,+1p'</w:t>
            </w:r>
          </w:p>
        </w:tc>
      </w:tr>
    </w:tbl>
    <w:p>
      <w:pPr>
        <w:spacing w:after="0"/>
      </w:pPr>
    </w:p>
    <w:p>
      <w:pPr>
        <w:pStyle w:val="Heading2"/>
        <w:keepNext/>
      </w:pPr>
      <w:r>
        <w:t>8.3 Trust the registry in Linux and Docker</w:t>
      </w:r>
    </w:p>
    <w:p>
      <w:pPr>
        <w:spacing w:after="40"/>
      </w:pPr>
      <w:r>
        <w:rPr>
          <w:b/>
          <w:color w:val="1F6E8C"/>
          <w:sz w:val="18"/>
        </w:rPr>
        <w:t>Registry trust</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sudo cp /opt/nkp/pki/registry-ca-chain.crt   /etc/pki/ca-trust/source/anchors/registry-ca-chain.crt</w:t>
            </w:r>
            <w:r>
              <w:br/>
            </w:r>
            <w:r>
              <w:rPr>
                <w:rFonts w:ascii="Consolas" w:hAnsi="Consolas" w:eastAsia="Consolas"/>
                <w:color w:val="172B3A"/>
                <w:sz w:val="16"/>
              </w:rPr>
              <w:t>sudo update-ca-trust extract</w:t>
            </w:r>
            <w:r>
              <w:br/>
            </w:r>
            <w:r>
              <w:rPr>
                <w:rFonts w:ascii="Consolas" w:hAnsi="Consolas" w:eastAsia="Consolas"/>
                <w:color w:val="172B3A"/>
                <w:sz w:val="16"/>
              </w:rPr>
            </w:r>
            <w:r>
              <w:br/>
            </w:r>
            <w:r>
              <w:rPr>
                <w:rFonts w:ascii="Consolas" w:hAnsi="Consolas" w:eastAsia="Consolas"/>
                <w:color w:val="172B3A"/>
                <w:sz w:val="16"/>
              </w:rPr>
              <w:t>REGISTRY='registry.customer.local'</w:t>
            </w:r>
            <w:r>
              <w:br/>
            </w:r>
            <w:r>
              <w:rPr>
                <w:rFonts w:ascii="Consolas" w:hAnsi="Consolas" w:eastAsia="Consolas"/>
                <w:color w:val="172B3A"/>
                <w:sz w:val="16"/>
              </w:rPr>
              <w:t>sudo mkdir -p "/etc/docker/certs.d/${REGISTRY}"</w:t>
            </w:r>
            <w:r>
              <w:br/>
            </w:r>
            <w:r>
              <w:rPr>
                <w:rFonts w:ascii="Consolas" w:hAnsi="Consolas" w:eastAsia="Consolas"/>
                <w:color w:val="172B3A"/>
                <w:sz w:val="16"/>
              </w:rPr>
              <w:t>sudo cp /opt/nkp/pki/registry-ca-chain.crt   "/etc/docker/certs.d/${REGISTRY}/ca.crt"</w:t>
            </w:r>
            <w:r>
              <w:br/>
            </w:r>
            <w:r>
              <w:rPr>
                <w:rFonts w:ascii="Consolas" w:hAnsi="Consolas" w:eastAsia="Consolas"/>
                <w:color w:val="172B3A"/>
                <w:sz w:val="16"/>
              </w:rPr>
              <w:t>sudo systemctl restart docker</w:t>
            </w:r>
            <w:r>
              <w:br/>
            </w:r>
            <w:r>
              <w:rPr>
                <w:rFonts w:ascii="Consolas" w:hAnsi="Consolas" w:eastAsia="Consolas"/>
                <w:color w:val="172B3A"/>
                <w:sz w:val="16"/>
              </w:rPr>
            </w:r>
            <w:r>
              <w:br/>
            </w:r>
            <w:r>
              <w:rPr>
                <w:rFonts w:ascii="Consolas" w:hAnsi="Consolas" w:eastAsia="Consolas"/>
                <w:color w:val="172B3A"/>
                <w:sz w:val="16"/>
              </w:rPr>
              <w:t>curl --fail https://${REGISTRY}/v2/</w:t>
            </w:r>
            <w:r>
              <w:br/>
            </w:r>
            <w:r>
              <w:rPr>
                <w:rFonts w:ascii="Consolas" w:hAnsi="Consolas" w:eastAsia="Consolas"/>
                <w:color w:val="172B3A"/>
                <w:sz w:val="16"/>
              </w:rPr>
              <w:t>docker login ${REGISTRY}</w:t>
            </w:r>
          </w:p>
        </w:tc>
      </w:tr>
    </w:tbl>
    <w:p>
      <w:pPr>
        <w:spacing w:after="0"/>
      </w:pPr>
    </w:p>
    <w:p>
      <w:pPr>
        <w:pStyle w:val="Heading2"/>
        <w:keepNext/>
      </w:pPr>
      <w:r>
        <w:t>8.4 Optional Harbor-on-bastion installation</w:t>
      </w:r>
    </w:p>
    <w:p>
      <w:pPr>
        <w:spacing w:after="40"/>
      </w:pPr>
      <w:r>
        <w:rPr>
          <w:b/>
          <w:color w:val="1F6E8C"/>
          <w:sz w:val="18"/>
        </w:rPr>
        <w:t>Harbor offline installation</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customer.env must set REGISTRY_MODE=harbor-on-bastion and valid TLS/data paths.</w:t>
            </w:r>
            <w:r>
              <w:br/>
            </w:r>
            <w:r>
              <w:rPr>
                <w:rFonts w:ascii="Consolas" w:hAnsi="Consolas" w:eastAsia="Consolas"/>
                <w:color w:val="172B3A"/>
                <w:sz w:val="16"/>
              </w:rPr>
              <w:t>sudo ENV_FILE=/opt/nkp/config/customer.env   /opt/nkp/scripts/05_install_harbor_on_bastion.sh --dry-run</w:t>
            </w:r>
            <w:r>
              <w:br/>
            </w:r>
            <w:r>
              <w:rPr>
                <w:rFonts w:ascii="Consolas" w:hAnsi="Consolas" w:eastAsia="Consolas"/>
                <w:color w:val="172B3A"/>
                <w:sz w:val="16"/>
              </w:rPr>
            </w:r>
            <w:r>
              <w:br/>
            </w:r>
            <w:r>
              <w:rPr>
                <w:rFonts w:ascii="Consolas" w:hAnsi="Consolas" w:eastAsia="Consolas"/>
                <w:color w:val="172B3A"/>
                <w:sz w:val="16"/>
              </w:rPr>
              <w:t>sudo ENV_FILE=/opt/nkp/config/customer.env   /opt/nkp/scripts/05_install_harbor_on_bastion.sh --apply</w:t>
            </w:r>
            <w:r>
              <w:br/>
            </w:r>
            <w:r>
              <w:rPr>
                <w:rFonts w:ascii="Consolas" w:hAnsi="Consolas" w:eastAsia="Consolas"/>
                <w:color w:val="172B3A"/>
                <w:sz w:val="16"/>
              </w:rPr>
            </w:r>
            <w:r>
              <w:br/>
            </w:r>
            <w:r>
              <w:rPr>
                <w:rFonts w:ascii="Consolas" w:hAnsi="Consolas" w:eastAsia="Consolas"/>
                <w:color w:val="172B3A"/>
                <w:sz w:val="16"/>
              </w:rPr>
              <w:t>sudo systemctl status harbor --no-pager</w:t>
            </w:r>
            <w:r>
              <w:br/>
            </w:r>
            <w:r>
              <w:rPr>
                <w:rFonts w:ascii="Consolas" w:hAnsi="Consolas" w:eastAsia="Consolas"/>
                <w:color w:val="172B3A"/>
                <w:sz w:val="16"/>
              </w:rPr>
              <w:t>docker compose -f /opt/harbor/docker-compose.yml ps</w:t>
            </w:r>
            <w:r>
              <w:br/>
            </w:r>
            <w:r>
              <w:rPr>
                <w:rFonts w:ascii="Consolas" w:hAnsi="Consolas" w:eastAsia="Consolas"/>
                <w:color w:val="172B3A"/>
                <w:sz w:val="16"/>
              </w:rPr>
              <w:t>curl --fail --cacert /opt/nkp/pki/registry-ca-chain.crt   https://registry.customer.local/api/v2.0/ping</w:t>
            </w:r>
          </w:p>
        </w:tc>
      </w:tr>
    </w:tbl>
    <w:p>
      <w:pPr>
        <w:spacing w:after="0"/>
      </w:pPr>
    </w:p>
    <w:p>
      <w:pPr>
        <w:spacing w:after="120" w:line="259" w:lineRule="auto"/>
      </w:pPr>
      <w:r>
        <w:t>Do not enable online vulnerability database updates in a strict air gap. If image scanning is required, establish a separately approved offline database update workflow and record its freshness. Registry garbage collection, backup, and restore must be defined before production acceptance.</w:t>
      </w:r>
    </w:p>
    <w:p>
      <w:pPr>
        <w:pStyle w:val="Heading2"/>
        <w:keepNext/>
      </w:pPr>
      <w:r>
        <w:t>8.5 End-to-end registry test</w:t>
      </w:r>
    </w:p>
    <w:p>
      <w:pPr>
        <w:spacing w:after="40"/>
      </w:pPr>
      <w:r>
        <w:rPr>
          <w:b/>
          <w:color w:val="1F6E8C"/>
          <w:sz w:val="18"/>
        </w:rPr>
        <w:t>Registry validation</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ENV_FILE=/opt/nkp/config/customer.env   /opt/nkp/scripts/06_validate_registry.sh --dry-run</w:t>
            </w:r>
            <w:r>
              <w:br/>
            </w:r>
            <w:r>
              <w:rPr>
                <w:rFonts w:ascii="Consolas" w:hAnsi="Consolas" w:eastAsia="Consolas"/>
                <w:color w:val="172B3A"/>
                <w:sz w:val="16"/>
              </w:rPr>
            </w:r>
            <w:r>
              <w:br/>
            </w:r>
            <w:r>
              <w:rPr>
                <w:rFonts w:ascii="Consolas" w:hAnsi="Consolas" w:eastAsia="Consolas"/>
                <w:color w:val="172B3A"/>
                <w:sz w:val="16"/>
              </w:rPr>
              <w:t>ENV_FILE=/opt/nkp/config/customer.env   /opt/nkp/scripts/06_validate_registry.sh --apply</w:t>
            </w:r>
          </w:p>
        </w:tc>
      </w:tr>
    </w:tbl>
    <w:p>
      <w:pPr>
        <w:spacing w:after="0"/>
      </w:pPr>
    </w:p>
    <w:p>
      <w:pPr>
        <w:spacing w:after="120" w:line="259" w:lineRule="auto"/>
      </w:pPr>
      <w:r>
        <w:t>The test builds a local `FROM scratch` marker image, so it does not pull a public base image. It validates DNS, TCP/443, CA trust, authentication, push, local image removal, pull, and digest inspection.</w:t>
      </w:r>
    </w:p>
    <w:tbl>
      <w:tblPr>
        <w:tblW w:type="auto" w:w="0"/>
        <w:tblLayout w:type="autofit"/>
        <w:tblLook w:firstColumn="1" w:firstRow="1" w:lastColumn="0" w:lastRow="0" w:noHBand="0" w:noVBand="1" w:val="04A0"/>
      </w:tblPr>
      <w:tblGrid>
        <w:gridCol w:w="198"/>
        <w:gridCol w:w="9921"/>
      </w:tblGrid>
      <w:tr>
        <w:tc>
          <w:tcPr>
            <w:tcW w:type="dxa" w:w="5018"/>
            <w:shd w:fill="2F855A"/>
          </w:tcPr>
          <w:p>
            <w:r/>
          </w:p>
        </w:tc>
        <w:tc>
          <w:tcPr>
            <w:tcW w:type="dxa" w:w="5018"/>
            <w:shd w:fill="EAF7EF"/>
            <w:tcMar>
              <w:top w:w="100" w:type="dxa"/>
              <w:start w:w="120" w:type="dxa"/>
              <w:bottom w:w="100" w:type="dxa"/>
              <w:end w:w="120" w:type="dxa"/>
            </w:tcMar>
          </w:tcPr>
          <w:p>
            <w:pPr>
              <w:spacing w:after="40"/>
            </w:pPr>
            <w:r/>
            <w:r>
              <w:rPr>
                <w:b/>
                <w:color w:val="2F855A"/>
                <w:sz w:val="20"/>
              </w:rPr>
              <w:t>Gate 3 – Registry ready</w:t>
            </w:r>
          </w:p>
          <w:p>
            <w:pPr>
              <w:spacing w:after="0" w:line="252" w:lineRule="auto"/>
            </w:pPr>
            <w:r>
              <w:rPr>
                <w:color w:val="172B3A"/>
                <w:sz w:val="18"/>
              </w:rPr>
              <w:t>Go only when TLS hostname and chain verification passes without insecure options, authenticated push/pull works, storage/quota is sufficient for the complete NKP bundle plus growth, and every future cluster node can route to the registry FQDN.</w:t>
            </w:r>
          </w:p>
        </w:tc>
      </w:tr>
    </w:tbl>
    <w:p>
      <w:pPr>
        <w:spacing w:after="0"/>
      </w:pPr>
    </w:p>
    <w:p>
      <w:pPr>
        <w:pStyle w:val="Heading1"/>
        <w:keepNext/>
      </w:pPr>
      <w:r>
        <w:t>9. Load the NKP air-gapped bundle into the registry</w:t>
      </w:r>
    </w:p>
    <w:p>
      <w:pPr>
        <w:pStyle w:val="Heading2"/>
        <w:keepNext/>
      </w:pPr>
      <w:r>
        <w:t>9.1 Verify the bundle before import</w:t>
      </w:r>
    </w:p>
    <w:p>
      <w:pPr>
        <w:spacing w:after="40"/>
      </w:pPr>
      <w:r>
        <w:rPr>
          <w:b/>
          <w:color w:val="1F6E8C"/>
          <w:sz w:val="18"/>
        </w:rPr>
        <w:t>Bundle integrity checks</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cd /opt/nkp/artifacts</w:t>
            </w:r>
            <w:r>
              <w:br/>
            </w:r>
            <w:r>
              <w:rPr>
                <w:rFonts w:ascii="Consolas" w:hAnsi="Consolas" w:eastAsia="Consolas"/>
                <w:color w:val="172B3A"/>
                <w:sz w:val="16"/>
              </w:rPr>
              <w:t>sha256sum -c SHA256SUMS</w:t>
            </w:r>
            <w:r>
              <w:br/>
            </w:r>
            <w:r>
              <w:rPr>
                <w:rFonts w:ascii="Consolas" w:hAnsi="Consolas" w:eastAsia="Consolas"/>
                <w:color w:val="172B3A"/>
                <w:sz w:val="16"/>
              </w:rPr>
              <w:t>ls -lh "$NKP_AIRGAP_BUNDLE"</w:t>
            </w:r>
            <w:r>
              <w:br/>
            </w:r>
            <w:r>
              <w:rPr>
                <w:rFonts w:ascii="Consolas" w:hAnsi="Consolas" w:eastAsia="Consolas"/>
                <w:color w:val="172B3A"/>
                <w:sz w:val="16"/>
              </w:rPr>
              <w:t>tar -tf "$NKP_AIRGAP_BUNDLE" | head -100   # only when the bundle is a tar archive</w:t>
            </w:r>
            <w:r>
              <w:br/>
            </w:r>
            <w:r>
              <w:rPr>
                <w:rFonts w:ascii="Consolas" w:hAnsi="Consolas" w:eastAsia="Consolas"/>
                <w:color w:val="172B3A"/>
                <w:sz w:val="16"/>
              </w:rPr>
              <w:t>nkp version || nkp --version</w:t>
            </w:r>
          </w:p>
        </w:tc>
      </w:tr>
    </w:tbl>
    <w:p>
      <w:pPr>
        <w:spacing w:after="0"/>
      </w:pPr>
    </w:p>
    <w:p>
      <w:pPr>
        <w:pStyle w:val="Heading2"/>
        <w:keepNext/>
      </w:pPr>
      <w:r>
        <w:t>9.2 Capture the exact push command contract</w:t>
      </w:r>
    </w:p>
    <w:p>
      <w:pPr>
        <w:spacing w:after="40"/>
      </w:pPr>
      <w:r>
        <w:rPr>
          <w:b/>
          <w:color w:val="1F6E8C"/>
          <w:sz w:val="18"/>
        </w:rPr>
        <w:t>CLI discovery</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nkp push bundle --help   | tee /opt/nkp/evidence/nkp-push-bundle-help.txt</w:t>
            </w:r>
            <w:r>
              <w:br/>
            </w:r>
            <w:r>
              <w:rPr>
                <w:rFonts w:ascii="Consolas" w:hAnsi="Consolas" w:eastAsia="Consolas"/>
                <w:color w:val="172B3A"/>
                <w:sz w:val="16"/>
              </w:rPr>
            </w:r>
            <w:r>
              <w:br/>
            </w:r>
            <w:r>
              <w:rPr>
                <w:rFonts w:ascii="Consolas" w:hAnsi="Consolas" w:eastAsia="Consolas"/>
                <w:color w:val="172B3A"/>
                <w:sz w:val="16"/>
              </w:rPr>
              <w:t># If the exact patch uses a renamed subcommand, do not improvise.</w:t>
            </w:r>
            <w:r>
              <w:br/>
            </w:r>
            <w:r>
              <w:rPr>
                <w:rFonts w:ascii="Consolas" w:hAnsi="Consolas" w:eastAsia="Consolas"/>
                <w:color w:val="172B3A"/>
                <w:sz w:val="16"/>
              </w:rPr>
              <w:t># The supplied wrapper detects either `push bundle` or `push image-bundle` and validates flags.</w:t>
            </w:r>
          </w:p>
        </w:tc>
      </w:tr>
    </w:tbl>
    <w:p>
      <w:pPr>
        <w:spacing w:after="0"/>
      </w:pPr>
    </w:p>
    <w:p>
      <w:pPr>
        <w:pStyle w:val="Heading2"/>
        <w:keepNext/>
      </w:pPr>
      <w:r>
        <w:t>9.3 Dry-run and push</w:t>
      </w:r>
    </w:p>
    <w:p>
      <w:pPr>
        <w:spacing w:after="40"/>
      </w:pPr>
      <w:r>
        <w:rPr>
          <w:b/>
          <w:color w:val="1F6E8C"/>
          <w:sz w:val="18"/>
        </w:rPr>
        <w:t>Bundle push</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ENV_FILE=/opt/nkp/config/customer.env   /opt/nkp/scripts/07_push_nkp_airgap_bundle.sh --dry-run</w:t>
            </w:r>
            <w:r>
              <w:br/>
            </w:r>
            <w:r>
              <w:rPr>
                <w:rFonts w:ascii="Consolas" w:hAnsi="Consolas" w:eastAsia="Consolas"/>
                <w:color w:val="172B3A"/>
                <w:sz w:val="16"/>
              </w:rPr>
            </w:r>
            <w:r>
              <w:br/>
            </w:r>
            <w:r>
              <w:rPr>
                <w:rFonts w:ascii="Consolas" w:hAnsi="Consolas" w:eastAsia="Consolas"/>
                <w:color w:val="172B3A"/>
                <w:sz w:val="16"/>
              </w:rPr>
              <w:t># Review the redacted rendered command and help capture.</w:t>
            </w:r>
            <w:r>
              <w:br/>
            </w:r>
            <w:r>
              <w:rPr>
                <w:rFonts w:ascii="Consolas" w:hAnsi="Consolas" w:eastAsia="Consolas"/>
                <w:color w:val="172B3A"/>
                <w:sz w:val="16"/>
              </w:rPr>
              <w:t>ENV_FILE=/opt/nkp/config/customer.env   /opt/nkp/scripts/07_push_nkp_airgap_bundle.sh --apply</w:t>
            </w:r>
          </w:p>
        </w:tc>
      </w:tr>
    </w:tbl>
    <w:p>
      <w:pPr>
        <w:spacing w:after="0"/>
      </w:pPr>
    </w:p>
    <w:p>
      <w:pPr>
        <w:pStyle w:val="Heading2"/>
        <w:keepNext/>
      </w:pPr>
      <w:r>
        <w:t>9.4 Post-push validation</w:t>
      </w:r>
    </w:p>
    <w:p>
      <w:pPr>
        <w:ind w:left="312" w:hanging="142"/>
      </w:pPr>
      <w:r>
        <w:t xml:space="preserve">☐ </w:t>
      </w:r>
      <w:r>
        <w:t>Record repository count, artifact count, total registry consumption, and representative immutable digests.</w:t>
      </w:r>
    </w:p>
    <w:p>
      <w:pPr>
        <w:ind w:left="312" w:hanging="142"/>
      </w:pPr>
      <w:r>
        <w:t xml:space="preserve">☐ </w:t>
      </w:r>
      <w:r>
        <w:t>Confirm no project quota or retention policy silently removed artifacts.</w:t>
      </w:r>
    </w:p>
    <w:p>
      <w:pPr>
        <w:ind w:left="312" w:hanging="142"/>
      </w:pPr>
      <w:r>
        <w:t xml:space="preserve">☐ </w:t>
      </w:r>
      <w:r>
        <w:t>Use Harbor API or registry tooling to inspect selected manifests through the customer CA.</w:t>
      </w:r>
    </w:p>
    <w:p>
      <w:pPr>
        <w:ind w:left="312" w:hanging="142"/>
      </w:pPr>
      <w:r>
        <w:t xml:space="preserve">☐ </w:t>
      </w:r>
      <w:r>
        <w:t>Restart Docker or clear local cache and pull a representative image from the internal registry.</w:t>
      </w:r>
    </w:p>
    <w:p>
      <w:pPr>
        <w:ind w:left="312" w:hanging="142"/>
      </w:pPr>
      <w:r>
        <w:t xml:space="preserve">☐ </w:t>
      </w:r>
      <w:r>
        <w:t>Back up registry configuration, database, and data volume according to the chosen product’s supported procedure.</w:t>
      </w:r>
    </w:p>
    <w:p>
      <w:pPr>
        <w:spacing w:after="40"/>
      </w:pPr>
      <w:r>
        <w:rPr>
          <w:b/>
          <w:color w:val="1F6E8C"/>
          <w:sz w:val="18"/>
        </w:rPr>
        <w:t>Registry inventory</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Harbor repository inventory example.</w:t>
            </w:r>
            <w:r>
              <w:br/>
            </w:r>
            <w:r>
              <w:rPr>
                <w:rFonts w:ascii="Consolas" w:hAnsi="Consolas" w:eastAsia="Consolas"/>
                <w:color w:val="172B3A"/>
                <w:sz w:val="16"/>
              </w:rPr>
              <w:t>curl --fail --cacert /opt/nkp/pki/registry-ca-chain.crt   -u '&lt;REGISTRY_USER&gt;'   'https://registry.customer.local/api/v2.0/projects/nkp/repositories?page=1&amp;page_size=100'   | jq -r '.[] | [.name,.artifact_count] | @tsv' | sort</w:t>
            </w:r>
            <w:r>
              <w:br/>
            </w:r>
            <w:r>
              <w:rPr>
                <w:rFonts w:ascii="Consolas" w:hAnsi="Consolas" w:eastAsia="Consolas"/>
                <w:color w:val="172B3A"/>
                <w:sz w:val="16"/>
              </w:rPr>
            </w:r>
            <w:r>
              <w:br/>
            </w:r>
            <w:r>
              <w:rPr>
                <w:rFonts w:ascii="Consolas" w:hAnsi="Consolas" w:eastAsia="Consolas"/>
                <w:color w:val="172B3A"/>
                <w:sz w:val="16"/>
              </w:rPr>
              <w:t># Disk capacity and container health.</w:t>
            </w:r>
            <w:r>
              <w:br/>
            </w:r>
            <w:r>
              <w:rPr>
                <w:rFonts w:ascii="Consolas" w:hAnsi="Consolas" w:eastAsia="Consolas"/>
                <w:color w:val="172B3A"/>
                <w:sz w:val="16"/>
              </w:rPr>
              <w:t>df -hT /srv/registry</w:t>
            </w:r>
            <w:r>
              <w:br/>
            </w:r>
            <w:r>
              <w:rPr>
                <w:rFonts w:ascii="Consolas" w:hAnsi="Consolas" w:eastAsia="Consolas"/>
                <w:color w:val="172B3A"/>
                <w:sz w:val="16"/>
              </w:rPr>
              <w:t>docker ps --format 'table {{.Names}}</w:t>
              <w:tab/>
              <w:t>{{.Status}}</w:t>
              <w:tab/>
              <w:t>{{.Ports}}'</w:t>
            </w:r>
          </w:p>
        </w:tc>
      </w:tr>
    </w:tbl>
    <w:p>
      <w:pPr>
        <w:spacing w:after="0"/>
      </w:pPr>
    </w:p>
    <w:p>
      <w:pPr>
        <w:pStyle w:val="Heading1"/>
        <w:keepNext/>
      </w:pPr>
      <w:r>
        <w:t>10. Nutanix platform prerequisites</w:t>
      </w:r>
    </w:p>
    <w:p>
      <w:pPr>
        <w:pStyle w:val="Heading2"/>
        <w:keepNext/>
      </w:pPr>
      <w:r>
        <w:t>10.1 Compatibility gate</w:t>
      </w:r>
    </w:p>
    <w:p>
      <w:pPr>
        <w:spacing w:after="120" w:line="259" w:lineRule="auto"/>
      </w:pPr>
      <w:r>
        <w:t>Before importing images or creating VMs, compare the customer Prism Central, AOS/AHV, hypervisor, network, storage, and Kubernetes target against the current NKP 2.18 compatibility information. Save the result in the evidence pack. A successful API login does not prove platform-version support.</w:t>
      </w:r>
    </w:p>
    <w:p>
      <w:pPr>
        <w:pStyle w:val="Heading2"/>
        <w:keepNext/>
      </w:pPr>
      <w:r>
        <w:t>10.2 Prism service account</w:t>
      </w:r>
    </w:p>
    <w:p>
      <w:pPr>
        <w:ind w:left="312" w:hanging="142"/>
      </w:pPr>
      <w:r>
        <w:t xml:space="preserve">☐ </w:t>
      </w:r>
      <w:r>
        <w:t>Use a dedicated service/deployment account, not a personal administrator, when the NKP guide supports it.</w:t>
      </w:r>
    </w:p>
    <w:p>
      <w:pPr>
        <w:ind w:left="312" w:hanging="142"/>
      </w:pPr>
      <w:r>
        <w:t xml:space="preserve">☐ </w:t>
      </w:r>
      <w:r>
        <w:t>Grant only the documented VM, image, network, category/project, and storage permissions required by the Nutanix provider and CSI.</w:t>
      </w:r>
    </w:p>
    <w:p>
      <w:pPr>
        <w:ind w:left="312" w:hanging="142"/>
      </w:pPr>
      <w:r>
        <w:t xml:space="preserve">☐ </w:t>
      </w:r>
      <w:r>
        <w:t>Validate login and read-only API listing before the change. Test a controlled VM/image action in a non-production project when available.</w:t>
      </w:r>
    </w:p>
    <w:p>
      <w:pPr>
        <w:ind w:left="312" w:hanging="142"/>
      </w:pPr>
      <w:r>
        <w:t xml:space="preserve">☐ </w:t>
      </w:r>
      <w:r>
        <w:t>Store the password in the customer vault. Scripts prompt at runtime and redact evidence; do not put passwords in `customer.env` or shell history.</w:t>
      </w:r>
    </w:p>
    <w:p>
      <w:pPr>
        <w:pStyle w:val="Heading2"/>
        <w:keepNext/>
      </w:pPr>
      <w:r>
        <w:t>10.3 Node network and IPAM</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438"/>
            <w:tcMar>
              <w:top w:w="70" w:type="dxa"/>
              <w:start w:w="90" w:type="dxa"/>
              <w:bottom w:w="70" w:type="dxa"/>
              <w:end w:w="90" w:type="dxa"/>
            </w:tcMar>
            <w:vAlign w:val="center"/>
            <w:shd w:fill="17324D"/>
          </w:tcPr>
          <w:p>
            <w:pPr>
              <w:spacing w:after="0" w:before="0"/>
            </w:pPr>
            <w:r/>
            <w:r>
              <w:rPr>
                <w:rFonts w:ascii="Aptos" w:hAnsi="Aptos"/>
                <w:b/>
                <w:color w:val="FFFFFF"/>
                <w:sz w:val="16"/>
              </w:rPr>
              <w:t>Check</w:t>
            </w:r>
          </w:p>
        </w:tc>
        <w:tc>
          <w:tcPr>
            <w:tcW w:type="dxa" w:w="7483"/>
            <w:tcMar>
              <w:top w:w="70" w:type="dxa"/>
              <w:start w:w="90" w:type="dxa"/>
              <w:bottom w:w="70" w:type="dxa"/>
              <w:end w:w="90" w:type="dxa"/>
            </w:tcMar>
            <w:vAlign w:val="center"/>
            <w:shd w:fill="17324D"/>
          </w:tcPr>
          <w:p>
            <w:pPr>
              <w:spacing w:after="0" w:before="0"/>
            </w:pPr>
            <w:r/>
            <w:r>
              <w:rPr>
                <w:rFonts w:ascii="Aptos" w:hAnsi="Aptos"/>
                <w:b/>
                <w:color w:val="FFFFFF"/>
                <w:sz w:val="16"/>
              </w:rPr>
              <w:t>Acceptance criterion</w:t>
            </w:r>
          </w:p>
        </w:tc>
      </w:tr>
      <w:tr>
        <w:trPr>
          <w:cantSplit/>
        </w:trPr>
        <w:tc>
          <w:tcPr>
            <w:tcW w:type="dxa" w:w="2438"/>
            <w:tcMar>
              <w:top w:w="70" w:type="dxa"/>
              <w:start w:w="90" w:type="dxa"/>
              <w:bottom w:w="70" w:type="dxa"/>
              <w:end w:w="90" w:type="dxa"/>
            </w:tcMar>
            <w:vAlign w:val="center"/>
          </w:tcPr>
          <w:p>
            <w:pPr>
              <w:spacing w:after="0" w:before="0"/>
            </w:pPr>
            <w:r/>
            <w:r>
              <w:rPr>
                <w:rFonts w:ascii="Aptos" w:hAnsi="Aptos"/>
                <w:b w:val="0"/>
                <w:color w:val="172B3A"/>
                <w:sz w:val="16"/>
              </w:rPr>
              <w:t>Subnet object</w:t>
            </w:r>
          </w:p>
        </w:tc>
        <w:tc>
          <w:tcPr>
            <w:tcW w:type="dxa" w:w="7483"/>
            <w:tcMar>
              <w:top w:w="70" w:type="dxa"/>
              <w:start w:w="90" w:type="dxa"/>
              <w:bottom w:w="70" w:type="dxa"/>
              <w:end w:w="90" w:type="dxa"/>
            </w:tcMar>
            <w:vAlign w:val="center"/>
          </w:tcPr>
          <w:p>
            <w:pPr>
              <w:spacing w:after="0" w:before="0"/>
            </w:pPr>
            <w:r/>
            <w:r>
              <w:rPr>
                <w:rFonts w:ascii="Aptos" w:hAnsi="Aptos"/>
                <w:b w:val="0"/>
                <w:color w:val="172B3A"/>
                <w:sz w:val="16"/>
              </w:rPr>
              <w:t>Exact subnet name/UUID exists in Prism Central and is attached to the selected AHV cluster.</w:t>
            </w:r>
          </w:p>
        </w:tc>
      </w:tr>
      <w:tr>
        <w:trPr>
          <w:cantSplit/>
        </w:trPr>
        <w:tc>
          <w:tcPr>
            <w:tcW w:type="dxa" w:w="2438"/>
            <w:tcMar>
              <w:top w:w="70" w:type="dxa"/>
              <w:start w:w="90" w:type="dxa"/>
              <w:bottom w:w="70" w:type="dxa"/>
              <w:end w:w="90" w:type="dxa"/>
            </w:tcMar>
            <w:vAlign w:val="center"/>
            <w:shd w:fill="F8FAFC"/>
          </w:tcPr>
          <w:p>
            <w:pPr>
              <w:spacing w:after="0" w:before="0"/>
            </w:pPr>
            <w:r/>
            <w:r>
              <w:rPr>
                <w:rFonts w:ascii="Aptos" w:hAnsi="Aptos"/>
                <w:b w:val="0"/>
                <w:color w:val="172B3A"/>
                <w:sz w:val="16"/>
              </w:rPr>
              <w:t>Addressing</w:t>
            </w:r>
          </w:p>
        </w:tc>
        <w:tc>
          <w:tcPr>
            <w:tcW w:type="dxa" w:w="7483"/>
            <w:tcMar>
              <w:top w:w="70" w:type="dxa"/>
              <w:start w:w="90" w:type="dxa"/>
              <w:bottom w:w="70" w:type="dxa"/>
              <w:end w:w="90" w:type="dxa"/>
            </w:tcMar>
            <w:vAlign w:val="center"/>
            <w:shd w:fill="F8FAFC"/>
          </w:tcPr>
          <w:p>
            <w:pPr>
              <w:spacing w:after="0" w:before="0"/>
            </w:pPr>
            <w:r/>
            <w:r>
              <w:rPr>
                <w:rFonts w:ascii="Aptos" w:hAnsi="Aptos"/>
                <w:b w:val="0"/>
                <w:color w:val="172B3A"/>
                <w:sz w:val="16"/>
              </w:rPr>
              <w:t>DHCP/Nutanix IPAM/static method matches the NKP 2.18 Nutanix provider requirement. Test address assignment with a disposable VM.</w:t>
            </w:r>
          </w:p>
        </w:tc>
      </w:tr>
      <w:tr>
        <w:trPr>
          <w:cantSplit/>
        </w:trPr>
        <w:tc>
          <w:tcPr>
            <w:tcW w:type="dxa" w:w="2438"/>
            <w:tcMar>
              <w:top w:w="70" w:type="dxa"/>
              <w:start w:w="90" w:type="dxa"/>
              <w:bottom w:w="70" w:type="dxa"/>
              <w:end w:w="90" w:type="dxa"/>
            </w:tcMar>
            <w:vAlign w:val="center"/>
          </w:tcPr>
          <w:p>
            <w:pPr>
              <w:spacing w:after="0" w:before="0"/>
            </w:pPr>
            <w:r/>
            <w:r>
              <w:rPr>
                <w:rFonts w:ascii="Aptos" w:hAnsi="Aptos"/>
                <w:b w:val="0"/>
                <w:color w:val="172B3A"/>
                <w:sz w:val="16"/>
              </w:rPr>
              <w:t>DNS/NTP</w:t>
            </w:r>
          </w:p>
        </w:tc>
        <w:tc>
          <w:tcPr>
            <w:tcW w:type="dxa" w:w="7483"/>
            <w:tcMar>
              <w:top w:w="70" w:type="dxa"/>
              <w:start w:w="90" w:type="dxa"/>
              <w:bottom w:w="70" w:type="dxa"/>
              <w:end w:w="90" w:type="dxa"/>
            </w:tcMar>
            <w:vAlign w:val="center"/>
          </w:tcPr>
          <w:p>
            <w:pPr>
              <w:spacing w:after="0" w:before="0"/>
            </w:pPr>
            <w:r/>
            <w:r>
              <w:rPr>
                <w:rFonts w:ascii="Aptos" w:hAnsi="Aptos"/>
                <w:b w:val="0"/>
                <w:color w:val="172B3A"/>
                <w:sz w:val="16"/>
              </w:rPr>
              <w:t>A VM on the NKP subnet resolves registry/Prism/internal names and synchronizes to internal NTP.</w:t>
            </w:r>
          </w:p>
        </w:tc>
      </w:tr>
      <w:tr>
        <w:trPr>
          <w:cantSplit/>
        </w:trPr>
        <w:tc>
          <w:tcPr>
            <w:tcW w:type="dxa" w:w="2438"/>
            <w:tcMar>
              <w:top w:w="70" w:type="dxa"/>
              <w:start w:w="90" w:type="dxa"/>
              <w:bottom w:w="70" w:type="dxa"/>
              <w:end w:w="90" w:type="dxa"/>
            </w:tcMar>
            <w:vAlign w:val="center"/>
            <w:shd w:fill="F8FAFC"/>
          </w:tcPr>
          <w:p>
            <w:pPr>
              <w:spacing w:after="0" w:before="0"/>
            </w:pPr>
            <w:r/>
            <w:r>
              <w:rPr>
                <w:rFonts w:ascii="Aptos" w:hAnsi="Aptos"/>
                <w:b w:val="0"/>
                <w:color w:val="172B3A"/>
                <w:sz w:val="16"/>
              </w:rPr>
              <w:t>Control-plane VIP</w:t>
            </w:r>
          </w:p>
        </w:tc>
        <w:tc>
          <w:tcPr>
            <w:tcW w:type="dxa" w:w="7483"/>
            <w:tcMar>
              <w:top w:w="70" w:type="dxa"/>
              <w:start w:w="90" w:type="dxa"/>
              <w:bottom w:w="70" w:type="dxa"/>
              <w:end w:w="90" w:type="dxa"/>
            </w:tcMar>
            <w:vAlign w:val="center"/>
            <w:shd w:fill="F8FAFC"/>
          </w:tcPr>
          <w:p>
            <w:pPr>
              <w:spacing w:after="0" w:before="0"/>
            </w:pPr>
            <w:r/>
            <w:r>
              <w:rPr>
                <w:rFonts w:ascii="Aptos" w:hAnsi="Aptos"/>
                <w:b w:val="0"/>
                <w:color w:val="172B3A"/>
                <w:sz w:val="16"/>
              </w:rPr>
              <w:t>Reserved in IPAM, outside DHCP/service pools, on the correct reachable network, and not responding to ARP/ICMP unless intentionally in use.</w:t>
            </w:r>
          </w:p>
        </w:tc>
      </w:tr>
      <w:tr>
        <w:trPr>
          <w:cantSplit/>
        </w:trPr>
        <w:tc>
          <w:tcPr>
            <w:tcW w:type="dxa" w:w="2438"/>
            <w:tcMar>
              <w:top w:w="70" w:type="dxa"/>
              <w:start w:w="90" w:type="dxa"/>
              <w:bottom w:w="70" w:type="dxa"/>
              <w:end w:w="90" w:type="dxa"/>
            </w:tcMar>
            <w:vAlign w:val="center"/>
          </w:tcPr>
          <w:p>
            <w:pPr>
              <w:spacing w:after="0" w:before="0"/>
            </w:pPr>
            <w:r/>
            <w:r>
              <w:rPr>
                <w:rFonts w:ascii="Aptos" w:hAnsi="Aptos"/>
                <w:b w:val="0"/>
                <w:color w:val="172B3A"/>
                <w:sz w:val="16"/>
              </w:rPr>
              <w:t>Service LoadBalancer pool</w:t>
            </w:r>
          </w:p>
        </w:tc>
        <w:tc>
          <w:tcPr>
            <w:tcW w:type="dxa" w:w="7483"/>
            <w:tcMar>
              <w:top w:w="70" w:type="dxa"/>
              <w:start w:w="90" w:type="dxa"/>
              <w:bottom w:w="70" w:type="dxa"/>
              <w:end w:w="90" w:type="dxa"/>
            </w:tcMar>
            <w:vAlign w:val="center"/>
          </w:tcPr>
          <w:p>
            <w:pPr>
              <w:spacing w:after="0" w:before="0"/>
            </w:pPr>
            <w:r/>
            <w:r>
              <w:rPr>
                <w:rFonts w:ascii="Aptos" w:hAnsi="Aptos"/>
                <w:b w:val="0"/>
                <w:color w:val="172B3A"/>
                <w:sz w:val="16"/>
              </w:rPr>
              <w:t>Contiguous or release-supported format; reserved outside other allocation scopes; routable from intended clients.</w:t>
            </w:r>
          </w:p>
        </w:tc>
      </w:tr>
      <w:tr>
        <w:trPr>
          <w:cantSplit/>
        </w:trPr>
        <w:tc>
          <w:tcPr>
            <w:tcW w:type="dxa" w:w="2438"/>
            <w:tcMar>
              <w:top w:w="70" w:type="dxa"/>
              <w:start w:w="90" w:type="dxa"/>
              <w:bottom w:w="70" w:type="dxa"/>
              <w:end w:w="90" w:type="dxa"/>
            </w:tcMar>
            <w:vAlign w:val="center"/>
            <w:shd w:fill="F8FAFC"/>
          </w:tcPr>
          <w:p>
            <w:pPr>
              <w:spacing w:after="0" w:before="0"/>
            </w:pPr>
            <w:r/>
            <w:r>
              <w:rPr>
                <w:rFonts w:ascii="Aptos" w:hAnsi="Aptos"/>
                <w:b w:val="0"/>
                <w:color w:val="172B3A"/>
                <w:sz w:val="16"/>
              </w:rPr>
              <w:t>MTU</w:t>
            </w:r>
          </w:p>
        </w:tc>
        <w:tc>
          <w:tcPr>
            <w:tcW w:type="dxa" w:w="7483"/>
            <w:tcMar>
              <w:top w:w="70" w:type="dxa"/>
              <w:start w:w="90" w:type="dxa"/>
              <w:bottom w:w="70" w:type="dxa"/>
              <w:end w:w="90" w:type="dxa"/>
            </w:tcMar>
            <w:vAlign w:val="center"/>
            <w:shd w:fill="F8FAFC"/>
          </w:tcPr>
          <w:p>
            <w:pPr>
              <w:spacing w:after="0" w:before="0"/>
            </w:pPr>
            <w:r/>
            <w:r>
              <w:rPr>
                <w:rFonts w:ascii="Aptos" w:hAnsi="Aptos"/>
                <w:b w:val="0"/>
                <w:color w:val="172B3A"/>
                <w:sz w:val="16"/>
              </w:rPr>
              <w:t>Consistent along node-to-node and node-to-registry paths; allows CNI encapsulation overhead.</w:t>
            </w:r>
          </w:p>
        </w:tc>
      </w:tr>
      <w:tr>
        <w:trPr>
          <w:cantSplit/>
        </w:trPr>
        <w:tc>
          <w:tcPr>
            <w:tcW w:type="dxa" w:w="2438"/>
            <w:tcMar>
              <w:top w:w="70" w:type="dxa"/>
              <w:start w:w="90" w:type="dxa"/>
              <w:bottom w:w="70" w:type="dxa"/>
              <w:end w:w="90" w:type="dxa"/>
            </w:tcMar>
            <w:vAlign w:val="center"/>
          </w:tcPr>
          <w:p>
            <w:pPr>
              <w:spacing w:after="0" w:before="0"/>
            </w:pPr>
            <w:r/>
            <w:r>
              <w:rPr>
                <w:rFonts w:ascii="Aptos" w:hAnsi="Aptos"/>
                <w:b w:val="0"/>
                <w:color w:val="172B3A"/>
                <w:sz w:val="16"/>
              </w:rPr>
              <w:t>Routes/firewall</w:t>
            </w:r>
          </w:p>
        </w:tc>
        <w:tc>
          <w:tcPr>
            <w:tcW w:type="dxa" w:w="7483"/>
            <w:tcMar>
              <w:top w:w="70" w:type="dxa"/>
              <w:start w:w="90" w:type="dxa"/>
              <w:bottom w:w="70" w:type="dxa"/>
              <w:end w:w="90" w:type="dxa"/>
            </w:tcMar>
            <w:vAlign w:val="center"/>
          </w:tcPr>
          <w:p>
            <w:pPr>
              <w:spacing w:after="0" w:before="0"/>
            </w:pPr>
            <w:r/>
            <w:r>
              <w:rPr>
                <w:rFonts w:ascii="Aptos" w:hAnsi="Aptos"/>
                <w:b w:val="0"/>
                <w:color w:val="172B3A"/>
                <w:sz w:val="16"/>
              </w:rPr>
              <w:t>Nodes reach registry:443, Prism:9440, DNS:53, NTP:123, control-plane API:6443, storage endpoints, and trusted east-west peers.</w:t>
            </w:r>
          </w:p>
        </w:tc>
      </w:tr>
    </w:tbl>
    <w:p>
      <w:pPr>
        <w:spacing w:after="0"/>
      </w:pPr>
    </w:p>
    <w:p>
      <w:pPr>
        <w:spacing w:after="40"/>
      </w:pPr>
      <w:r>
        <w:rPr>
          <w:b/>
          <w:color w:val="1F6E8C"/>
          <w:sz w:val="18"/>
        </w:rPr>
        <w:t>MTU validation</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MTU path test from a disposable VM on the NKP node subnet.</w:t>
            </w:r>
            <w:r>
              <w:br/>
            </w:r>
            <w:r>
              <w:rPr>
                <w:rFonts w:ascii="Consolas" w:hAnsi="Consolas" w:eastAsia="Consolas"/>
                <w:color w:val="172B3A"/>
                <w:sz w:val="16"/>
              </w:rPr>
              <w:t># 1472-byte ICMP payload corresponds to a 1500-byte IPv4 frame without extra encapsulation.</w:t>
            </w:r>
            <w:r>
              <w:br/>
            </w:r>
            <w:r>
              <w:rPr>
                <w:rFonts w:ascii="Consolas" w:hAnsi="Consolas" w:eastAsia="Consolas"/>
                <w:color w:val="172B3A"/>
                <w:sz w:val="16"/>
              </w:rPr>
              <w:t>ping -M do -s 1472 -c 4 registry.customer.local</w:t>
            </w:r>
            <w:r>
              <w:br/>
            </w:r>
            <w:r>
              <w:rPr>
                <w:rFonts w:ascii="Consolas" w:hAnsi="Consolas" w:eastAsia="Consolas"/>
                <w:color w:val="172B3A"/>
                <w:sz w:val="16"/>
              </w:rPr>
              <w:t># Reduce the payload until it succeeds and compare with the designed underlay/CNI MTU.</w:t>
            </w:r>
          </w:p>
        </w:tc>
      </w:tr>
    </w:tbl>
    <w:p>
      <w:pPr>
        <w:spacing w:after="0"/>
      </w:pPr>
    </w:p>
    <w:p>
      <w:pPr>
        <w:pStyle w:val="Heading2"/>
        <w:keepNext/>
      </w:pPr>
      <w:r>
        <w:t>10.4 Storage container</w:t>
      </w:r>
    </w:p>
    <w:p>
      <w:pPr>
        <w:ind w:left="312" w:hanging="142"/>
      </w:pPr>
      <w:r>
        <w:t xml:space="preserve">☐ </w:t>
      </w:r>
      <w:r>
        <w:t>Storage container exists and is accessible from the selected AHV cluster.</w:t>
      </w:r>
    </w:p>
    <w:p>
      <w:pPr>
        <w:ind w:left="312" w:hanging="142"/>
      </w:pPr>
      <w:r>
        <w:t xml:space="preserve">☐ </w:t>
      </w:r>
      <w:r>
        <w:t>Capacity, replication factor, compression/deduplication, encryption, and failure-domain settings meet the customer SLO.</w:t>
      </w:r>
    </w:p>
    <w:p>
      <w:pPr>
        <w:ind w:left="312" w:hanging="142"/>
      </w:pPr>
      <w:r>
        <w:t xml:space="preserve">☐ </w:t>
      </w:r>
      <w:r>
        <w:t>Nutanix CSI endpoints and required iSCSI/NFS paths are permitted for the storage type in use.</w:t>
      </w:r>
    </w:p>
    <w:p>
      <w:pPr>
        <w:ind w:left="312" w:hanging="142"/>
      </w:pPr>
      <w:r>
        <w:t xml:space="preserve">☐ </w:t>
      </w:r>
      <w:r>
        <w:t>Default StorageClass decision, reclaim policy, expansion, snapshots, and backup ownership are documented.</w:t>
      </w:r>
    </w:p>
    <w:p>
      <w:pPr>
        <w:pStyle w:val="Heading2"/>
        <w:keepNext/>
      </w:pPr>
      <w:r>
        <w:t>10.5 Import the NKP-qualified node image</w:t>
      </w:r>
    </w:p>
    <w:p>
      <w:pPr>
        <w:pStyle w:val="ListNumber"/>
      </w:pPr>
      <w:r>
        <w:t>Verify the node-image file SHA256 against the transfer manifest.</w:t>
      </w:r>
    </w:p>
    <w:p>
      <w:pPr>
        <w:pStyle w:val="ListNumber"/>
      </w:pPr>
      <w:r>
        <w:t>In Prism Central Image Service, create a new disk image using the exact release-qualified image file. Preserve the vendor filename in the description.</w:t>
      </w:r>
    </w:p>
    <w:p>
      <w:pPr>
        <w:pStyle w:val="ListNumber"/>
      </w:pPr>
      <w:r>
        <w:t>Select the correct image type and wait for the image state to become active/ready on the target cluster.</w:t>
      </w:r>
    </w:p>
    <w:p>
      <w:pPr>
        <w:pStyle w:val="ListNumber"/>
      </w:pPr>
      <w:r>
        <w:t>Record Prism image name, UUID, source filename, SHA256, upload UTC, and target cluster.</w:t>
      </w:r>
    </w:p>
    <w:p>
      <w:pPr>
        <w:pStyle w:val="ListNumber"/>
      </w:pPr>
      <w:r>
        <w:t>Create one disposable VM from the image on the target subnet to validate boot, DHCP/IPAM, DNS, NTP, route, MTU, and registry TLS. Delete only the disposable VM after evidence is captured.</w:t>
      </w:r>
    </w:p>
    <w:tbl>
      <w:tblPr>
        <w:tblW w:type="auto" w:w="0"/>
        <w:tblLayout w:type="autofit"/>
        <w:tblLook w:firstColumn="1" w:firstRow="1" w:lastColumn="0" w:lastRow="0" w:noHBand="0" w:noVBand="1" w:val="04A0"/>
      </w:tblPr>
      <w:tblGrid>
        <w:gridCol w:w="198"/>
        <w:gridCol w:w="9921"/>
      </w:tblGrid>
      <w:tr>
        <w:tc>
          <w:tcPr>
            <w:tcW w:type="dxa" w:w="5018"/>
            <w:shd w:fill="B83232"/>
          </w:tcPr>
          <w:p>
            <w:r/>
          </w:p>
        </w:tc>
        <w:tc>
          <w:tcPr>
            <w:tcW w:type="dxa" w:w="5018"/>
            <w:shd w:fill="FDECEC"/>
            <w:tcMar>
              <w:top w:w="100" w:type="dxa"/>
              <w:start w:w="120" w:type="dxa"/>
              <w:bottom w:w="100" w:type="dxa"/>
              <w:end w:w="120" w:type="dxa"/>
            </w:tcMar>
          </w:tcPr>
          <w:p>
            <w:pPr>
              <w:spacing w:after="40"/>
            </w:pPr>
            <w:r/>
            <w:r>
              <w:rPr>
                <w:b/>
                <w:color w:val="B83232"/>
                <w:sz w:val="20"/>
              </w:rPr>
              <w:t>Do not substitute images</w:t>
            </w:r>
          </w:p>
          <w:p>
            <w:pPr>
              <w:spacing w:after="0" w:line="252" w:lineRule="auto"/>
            </w:pPr>
            <w:r>
              <w:rPr>
                <w:color w:val="172B3A"/>
                <w:sz w:val="18"/>
              </w:rPr>
              <w:t>A generic Ubuntu/RHEL cloud image or an image from another NKP/Kubernetes patch can fail because cloud-init, Kubernetes packages, container runtime, certificates, or provider expectations differ. Use the image mapped to the exact NKP release.</w:t>
            </w:r>
          </w:p>
        </w:tc>
      </w:tr>
    </w:tbl>
    <w:p>
      <w:pPr>
        <w:spacing w:after="0"/>
      </w:pPr>
    </w:p>
    <w:p>
      <w:pPr>
        <w:pStyle w:val="Heading2"/>
        <w:keepNext/>
      </w:pPr>
      <w:r>
        <w:t>10.6 Read-only Prism preflight</w:t>
      </w:r>
    </w:p>
    <w:p>
      <w:pPr>
        <w:spacing w:after="40"/>
      </w:pPr>
      <w:r>
        <w:rPr>
          <w:b/>
          <w:color w:val="1F6E8C"/>
          <w:sz w:val="18"/>
        </w:rPr>
        <w:t>Prism preflight</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ENV_FILE=/opt/nkp/config/customer.env   /opt/nkp/scripts/08_prism_preflight.sh</w:t>
            </w:r>
            <w:r>
              <w:br/>
            </w:r>
            <w:r>
              <w:rPr>
                <w:rFonts w:ascii="Consolas" w:hAnsi="Consolas" w:eastAsia="Consolas"/>
                <w:color w:val="172B3A"/>
                <w:sz w:val="16"/>
              </w:rPr>
            </w:r>
            <w:r>
              <w:br/>
            </w:r>
            <w:r>
              <w:rPr>
                <w:rFonts w:ascii="Consolas" w:hAnsi="Consolas" w:eastAsia="Consolas"/>
                <w:color w:val="172B3A"/>
                <w:sz w:val="16"/>
              </w:rPr>
              <w:t># The script validates DNS/TCP/TLS and attempts read-only v3 lists for clusters,</w:t>
            </w:r>
            <w:r>
              <w:br/>
            </w:r>
            <w:r>
              <w:rPr>
                <w:rFonts w:ascii="Consolas" w:hAnsi="Consolas" w:eastAsia="Consolas"/>
                <w:color w:val="172B3A"/>
                <w:sz w:val="16"/>
              </w:rPr>
              <w:t># subnets, and images. If the customer Prism release requires a different API,</w:t>
            </w:r>
            <w:r>
              <w:br/>
            </w:r>
            <w:r>
              <w:rPr>
                <w:rFonts w:ascii="Consolas" w:hAnsi="Consolas" w:eastAsia="Consolas"/>
                <w:color w:val="172B3A"/>
                <w:sz w:val="16"/>
              </w:rPr>
              <w:t># use the release-supported endpoint and retain equivalent evidence.</w:t>
            </w:r>
          </w:p>
        </w:tc>
      </w:tr>
    </w:tbl>
    <w:p>
      <w:pPr>
        <w:spacing w:after="0"/>
      </w:pPr>
    </w:p>
    <w:tbl>
      <w:tblPr>
        <w:tblW w:type="auto" w:w="0"/>
        <w:tblLayout w:type="autofit"/>
        <w:tblLook w:firstColumn="1" w:firstRow="1" w:lastColumn="0" w:lastRow="0" w:noHBand="0" w:noVBand="1" w:val="04A0"/>
      </w:tblPr>
      <w:tblGrid>
        <w:gridCol w:w="198"/>
        <w:gridCol w:w="9921"/>
      </w:tblGrid>
      <w:tr>
        <w:tc>
          <w:tcPr>
            <w:tcW w:type="dxa" w:w="5018"/>
            <w:shd w:fill="2F855A"/>
          </w:tcPr>
          <w:p>
            <w:r/>
          </w:p>
        </w:tc>
        <w:tc>
          <w:tcPr>
            <w:tcW w:type="dxa" w:w="5018"/>
            <w:shd w:fill="EAF7EF"/>
            <w:tcMar>
              <w:top w:w="100" w:type="dxa"/>
              <w:start w:w="120" w:type="dxa"/>
              <w:bottom w:w="100" w:type="dxa"/>
              <w:end w:w="120" w:type="dxa"/>
            </w:tcMar>
          </w:tcPr>
          <w:p>
            <w:pPr>
              <w:spacing w:after="40"/>
            </w:pPr>
            <w:r/>
            <w:r>
              <w:rPr>
                <w:b/>
                <w:color w:val="2F855A"/>
                <w:sz w:val="20"/>
              </w:rPr>
              <w:t>Gate 4 – Nutanix platform ready</w:t>
            </w:r>
          </w:p>
          <w:p>
            <w:pPr>
              <w:spacing w:after="0" w:line="252" w:lineRule="auto"/>
            </w:pPr>
            <w:r>
              <w:rPr>
                <w:color w:val="172B3A"/>
                <w:sz w:val="18"/>
              </w:rPr>
              <w:t>Go only when compatibility is approved, the service account works, target cluster/subnet/storage/image are exact matches, the disposable node-image VM passes internal network tests, VIP/pool reservations are signed off, and capacity is available.</w:t>
            </w:r>
          </w:p>
        </w:tc>
      </w:tr>
    </w:tbl>
    <w:p>
      <w:pPr>
        <w:spacing w:after="0"/>
      </w:pPr>
    </w:p>
    <w:p>
      <w:pPr>
        <w:pStyle w:val="Heading1"/>
        <w:keepNext/>
      </w:pPr>
      <w:r>
        <w:t>11. Release-specific CLI validation and deployment dry run</w:t>
      </w:r>
    </w:p>
    <w:p>
      <w:pPr>
        <w:pStyle w:val="Heading2"/>
        <w:keepNext/>
      </w:pPr>
      <w:r>
        <w:t>11.1 Capture the installed CLI contract</w:t>
      </w:r>
    </w:p>
    <w:p>
      <w:pPr>
        <w:spacing w:after="40"/>
      </w:pPr>
      <w:r>
        <w:rPr>
          <w:b/>
          <w:color w:val="1F6E8C"/>
          <w:sz w:val="18"/>
        </w:rPr>
        <w:t>CLI contract capture</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ENV_FILE=/opt/nkp/config/customer.env   /opt/nkp/scripts/09_validate_nkp_cli_contract.sh</w:t>
            </w:r>
            <w:r>
              <w:br/>
            </w:r>
            <w:r>
              <w:rPr>
                <w:rFonts w:ascii="Consolas" w:hAnsi="Consolas" w:eastAsia="Consolas"/>
                <w:color w:val="172B3A"/>
                <w:sz w:val="16"/>
              </w:rPr>
            </w:r>
            <w:r>
              <w:br/>
            </w:r>
            <w:r>
              <w:rPr>
                <w:rFonts w:ascii="Consolas" w:hAnsi="Consolas" w:eastAsia="Consolas"/>
                <w:color w:val="172B3A"/>
                <w:sz w:val="16"/>
              </w:rPr>
              <w:t># Review generated files in /opt/nkp/evidence/nkp-cli-contract-&lt;UTC&gt;/:</w:t>
            </w:r>
            <w:r>
              <w:br/>
            </w:r>
            <w:r>
              <w:rPr>
                <w:rFonts w:ascii="Consolas" w:hAnsi="Consolas" w:eastAsia="Consolas"/>
                <w:color w:val="172B3A"/>
                <w:sz w:val="16"/>
              </w:rPr>
              <w:t>#   version.txt</w:t>
            </w:r>
            <w:r>
              <w:br/>
            </w:r>
            <w:r>
              <w:rPr>
                <w:rFonts w:ascii="Consolas" w:hAnsi="Consolas" w:eastAsia="Consolas"/>
                <w:color w:val="172B3A"/>
                <w:sz w:val="16"/>
              </w:rPr>
              <w:t>#   create-cluster-nutanix-help.txt</w:t>
            </w:r>
            <w:r>
              <w:br/>
            </w:r>
            <w:r>
              <w:rPr>
                <w:rFonts w:ascii="Consolas" w:hAnsi="Consolas" w:eastAsia="Consolas"/>
                <w:color w:val="172B3A"/>
                <w:sz w:val="16"/>
              </w:rPr>
              <w:t>#   push-bundle-help.txt</w:t>
            </w:r>
            <w:r>
              <w:br/>
            </w:r>
            <w:r>
              <w:rPr>
                <w:rFonts w:ascii="Consolas" w:hAnsi="Consolas" w:eastAsia="Consolas"/>
                <w:color w:val="172B3A"/>
                <w:sz w:val="16"/>
              </w:rPr>
              <w:t>#   get-kubeconfig-help.txt</w:t>
            </w:r>
            <w:r>
              <w:br/>
            </w:r>
            <w:r>
              <w:rPr>
                <w:rFonts w:ascii="Consolas" w:hAnsi="Consolas" w:eastAsia="Consolas"/>
                <w:color w:val="172B3A"/>
                <w:sz w:val="16"/>
              </w:rPr>
              <w:t>#   describe-cluster-help.txt</w:t>
            </w:r>
            <w:r>
              <w:br/>
            </w:r>
            <w:r>
              <w:rPr>
                <w:rFonts w:ascii="Consolas" w:hAnsi="Consolas" w:eastAsia="Consolas"/>
                <w:color w:val="172B3A"/>
                <w:sz w:val="16"/>
              </w:rPr>
              <w:t>#   install-help.txt / install-kommander-help.txt</w:t>
            </w:r>
            <w:r>
              <w:br/>
            </w:r>
            <w:r>
              <w:rPr>
                <w:rFonts w:ascii="Consolas" w:hAnsi="Consolas" w:eastAsia="Consolas"/>
                <w:color w:val="172B3A"/>
                <w:sz w:val="16"/>
              </w:rPr>
              <w:t>#   contract-check.txt</w:t>
            </w:r>
          </w:p>
        </w:tc>
      </w:tr>
    </w:tbl>
    <w:p>
      <w:pPr>
        <w:spacing w:after="0"/>
      </w:pPr>
    </w:p>
    <w:p>
      <w:pPr>
        <w:pStyle w:val="Heading2"/>
        <w:keepNext/>
      </w:pPr>
      <w:r>
        <w:t>11.2 Parameter file review</w:t>
      </w:r>
    </w:p>
    <w:p>
      <w:pPr>
        <w:spacing w:after="40"/>
      </w:pPr>
      <w:r>
        <w:rPr>
          <w:b/>
          <w:color w:val="1F6E8C"/>
          <w:sz w:val="18"/>
        </w:rPr>
        <w:t>Parameter-file validation</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sudo chmod 600 /opt/nkp/config/customer.env</w:t>
            </w:r>
            <w:r>
              <w:br/>
            </w:r>
            <w:r>
              <w:rPr>
                <w:rFonts w:ascii="Consolas" w:hAnsi="Consolas" w:eastAsia="Consolas"/>
                <w:color w:val="172B3A"/>
                <w:sz w:val="16"/>
              </w:rPr>
              <w:t>sudo grep -n '&lt;.*&gt;' /opt/nkp/config/customer.env   &amp;&amp; echo 'BLOCKER: placeholders remain'   || echo 'PASS: no angle-bracket placeholders detected'</w:t>
            </w:r>
            <w:r>
              <w:br/>
            </w:r>
            <w:r>
              <w:rPr>
                <w:rFonts w:ascii="Consolas" w:hAnsi="Consolas" w:eastAsia="Consolas"/>
                <w:color w:val="172B3A"/>
                <w:sz w:val="16"/>
              </w:rPr>
            </w:r>
            <w:r>
              <w:br/>
            </w:r>
            <w:r>
              <w:rPr>
                <w:rFonts w:ascii="Consolas" w:hAnsi="Consolas" w:eastAsia="Consolas"/>
                <w:color w:val="172B3A"/>
                <w:sz w:val="16"/>
              </w:rPr>
              <w:t># Confirm the file contains no secrets.</w:t>
            </w:r>
            <w:r>
              <w:br/>
            </w:r>
            <w:r>
              <w:rPr>
                <w:rFonts w:ascii="Consolas" w:hAnsi="Consolas" w:eastAsia="Consolas"/>
                <w:color w:val="172B3A"/>
                <w:sz w:val="16"/>
              </w:rPr>
              <w:t>sudo grep -niE 'password|token|private.?key|secret'   /opt/nkp/config/customer.env</w:t>
            </w:r>
          </w:p>
        </w:tc>
      </w:tr>
    </w:tbl>
    <w:p>
      <w:pPr>
        <w:spacing w:after="0"/>
      </w:pPr>
    </w:p>
    <w:p>
      <w:pPr>
        <w:pStyle w:val="Heading2"/>
        <w:keepNext/>
      </w:pPr>
      <w:r>
        <w:t>11.3 Render the exact command without changing anything</w:t>
      </w:r>
    </w:p>
    <w:p>
      <w:pPr>
        <w:spacing w:after="40"/>
      </w:pPr>
      <w:r>
        <w:rPr>
          <w:b/>
          <w:color w:val="1F6E8C"/>
          <w:sz w:val="18"/>
        </w:rPr>
        <w:t>Deployment dry run</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ENV_FILE=/opt/nkp/config/customer.env   /opt/nkp/scripts/10_create_nkp_cluster.sh --dry-run</w:t>
            </w:r>
            <w:r>
              <w:br/>
            </w:r>
            <w:r>
              <w:rPr>
                <w:rFonts w:ascii="Consolas" w:hAnsi="Consolas" w:eastAsia="Consolas"/>
                <w:color w:val="172B3A"/>
                <w:sz w:val="16"/>
              </w:rPr>
            </w:r>
            <w:r>
              <w:br/>
            </w:r>
            <w:r>
              <w:rPr>
                <w:rFonts w:ascii="Consolas" w:hAnsi="Consolas" w:eastAsia="Consolas"/>
                <w:color w:val="172B3A"/>
                <w:sz w:val="16"/>
              </w:rPr>
              <w:t># Review:</w:t>
            </w:r>
            <w:r>
              <w:br/>
            </w:r>
            <w:r>
              <w:rPr>
                <w:rFonts w:ascii="Consolas" w:hAnsi="Consolas" w:eastAsia="Consolas"/>
                <w:color w:val="172B3A"/>
                <w:sz w:val="16"/>
              </w:rPr>
              <w:t>ls -ltr /opt/nkp/evidence/nkp-create-cluster-*</w:t>
            </w:r>
            <w:r>
              <w:br/>
            </w:r>
            <w:r>
              <w:rPr>
                <w:rFonts w:ascii="Consolas" w:hAnsi="Consolas" w:eastAsia="Consolas"/>
                <w:color w:val="172B3A"/>
                <w:sz w:val="16"/>
              </w:rPr>
              <w:t>cat /opt/nkp/evidence/nkp-create-cluster-command-*.txt</w:t>
            </w:r>
            <w:r>
              <w:br/>
            </w:r>
            <w:r>
              <w:rPr>
                <w:rFonts w:ascii="Consolas" w:hAnsi="Consolas" w:eastAsia="Consolas"/>
                <w:color w:val="172B3A"/>
                <w:sz w:val="16"/>
              </w:rPr>
            </w:r>
            <w:r>
              <w:br/>
            </w:r>
            <w:r>
              <w:rPr>
                <w:rFonts w:ascii="Consolas" w:hAnsi="Consolas" w:eastAsia="Consolas"/>
                <w:color w:val="172B3A"/>
                <w:sz w:val="16"/>
              </w:rPr>
              <w:t># The rendered file redacts passwords. Compare every flag against the captured help.</w:t>
            </w:r>
          </w:p>
        </w:tc>
      </w:tr>
    </w:tbl>
    <w:p>
      <w:pPr>
        <w:spacing w:after="0"/>
      </w:pPr>
    </w:p>
    <w:p>
      <w:pPr>
        <w:pStyle w:val="Heading2"/>
        <w:keepNext/>
      </w:pPr>
      <w:r>
        <w:t>11.4 Dry-run review checklist</w:t>
      </w:r>
    </w:p>
    <w:p>
      <w:pPr>
        <w:ind w:left="312" w:hanging="142"/>
      </w:pPr>
      <w:r>
        <w:t xml:space="preserve">☐ </w:t>
      </w:r>
      <w:r>
        <w:t>Cluster name matches DNS-label requirements and customer naming standards.</w:t>
      </w:r>
    </w:p>
    <w:p>
      <w:pPr>
        <w:ind w:left="312" w:hanging="142"/>
      </w:pPr>
      <w:r>
        <w:t xml:space="preserve">☐ </w:t>
      </w:r>
      <w:r>
        <w:t>Prism endpoint uses the intended FQDN and trusted CA; `NUTANIX_INSECURE=false` unless a formally approved temporary diagnostic is documented.</w:t>
      </w:r>
    </w:p>
    <w:p>
      <w:pPr>
        <w:ind w:left="312" w:hanging="142"/>
      </w:pPr>
      <w:r>
        <w:t xml:space="preserve">☐ </w:t>
      </w:r>
      <w:r>
        <w:t>Control-plane and worker Prism Element cluster names are exact and case-correct.</w:t>
      </w:r>
    </w:p>
    <w:p>
      <w:pPr>
        <w:ind w:left="312" w:hanging="142"/>
      </w:pPr>
      <w:r>
        <w:t xml:space="preserve">☐ </w:t>
      </w:r>
      <w:r>
        <w:t>Subnet and node-image names match Prism; no old image with a similar name exists.</w:t>
      </w:r>
    </w:p>
    <w:p>
      <w:pPr>
        <w:ind w:left="312" w:hanging="142"/>
      </w:pPr>
      <w:r>
        <w:t xml:space="preserve">☐ </w:t>
      </w:r>
      <w:r>
        <w:t>Control-plane VIP and service LoadBalancer pool are reserved and non-overlapping.</w:t>
      </w:r>
    </w:p>
    <w:p>
      <w:pPr>
        <w:ind w:left="312" w:hanging="142"/>
      </w:pPr>
      <w:r>
        <w:t xml:space="preserve">☐ </w:t>
      </w:r>
      <w:r>
        <w:t>Pod/service/bootstrap CIDRs do not overlap any customer route.</w:t>
      </w:r>
    </w:p>
    <w:p>
      <w:pPr>
        <w:ind w:left="312" w:hanging="142"/>
      </w:pPr>
      <w:r>
        <w:t xml:space="preserve">☐ </w:t>
      </w:r>
      <w:r>
        <w:t>Replica counts and VM sizing meet availability and capacity requirements.</w:t>
      </w:r>
    </w:p>
    <w:p>
      <w:pPr>
        <w:ind w:left="312" w:hanging="142"/>
      </w:pPr>
      <w:r>
        <w:t xml:space="preserve">☐ </w:t>
      </w:r>
      <w:r>
        <w:t>Registry mirror URL/project and CA are correct; service account has pull rights from all nodes.</w:t>
      </w:r>
    </w:p>
    <w:p>
      <w:pPr>
        <w:ind w:left="312" w:hanging="142"/>
      </w:pPr>
      <w:r>
        <w:t xml:space="preserve">☐ </w:t>
      </w:r>
      <w:r>
        <w:t>Kubernetes version is explicitly supported by the exact NKP release, or the NKP default is intentionally accepted and recorded.</w:t>
      </w:r>
    </w:p>
    <w:p>
      <w:pPr>
        <w:ind w:left="312" w:hanging="142"/>
      </w:pPr>
      <w:r>
        <w:t xml:space="preserve">☐ </w:t>
      </w:r>
      <w:r>
        <w:t>No password appears in the redacted command, logs, shell history, or environment capture.</w:t>
      </w:r>
    </w:p>
    <w:tbl>
      <w:tblPr>
        <w:tblW w:type="auto" w:w="0"/>
        <w:tblLayout w:type="autofit"/>
        <w:tblLook w:firstColumn="1" w:firstRow="1" w:lastColumn="0" w:lastRow="0" w:noHBand="0" w:noVBand="1" w:val="04A0"/>
      </w:tblPr>
      <w:tblGrid>
        <w:gridCol w:w="198"/>
        <w:gridCol w:w="9921"/>
      </w:tblGrid>
      <w:tr>
        <w:tc>
          <w:tcPr>
            <w:tcW w:type="dxa" w:w="5018"/>
            <w:shd w:fill="2F855A"/>
          </w:tcPr>
          <w:p>
            <w:r/>
          </w:p>
        </w:tc>
        <w:tc>
          <w:tcPr>
            <w:tcW w:type="dxa" w:w="5018"/>
            <w:shd w:fill="EAF7EF"/>
            <w:tcMar>
              <w:top w:w="100" w:type="dxa"/>
              <w:start w:w="120" w:type="dxa"/>
              <w:bottom w:w="100" w:type="dxa"/>
              <w:end w:w="120" w:type="dxa"/>
            </w:tcMar>
          </w:tcPr>
          <w:p>
            <w:pPr>
              <w:spacing w:after="40"/>
            </w:pPr>
            <w:r/>
            <w:r>
              <w:rPr>
                <w:b/>
                <w:color w:val="2F855A"/>
                <w:sz w:val="20"/>
              </w:rPr>
              <w:t>Gate 5 – Dry run approved</w:t>
            </w:r>
          </w:p>
          <w:p>
            <w:pPr>
              <w:spacing w:after="0" w:line="252" w:lineRule="auto"/>
            </w:pPr>
            <w:r>
              <w:rPr>
                <w:color w:val="172B3A"/>
                <w:sz w:val="18"/>
              </w:rPr>
              <w:t>The change owner, Nutanix platform owner, network/security owner, and deployment operator approve the command, evidence, and rollback plan. The only next command with infrastructure side effects is the cluster-create `--apply` step.</w:t>
            </w:r>
          </w:p>
        </w:tc>
      </w:tr>
    </w:tbl>
    <w:p>
      <w:pPr>
        <w:spacing w:after="0"/>
      </w:pPr>
    </w:p>
    <w:p>
      <w:pPr>
        <w:pStyle w:val="Heading1"/>
        <w:keepNext/>
      </w:pPr>
      <w:r>
        <w:t>12. Execute the NKP cluster deployment</w:t>
      </w:r>
    </w:p>
    <w:p>
      <w:pPr>
        <w:pStyle w:val="Heading2"/>
        <w:keepNext/>
      </w:pPr>
      <w:r>
        <w:t>12.1 Pre-change snapshot</w:t>
      </w:r>
    </w:p>
    <w:p>
      <w:pPr>
        <w:spacing w:after="40"/>
      </w:pPr>
      <w:r>
        <w:rPr>
          <w:b/>
          <w:color w:val="1F6E8C"/>
          <w:sz w:val="18"/>
        </w:rPr>
        <w:t>Final pre-change checks</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date -u +%FT%TZ</w:t>
            </w:r>
            <w:r>
              <w:br/>
            </w:r>
            <w:r>
              <w:rPr>
                <w:rFonts w:ascii="Consolas" w:hAnsi="Consolas" w:eastAsia="Consolas"/>
                <w:color w:val="172B3A"/>
                <w:sz w:val="16"/>
              </w:rPr>
              <w:t>ENV_FILE=/opt/nkp/config/customer.env /opt/nkp/scripts/02_bastion_preflight.sh</w:t>
            </w:r>
            <w:r>
              <w:br/>
            </w:r>
            <w:r>
              <w:rPr>
                <w:rFonts w:ascii="Consolas" w:hAnsi="Consolas" w:eastAsia="Consolas"/>
                <w:color w:val="172B3A"/>
                <w:sz w:val="16"/>
              </w:rPr>
              <w:t>ENV_FILE=/opt/nkp/config/customer.env /opt/nkp/scripts/08_prism_preflight.sh</w:t>
            </w:r>
            <w:r>
              <w:br/>
            </w:r>
            <w:r>
              <w:rPr>
                <w:rFonts w:ascii="Consolas" w:hAnsi="Consolas" w:eastAsia="Consolas"/>
                <w:color w:val="172B3A"/>
                <w:sz w:val="16"/>
              </w:rPr>
              <w:t>ENV_FILE=/opt/nkp/config/customer.env /opt/nkp/scripts/09_validate_nkp_cli_contract.sh</w:t>
            </w:r>
            <w:r>
              <w:br/>
            </w:r>
            <w:r>
              <w:rPr>
                <w:rFonts w:ascii="Consolas" w:hAnsi="Consolas" w:eastAsia="Consolas"/>
                <w:color w:val="172B3A"/>
                <w:sz w:val="16"/>
              </w:rPr>
            </w:r>
            <w:r>
              <w:br/>
            </w:r>
            <w:r>
              <w:rPr>
                <w:rFonts w:ascii="Consolas" w:hAnsi="Consolas" w:eastAsia="Consolas"/>
                <w:color w:val="172B3A"/>
                <w:sz w:val="16"/>
              </w:rPr>
              <w:t>df -hT /opt/nkp /var/lib/docker /srv/registry</w:t>
            </w:r>
            <w:r>
              <w:br/>
            </w:r>
            <w:r>
              <w:rPr>
                <w:rFonts w:ascii="Consolas" w:hAnsi="Consolas" w:eastAsia="Consolas"/>
                <w:color w:val="172B3A"/>
                <w:sz w:val="16"/>
              </w:rPr>
              <w:t>systemctl is-active docker</w:t>
            </w:r>
            <w:r>
              <w:br/>
            </w:r>
            <w:r>
              <w:rPr>
                <w:rFonts w:ascii="Consolas" w:hAnsi="Consolas" w:eastAsia="Consolas"/>
                <w:color w:val="172B3A"/>
                <w:sz w:val="16"/>
              </w:rPr>
              <w:t>curl --fail --cacert /opt/nkp/pki/registry-ca-chain.crt   https://registry.customer.local/v2/</w:t>
            </w:r>
          </w:p>
        </w:tc>
      </w:tr>
    </w:tbl>
    <w:p>
      <w:pPr>
        <w:spacing w:after="0"/>
      </w:pPr>
    </w:p>
    <w:p>
      <w:pPr>
        <w:pStyle w:val="Heading2"/>
        <w:keepNext/>
      </w:pPr>
      <w:r>
        <w:t>12.2 Create the cluster</w:t>
      </w:r>
    </w:p>
    <w:p>
      <w:pPr>
        <w:spacing w:after="40"/>
      </w:pPr>
      <w:r>
        <w:rPr>
          <w:b/>
          <w:color w:val="1F6E8C"/>
          <w:sz w:val="18"/>
        </w:rPr>
        <w:t>Cluster creation – mutating step</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Run in a persistent terminal multiplexer if customer policy permits.</w:t>
            </w:r>
            <w:r>
              <w:br/>
            </w:r>
            <w:r>
              <w:rPr>
                <w:rFonts w:ascii="Consolas" w:hAnsi="Consolas" w:eastAsia="Consolas"/>
                <w:color w:val="172B3A"/>
                <w:sz w:val="16"/>
              </w:rPr>
              <w:t>tmux new -s nkp-deploy</w:t>
            </w:r>
            <w:r>
              <w:br/>
            </w:r>
            <w:r>
              <w:rPr>
                <w:rFonts w:ascii="Consolas" w:hAnsi="Consolas" w:eastAsia="Consolas"/>
                <w:color w:val="172B3A"/>
                <w:sz w:val="16"/>
              </w:rPr>
            </w:r>
            <w:r>
              <w:br/>
            </w:r>
            <w:r>
              <w:rPr>
                <w:rFonts w:ascii="Consolas" w:hAnsi="Consolas" w:eastAsia="Consolas"/>
                <w:color w:val="172B3A"/>
                <w:sz w:val="16"/>
              </w:rPr>
              <w:t>ENV_FILE=/opt/nkp/config/customer.env   /opt/nkp/scripts/10_create_nkp_cluster.sh --apply</w:t>
            </w:r>
            <w:r>
              <w:br/>
            </w:r>
            <w:r>
              <w:rPr>
                <w:rFonts w:ascii="Consolas" w:hAnsi="Consolas" w:eastAsia="Consolas"/>
                <w:color w:val="172B3A"/>
                <w:sz w:val="16"/>
              </w:rPr>
            </w:r>
            <w:r>
              <w:br/>
            </w:r>
            <w:r>
              <w:rPr>
                <w:rFonts w:ascii="Consolas" w:hAnsi="Consolas" w:eastAsia="Consolas"/>
                <w:color w:val="172B3A"/>
                <w:sz w:val="16"/>
              </w:rPr>
              <w:t># The script displays a redacted command and requires typing the exact cluster name.</w:t>
            </w:r>
            <w:r>
              <w:br/>
            </w:r>
            <w:r>
              <w:rPr>
                <w:rFonts w:ascii="Consolas" w:hAnsi="Consolas" w:eastAsia="Consolas"/>
                <w:color w:val="172B3A"/>
                <w:sz w:val="16"/>
              </w:rPr>
              <w:t># Do not close the session. Preserve the full log under /opt/nkp/logs/.</w:t>
            </w:r>
          </w:p>
        </w:tc>
      </w:tr>
    </w:tbl>
    <w:p>
      <w:pPr>
        <w:spacing w:after="0"/>
      </w:pPr>
    </w:p>
    <w:p>
      <w:pPr>
        <w:pStyle w:val="Heading2"/>
        <w:keepNext/>
      </w:pPr>
      <w:r>
        <w:t>12.3 Monitor the bootstrap and Nutanix VM lifecycle</w:t>
      </w:r>
    </w:p>
    <w:p>
      <w:pPr>
        <w:spacing w:after="40"/>
      </w:pPr>
      <w:r>
        <w:rPr>
          <w:b/>
          <w:color w:val="1F6E8C"/>
          <w:sz w:val="18"/>
        </w:rPr>
        <w:t>Bootstrap monitoring</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In a second terminal, monitor host and container runtime.</w:t>
            </w:r>
            <w:r>
              <w:br/>
            </w:r>
            <w:r>
              <w:rPr>
                <w:rFonts w:ascii="Consolas" w:hAnsi="Consolas" w:eastAsia="Consolas"/>
                <w:color w:val="172B3A"/>
                <w:sz w:val="16"/>
              </w:rPr>
              <w:t>watch -n 10 'date -u; docker ps --format "table {{.Names}}</w:t>
              <w:tab/>
              <w:t>{{.Status}}"; df -h /var/lib/docker /opt/nkp'</w:t>
            </w:r>
            <w:r>
              <w:br/>
            </w:r>
            <w:r>
              <w:rPr>
                <w:rFonts w:ascii="Consolas" w:hAnsi="Consolas" w:eastAsia="Consolas"/>
                <w:color w:val="172B3A"/>
                <w:sz w:val="16"/>
              </w:rPr>
            </w:r>
            <w:r>
              <w:br/>
            </w:r>
            <w:r>
              <w:rPr>
                <w:rFonts w:ascii="Consolas" w:hAnsi="Consolas" w:eastAsia="Consolas"/>
                <w:color w:val="172B3A"/>
                <w:sz w:val="16"/>
              </w:rPr>
              <w:t># Inspect logs without deleting containers.</w:t>
            </w:r>
            <w:r>
              <w:br/>
            </w:r>
            <w:r>
              <w:rPr>
                <w:rFonts w:ascii="Consolas" w:hAnsi="Consolas" w:eastAsia="Consolas"/>
                <w:color w:val="172B3A"/>
                <w:sz w:val="16"/>
              </w:rPr>
              <w:t>docker ps -a</w:t>
            </w:r>
            <w:r>
              <w:br/>
            </w:r>
            <w:r>
              <w:rPr>
                <w:rFonts w:ascii="Consolas" w:hAnsi="Consolas" w:eastAsia="Consolas"/>
                <w:color w:val="172B3A"/>
                <w:sz w:val="16"/>
              </w:rPr>
              <w:t>docker logs &lt;BOOTSTRAP_CONTAINER_NAME&gt; --tail 200</w:t>
            </w:r>
            <w:r>
              <w:br/>
            </w:r>
            <w:r>
              <w:rPr>
                <w:rFonts w:ascii="Consolas" w:hAnsi="Consolas" w:eastAsia="Consolas"/>
                <w:color w:val="172B3A"/>
                <w:sz w:val="16"/>
              </w:rPr>
            </w:r>
            <w:r>
              <w:br/>
            </w:r>
            <w:r>
              <w:rPr>
                <w:rFonts w:ascii="Consolas" w:hAnsi="Consolas" w:eastAsia="Consolas"/>
                <w:color w:val="172B3A"/>
                <w:sz w:val="16"/>
              </w:rPr>
              <w:t># In Prism Central, monitor:</w:t>
            </w:r>
            <w:r>
              <w:br/>
            </w:r>
            <w:r>
              <w:rPr>
                <w:rFonts w:ascii="Consolas" w:hAnsi="Consolas" w:eastAsia="Consolas"/>
                <w:color w:val="172B3A"/>
                <w:sz w:val="16"/>
              </w:rPr>
              <w:t># - VM creation and power state</w:t>
            </w:r>
            <w:r>
              <w:br/>
            </w:r>
            <w:r>
              <w:rPr>
                <w:rFonts w:ascii="Consolas" w:hAnsi="Consolas" w:eastAsia="Consolas"/>
                <w:color w:val="172B3A"/>
                <w:sz w:val="16"/>
              </w:rPr>
              <w:t># - IP assignment</w:t>
            </w:r>
            <w:r>
              <w:br/>
            </w:r>
            <w:r>
              <w:rPr>
                <w:rFonts w:ascii="Consolas" w:hAnsi="Consolas" w:eastAsia="Consolas"/>
                <w:color w:val="172B3A"/>
                <w:sz w:val="16"/>
              </w:rPr>
              <w:t># - image clone/task failures</w:t>
            </w:r>
            <w:r>
              <w:br/>
            </w:r>
            <w:r>
              <w:rPr>
                <w:rFonts w:ascii="Consolas" w:hAnsi="Consolas" w:eastAsia="Consolas"/>
                <w:color w:val="172B3A"/>
                <w:sz w:val="16"/>
              </w:rPr>
              <w:t># - control-plane and worker count</w:t>
            </w:r>
            <w:r>
              <w:br/>
            </w:r>
            <w:r>
              <w:rPr>
                <w:rFonts w:ascii="Consolas" w:hAnsi="Consolas" w:eastAsia="Consolas"/>
                <w:color w:val="172B3A"/>
                <w:sz w:val="16"/>
              </w:rPr>
              <w:t># - storage/container capacity</w:t>
            </w:r>
            <w:r>
              <w:br/>
            </w:r>
            <w:r>
              <w:rPr>
                <w:rFonts w:ascii="Consolas" w:hAnsi="Consolas" w:eastAsia="Consolas"/>
                <w:color w:val="172B3A"/>
                <w:sz w:val="16"/>
              </w:rPr>
              <w:t># - network address exhaustion</w:t>
            </w:r>
          </w:p>
        </w:tc>
      </w:tr>
    </w:tbl>
    <w:p>
      <w:pPr>
        <w:spacing w:after="0"/>
      </w:pPr>
    </w:p>
    <w:p>
      <w:pPr>
        <w:pStyle w:val="Heading2"/>
        <w:keepNext/>
      </w:pPr>
      <w:r>
        <w:t>12.4 Retrieve kubeconfig and initial status</w:t>
      </w:r>
    </w:p>
    <w:p>
      <w:pPr>
        <w:spacing w:after="40"/>
      </w:pPr>
      <w:r>
        <w:rPr>
          <w:b/>
          <w:color w:val="1F6E8C"/>
          <w:sz w:val="18"/>
        </w:rPr>
        <w:t>Kubeconfig retrieval</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ENV_FILE=/opt/nkp/config/customer.env   /opt/nkp/scripts/11_monitor_and_get_kubeconfig.sh --dry-run</w:t>
            </w:r>
            <w:r>
              <w:br/>
            </w:r>
            <w:r>
              <w:rPr>
                <w:rFonts w:ascii="Consolas" w:hAnsi="Consolas" w:eastAsia="Consolas"/>
                <w:color w:val="172B3A"/>
                <w:sz w:val="16"/>
              </w:rPr>
            </w:r>
            <w:r>
              <w:br/>
            </w:r>
            <w:r>
              <w:rPr>
                <w:rFonts w:ascii="Consolas" w:hAnsi="Consolas" w:eastAsia="Consolas"/>
                <w:color w:val="172B3A"/>
                <w:sz w:val="16"/>
              </w:rPr>
              <w:t>ENV_FILE=/opt/nkp/config/customer.env   /opt/nkp/scripts/11_monitor_and_get_kubeconfig.sh --apply</w:t>
            </w:r>
            <w:r>
              <w:br/>
            </w:r>
            <w:r>
              <w:rPr>
                <w:rFonts w:ascii="Consolas" w:hAnsi="Consolas" w:eastAsia="Consolas"/>
                <w:color w:val="172B3A"/>
                <w:sz w:val="16"/>
              </w:rPr>
            </w:r>
            <w:r>
              <w:br/>
            </w:r>
            <w:r>
              <w:rPr>
                <w:rFonts w:ascii="Consolas" w:hAnsi="Consolas" w:eastAsia="Consolas"/>
                <w:color w:val="172B3A"/>
                <w:sz w:val="16"/>
              </w:rPr>
              <w:t>export KUBECONFIG=/opt/nkp/config/&lt;CLUSTER_NAME&gt;.conf</w:t>
            </w:r>
            <w:r>
              <w:br/>
            </w:r>
            <w:r>
              <w:rPr>
                <w:rFonts w:ascii="Consolas" w:hAnsi="Consolas" w:eastAsia="Consolas"/>
                <w:color w:val="172B3A"/>
                <w:sz w:val="16"/>
              </w:rPr>
              <w:t>chmod 600 "$KUBECONFIG"</w:t>
            </w:r>
            <w:r>
              <w:br/>
            </w:r>
            <w:r>
              <w:rPr>
                <w:rFonts w:ascii="Consolas" w:hAnsi="Consolas" w:eastAsia="Consolas"/>
                <w:color w:val="172B3A"/>
                <w:sz w:val="16"/>
              </w:rPr>
              <w:t>kubectl cluster-info</w:t>
            </w:r>
            <w:r>
              <w:br/>
            </w:r>
            <w:r>
              <w:rPr>
                <w:rFonts w:ascii="Consolas" w:hAnsi="Consolas" w:eastAsia="Consolas"/>
                <w:color w:val="172B3A"/>
                <w:sz w:val="16"/>
              </w:rPr>
              <w:t>kubectl get nodes -o wide</w:t>
            </w:r>
            <w:r>
              <w:br/>
            </w:r>
            <w:r>
              <w:rPr>
                <w:rFonts w:ascii="Consolas" w:hAnsi="Consolas" w:eastAsia="Consolas"/>
                <w:color w:val="172B3A"/>
                <w:sz w:val="16"/>
              </w:rPr>
              <w:t>kubectl get pods -A -o wide</w:t>
            </w:r>
          </w:p>
        </w:tc>
      </w:tr>
    </w:tbl>
    <w:p>
      <w:pPr>
        <w:spacing w:after="0"/>
      </w:pPr>
    </w:p>
    <w:p>
      <w:pPr>
        <w:pStyle w:val="Heading2"/>
        <w:keepNext/>
      </w:pPr>
      <w:r>
        <w:t>12.5 Install/confirm NKP management services</w:t>
      </w:r>
    </w:p>
    <w:p>
      <w:pPr>
        <w:spacing w:after="120" w:line="259" w:lineRule="auto"/>
      </w:pPr>
      <w:r>
        <w:t>The 2.18 product workflow may install management services during cluster creation or expose a separate `nkp install`/Kommander operation. Do not copy a command from an older DKP/NKP release. Use the captured `install-help.txt` and the matching section of the supplied v2.18 guide. Record whether the cluster is self-managed, where CAPI ownership resides, and when the bootstrap cluster can be safely removed.</w:t>
      </w:r>
    </w:p>
    <w:p>
      <w:pPr>
        <w:spacing w:after="40"/>
      </w:pPr>
      <w:r>
        <w:rPr>
          <w:b/>
          <w:color w:val="1F6E8C"/>
          <w:sz w:val="18"/>
        </w:rPr>
        <w:t>Management-service contract discovery</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nkp install --help | tee /opt/nkp/evidence/nkp-install-help.txt</w:t>
            </w:r>
            <w:r>
              <w:br/>
            </w:r>
            <w:r>
              <w:rPr>
                <w:rFonts w:ascii="Consolas" w:hAnsi="Consolas" w:eastAsia="Consolas"/>
                <w:color w:val="172B3A"/>
                <w:sz w:val="16"/>
              </w:rPr>
              <w:t>nkp install kommander --help   | tee /opt/nkp/evidence/nkp-install-kommander-help.txt || true</w:t>
            </w:r>
            <w:r>
              <w:br/>
            </w:r>
            <w:r>
              <w:rPr>
                <w:rFonts w:ascii="Consolas" w:hAnsi="Consolas" w:eastAsia="Consolas"/>
                <w:color w:val="172B3A"/>
                <w:sz w:val="16"/>
              </w:rPr>
            </w:r>
            <w:r>
              <w:br/>
            </w:r>
            <w:r>
              <w:rPr>
                <w:rFonts w:ascii="Consolas" w:hAnsi="Consolas" w:eastAsia="Consolas"/>
                <w:color w:val="172B3A"/>
                <w:sz w:val="16"/>
              </w:rPr>
              <w:t># Execute only the exact 2.18 documented subcommand and configuration.</w:t>
            </w:r>
            <w:r>
              <w:br/>
            </w:r>
            <w:r>
              <w:rPr>
                <w:rFonts w:ascii="Consolas" w:hAnsi="Consolas" w:eastAsia="Consolas"/>
                <w:color w:val="172B3A"/>
                <w:sz w:val="16"/>
              </w:rPr>
              <w:t># Then verify all platform namespaces and deployments:</w:t>
            </w:r>
            <w:r>
              <w:br/>
            </w:r>
            <w:r>
              <w:rPr>
                <w:rFonts w:ascii="Consolas" w:hAnsi="Consolas" w:eastAsia="Consolas"/>
                <w:color w:val="172B3A"/>
                <w:sz w:val="16"/>
              </w:rPr>
              <w:t>kubectl get namespaces</w:t>
            </w:r>
            <w:r>
              <w:br/>
            </w:r>
            <w:r>
              <w:rPr>
                <w:rFonts w:ascii="Consolas" w:hAnsi="Consolas" w:eastAsia="Consolas"/>
                <w:color w:val="172B3A"/>
                <w:sz w:val="16"/>
              </w:rPr>
              <w:t>kubectl get deployments,statefulsets,daemonsets -A</w:t>
            </w:r>
            <w:r>
              <w:br/>
            </w:r>
            <w:r>
              <w:rPr>
                <w:rFonts w:ascii="Consolas" w:hAnsi="Consolas" w:eastAsia="Consolas"/>
                <w:color w:val="172B3A"/>
                <w:sz w:val="16"/>
              </w:rPr>
              <w:t>kubectl get pods -A -o wide</w:t>
            </w:r>
          </w:p>
        </w:tc>
      </w:tr>
    </w:tbl>
    <w:p>
      <w:pPr>
        <w:spacing w:after="0"/>
      </w:pPr>
    </w:p>
    <w:tbl>
      <w:tblPr>
        <w:tblW w:type="auto" w:w="0"/>
        <w:tblLayout w:type="autofit"/>
        <w:tblLook w:firstColumn="1" w:firstRow="1" w:lastColumn="0" w:lastRow="0" w:noHBand="0" w:noVBand="1" w:val="04A0"/>
      </w:tblPr>
      <w:tblGrid>
        <w:gridCol w:w="198"/>
        <w:gridCol w:w="9921"/>
      </w:tblGrid>
      <w:tr>
        <w:tc>
          <w:tcPr>
            <w:tcW w:type="dxa" w:w="5018"/>
            <w:shd w:fill="B83232"/>
          </w:tcPr>
          <w:p>
            <w:r/>
          </w:p>
        </w:tc>
        <w:tc>
          <w:tcPr>
            <w:tcW w:type="dxa" w:w="5018"/>
            <w:shd w:fill="FDECEC"/>
            <w:tcMar>
              <w:top w:w="100" w:type="dxa"/>
              <w:start w:w="120" w:type="dxa"/>
              <w:bottom w:w="100" w:type="dxa"/>
              <w:end w:w="120" w:type="dxa"/>
            </w:tcMar>
          </w:tcPr>
          <w:p>
            <w:pPr>
              <w:spacing w:after="40"/>
            </w:pPr>
            <w:r/>
            <w:r>
              <w:rPr>
                <w:b/>
                <w:color w:val="B83232"/>
                <w:sz w:val="20"/>
              </w:rPr>
              <w:t>Bootstrap ownership warning</w:t>
            </w:r>
          </w:p>
          <w:p>
            <w:pPr>
              <w:spacing w:after="0" w:line="252" w:lineRule="auto"/>
            </w:pPr>
            <w:r>
              <w:rPr>
                <w:color w:val="172B3A"/>
                <w:sz w:val="18"/>
              </w:rPr>
              <w:t>Do not delete a Kind/bootstrap cluster or manually remove CAPI objects until the release workflow confirms that ownership has moved to the intended management cluster. Premature deletion can orphan Nutanix infrastructure.</w:t>
            </w:r>
          </w:p>
        </w:tc>
      </w:tr>
    </w:tbl>
    <w:p>
      <w:pPr>
        <w:spacing w:after="0"/>
      </w:pPr>
    </w:p>
    <w:p>
      <w:pPr>
        <w:pStyle w:val="Heading1"/>
        <w:keepNext/>
      </w:pPr>
      <w:r>
        <w:t>13. Post-deployment validation and customer acceptance</w:t>
      </w:r>
    </w:p>
    <w:p>
      <w:pPr>
        <w:pStyle w:val="Heading2"/>
        <w:keepNext/>
      </w:pPr>
      <w:r>
        <w:t>13.1 Read-only health validation</w:t>
      </w:r>
    </w:p>
    <w:p>
      <w:pPr>
        <w:spacing w:after="40"/>
      </w:pPr>
      <w:r>
        <w:rPr>
          <w:b/>
          <w:color w:val="1F6E8C"/>
          <w:sz w:val="18"/>
        </w:rPr>
        <w:t>Read-only acceptance</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ENV_FILE=/opt/nkp/config/customer.env   /opt/nkp/scripts/12_postdeployment_validation.sh --dry-run</w:t>
            </w:r>
          </w:p>
        </w:tc>
      </w:tr>
    </w:tbl>
    <w:p>
      <w:pPr>
        <w:spacing w:after="0"/>
      </w:pPr>
    </w:p>
    <w:p>
      <w:pPr>
        <w:pStyle w:val="Heading2"/>
        <w:keepNext/>
      </w:pPr>
      <w:r>
        <w:t>13.2 Controlled smoke tests</w:t>
      </w:r>
    </w:p>
    <w:p>
      <w:pPr>
        <w:spacing w:after="120" w:line="259" w:lineRule="auto"/>
      </w:pPr>
      <w:r>
        <w:t>The mutating smoke test creates only the `nkp-airgap-validation` namespace. It uses two images that must already exist in the private registry by immutable tag/digest. It provisions a 1 GiB PVC, performs a write/read, resolves Kubernetes DNS, deploys two HTTP echo pods, requests a LoadBalancer IP, and curls the endpoint from the bastion.</w:t>
      </w:r>
    </w:p>
    <w:p>
      <w:pPr>
        <w:spacing w:after="40"/>
      </w:pPr>
      <w:r>
        <w:rPr>
          <w:b/>
          <w:color w:val="1F6E8C"/>
          <w:sz w:val="18"/>
        </w:rPr>
        <w:t>Storage/DNS/LoadBalancer smoke test</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ENV_FILE=/opt/nkp/config/customer.env   /opt/nkp/scripts/12_postdeployment_validation.sh --apply</w:t>
            </w:r>
            <w:r>
              <w:br/>
            </w:r>
            <w:r>
              <w:rPr>
                <w:rFonts w:ascii="Consolas" w:hAnsi="Consolas" w:eastAsia="Consolas"/>
                <w:color w:val="172B3A"/>
                <w:sz w:val="16"/>
              </w:rPr>
            </w:r>
            <w:r>
              <w:br/>
            </w:r>
            <w:r>
              <w:rPr>
                <w:rFonts w:ascii="Consolas" w:hAnsi="Consolas" w:eastAsia="Consolas"/>
                <w:color w:val="172B3A"/>
                <w:sz w:val="16"/>
              </w:rPr>
              <w:t># Review before cleanup:</w:t>
            </w:r>
            <w:r>
              <w:br/>
            </w:r>
            <w:r>
              <w:rPr>
                <w:rFonts w:ascii="Consolas" w:hAnsi="Consolas" w:eastAsia="Consolas"/>
                <w:color w:val="172B3A"/>
                <w:sz w:val="16"/>
              </w:rPr>
              <w:t>kubectl -n nkp-airgap-validation get all,pvc -o wide</w:t>
            </w:r>
            <w:r>
              <w:br/>
            </w:r>
            <w:r>
              <w:rPr>
                <w:rFonts w:ascii="Consolas" w:hAnsi="Consolas" w:eastAsia="Consolas"/>
                <w:color w:val="172B3A"/>
                <w:sz w:val="16"/>
              </w:rPr>
              <w:t>kubectl -n nkp-airgap-validation describe pvc nkp-storage-smoke</w:t>
            </w:r>
            <w:r>
              <w:br/>
            </w:r>
            <w:r>
              <w:rPr>
                <w:rFonts w:ascii="Consolas" w:hAnsi="Consolas" w:eastAsia="Consolas"/>
                <w:color w:val="172B3A"/>
                <w:sz w:val="16"/>
              </w:rPr>
              <w:t>kubectl -n nkp-airgap-validation logs nkp-toolbox</w:t>
            </w:r>
            <w:r>
              <w:br/>
            </w:r>
            <w:r>
              <w:rPr>
                <w:rFonts w:ascii="Consolas" w:hAnsi="Consolas" w:eastAsia="Consolas"/>
                <w:color w:val="172B3A"/>
                <w:sz w:val="16"/>
              </w:rPr>
            </w:r>
            <w:r>
              <w:br/>
            </w:r>
            <w:r>
              <w:rPr>
                <w:rFonts w:ascii="Consolas" w:hAnsi="Consolas" w:eastAsia="Consolas"/>
                <w:color w:val="172B3A"/>
                <w:sz w:val="16"/>
              </w:rPr>
              <w:t># Cleanup after evidence and customer approval:</w:t>
            </w:r>
            <w:r>
              <w:br/>
            </w:r>
            <w:r>
              <w:rPr>
                <w:rFonts w:ascii="Consolas" w:hAnsi="Consolas" w:eastAsia="Consolas"/>
                <w:color w:val="172B3A"/>
                <w:sz w:val="16"/>
              </w:rPr>
              <w:t>kubectl delete namespace nkp-airgap-validation</w:t>
            </w:r>
          </w:p>
        </w:tc>
      </w:tr>
    </w:tbl>
    <w:p>
      <w:pPr>
        <w:spacing w:after="0"/>
      </w:pPr>
    </w:p>
    <w:p>
      <w:pPr>
        <w:pStyle w:val="Heading2"/>
        <w:keepNext/>
      </w:pPr>
      <w:r>
        <w:t>13.3 Acceptance matrix</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814"/>
            <w:tcMar>
              <w:top w:w="70" w:type="dxa"/>
              <w:start w:w="90" w:type="dxa"/>
              <w:bottom w:w="70" w:type="dxa"/>
              <w:end w:w="90" w:type="dxa"/>
            </w:tcMar>
            <w:vAlign w:val="center"/>
            <w:shd w:fill="17324D"/>
          </w:tcPr>
          <w:p>
            <w:pPr>
              <w:spacing w:after="0" w:before="0"/>
            </w:pPr>
            <w:r/>
            <w:r>
              <w:rPr>
                <w:rFonts w:ascii="Aptos" w:hAnsi="Aptos"/>
                <w:b/>
                <w:color w:val="FFFFFF"/>
                <w:sz w:val="15"/>
              </w:rPr>
              <w:t>Test area</w:t>
            </w:r>
          </w:p>
        </w:tc>
        <w:tc>
          <w:tcPr>
            <w:tcW w:type="dxa" w:w="5896"/>
            <w:tcMar>
              <w:top w:w="70" w:type="dxa"/>
              <w:start w:w="90" w:type="dxa"/>
              <w:bottom w:w="70" w:type="dxa"/>
              <w:end w:w="90" w:type="dxa"/>
            </w:tcMar>
            <w:vAlign w:val="center"/>
            <w:shd w:fill="17324D"/>
          </w:tcPr>
          <w:p>
            <w:pPr>
              <w:spacing w:after="0" w:before="0"/>
            </w:pPr>
            <w:r/>
            <w:r>
              <w:rPr>
                <w:rFonts w:ascii="Aptos" w:hAnsi="Aptos"/>
                <w:b/>
                <w:color w:val="FFFFFF"/>
                <w:sz w:val="15"/>
              </w:rPr>
              <w:t>Pass criterion</w:t>
            </w:r>
          </w:p>
        </w:tc>
        <w:tc>
          <w:tcPr>
            <w:tcW w:type="dxa" w:w="2154"/>
            <w:tcMar>
              <w:top w:w="70" w:type="dxa"/>
              <w:start w:w="90" w:type="dxa"/>
              <w:bottom w:w="70" w:type="dxa"/>
              <w:end w:w="90" w:type="dxa"/>
            </w:tcMar>
            <w:vAlign w:val="center"/>
            <w:shd w:fill="17324D"/>
          </w:tcPr>
          <w:p>
            <w:pPr>
              <w:spacing w:after="0" w:before="0"/>
            </w:pPr>
            <w:r/>
            <w:r>
              <w:rPr>
                <w:rFonts w:ascii="Aptos" w:hAnsi="Aptos"/>
                <w:b/>
                <w:color w:val="FFFFFF"/>
                <w:sz w:val="15"/>
              </w:rPr>
              <w:t>Result / evidence</w:t>
            </w:r>
          </w:p>
        </w:tc>
      </w:tr>
      <w:tr>
        <w:trPr>
          <w:cantSplit/>
        </w:trPr>
        <w:tc>
          <w:tcPr>
            <w:tcW w:type="dxa" w:w="1814"/>
            <w:tcMar>
              <w:top w:w="70" w:type="dxa"/>
              <w:start w:w="90" w:type="dxa"/>
              <w:bottom w:w="70" w:type="dxa"/>
              <w:end w:w="90" w:type="dxa"/>
            </w:tcMar>
            <w:vAlign w:val="center"/>
          </w:tcPr>
          <w:p>
            <w:pPr>
              <w:spacing w:after="0" w:before="0"/>
            </w:pPr>
            <w:r/>
            <w:r>
              <w:rPr>
                <w:rFonts w:ascii="Aptos" w:hAnsi="Aptos"/>
                <w:b w:val="0"/>
                <w:color w:val="172B3A"/>
                <w:sz w:val="15"/>
              </w:rPr>
              <w:t>Release identity</w:t>
            </w:r>
          </w:p>
        </w:tc>
        <w:tc>
          <w:tcPr>
            <w:tcW w:type="dxa" w:w="5896"/>
            <w:tcMar>
              <w:top w:w="70" w:type="dxa"/>
              <w:start w:w="90" w:type="dxa"/>
              <w:bottom w:w="70" w:type="dxa"/>
              <w:end w:w="90" w:type="dxa"/>
            </w:tcMar>
            <w:vAlign w:val="center"/>
          </w:tcPr>
          <w:p>
            <w:pPr>
              <w:spacing w:after="0" w:before="0"/>
            </w:pPr>
            <w:r/>
            <w:r>
              <w:rPr>
                <w:rFonts w:ascii="Aptos" w:hAnsi="Aptos"/>
                <w:b w:val="0"/>
                <w:color w:val="172B3A"/>
                <w:sz w:val="15"/>
              </w:rPr>
              <w:t>`nkp version`, bundle filename/hash, node image, Kubernetes version, and documentation all map to one approved 2.18.x release.</w:t>
            </w:r>
          </w:p>
        </w:tc>
        <w:tc>
          <w:tcPr>
            <w:tcW w:type="dxa" w:w="2154"/>
            <w:tcMar>
              <w:top w:w="70" w:type="dxa"/>
              <w:start w:w="90" w:type="dxa"/>
              <w:bottom w:w="70" w:type="dxa"/>
              <w:end w:w="90" w:type="dxa"/>
            </w:tcMar>
            <w:vAlign w:val="center"/>
          </w:tcPr>
          <w:p>
            <w:pPr>
              <w:spacing w:after="0" w:before="0"/>
            </w:pPr>
            <w:r/>
            <w:r>
              <w:rPr>
                <w:rFonts w:ascii="Aptos" w:hAnsi="Aptos"/>
                <w:b w:val="0"/>
                <w:color w:val="172B3A"/>
                <w:sz w:val="15"/>
              </w:rPr>
            </w:r>
          </w:p>
        </w:tc>
      </w:tr>
      <w:tr>
        <w:trPr>
          <w:cantSplit/>
        </w:trPr>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5"/>
              </w:rPr>
              <w:t>Air-gap proof</w:t>
            </w:r>
          </w:p>
        </w:tc>
        <w:tc>
          <w:tcPr>
            <w:tcW w:type="dxa" w:w="5896"/>
            <w:tcMar>
              <w:top w:w="70" w:type="dxa"/>
              <w:start w:w="90" w:type="dxa"/>
              <w:bottom w:w="70" w:type="dxa"/>
              <w:end w:w="90" w:type="dxa"/>
            </w:tcMar>
            <w:vAlign w:val="center"/>
            <w:shd w:fill="F8FAFC"/>
          </w:tcPr>
          <w:p>
            <w:pPr>
              <w:spacing w:after="0" w:before="0"/>
            </w:pPr>
            <w:r/>
            <w:r>
              <w:rPr>
                <w:rFonts w:ascii="Aptos" w:hAnsi="Aptos"/>
                <w:b w:val="0"/>
                <w:color w:val="172B3A"/>
                <w:sz w:val="15"/>
              </w:rPr>
              <w:t>Public egress tests fail as expected; all system pods become ready; no public registry access is required.</w:t>
            </w:r>
          </w:p>
        </w:tc>
        <w:tc>
          <w:tcPr>
            <w:tcW w:type="dxa" w:w="2154"/>
            <w:tcMar>
              <w:top w:w="70" w:type="dxa"/>
              <w:start w:w="90" w:type="dxa"/>
              <w:bottom w:w="70" w:type="dxa"/>
              <w:end w:w="90" w:type="dxa"/>
            </w:tcMar>
            <w:vAlign w:val="center"/>
            <w:shd w:fill="F8FAFC"/>
          </w:tcPr>
          <w:p>
            <w:pPr>
              <w:spacing w:after="0" w:before="0"/>
            </w:pPr>
            <w:r/>
            <w:r>
              <w:rPr>
                <w:rFonts w:ascii="Aptos" w:hAnsi="Aptos"/>
                <w:b w:val="0"/>
                <w:color w:val="172B3A"/>
                <w:sz w:val="15"/>
              </w:rPr>
            </w:r>
          </w:p>
        </w:tc>
      </w:tr>
      <w:tr>
        <w:trPr>
          <w:cantSplit/>
        </w:trPr>
        <w:tc>
          <w:tcPr>
            <w:tcW w:type="dxa" w:w="1814"/>
            <w:tcMar>
              <w:top w:w="70" w:type="dxa"/>
              <w:start w:w="90" w:type="dxa"/>
              <w:bottom w:w="70" w:type="dxa"/>
              <w:end w:w="90" w:type="dxa"/>
            </w:tcMar>
            <w:vAlign w:val="center"/>
          </w:tcPr>
          <w:p>
            <w:pPr>
              <w:spacing w:after="0" w:before="0"/>
            </w:pPr>
            <w:r/>
            <w:r>
              <w:rPr>
                <w:rFonts w:ascii="Aptos" w:hAnsi="Aptos"/>
                <w:b w:val="0"/>
                <w:color w:val="172B3A"/>
                <w:sz w:val="15"/>
              </w:rPr>
              <w:t>Cluster health</w:t>
            </w:r>
          </w:p>
        </w:tc>
        <w:tc>
          <w:tcPr>
            <w:tcW w:type="dxa" w:w="5896"/>
            <w:tcMar>
              <w:top w:w="70" w:type="dxa"/>
              <w:start w:w="90" w:type="dxa"/>
              <w:bottom w:w="70" w:type="dxa"/>
              <w:end w:w="90" w:type="dxa"/>
            </w:tcMar>
            <w:vAlign w:val="center"/>
          </w:tcPr>
          <w:p>
            <w:pPr>
              <w:spacing w:after="0" w:before="0"/>
            </w:pPr>
            <w:r/>
            <w:r>
              <w:rPr>
                <w:rFonts w:ascii="Aptos" w:hAnsi="Aptos"/>
                <w:b w:val="0"/>
                <w:color w:val="172B3A"/>
                <w:sz w:val="15"/>
              </w:rPr>
              <w:t>All control-plane/worker nodes Ready; API `/readyz` healthy; critical platform workloads available.</w:t>
            </w:r>
          </w:p>
        </w:tc>
        <w:tc>
          <w:tcPr>
            <w:tcW w:type="dxa" w:w="2154"/>
            <w:tcMar>
              <w:top w:w="70" w:type="dxa"/>
              <w:start w:w="90" w:type="dxa"/>
              <w:bottom w:w="70" w:type="dxa"/>
              <w:end w:w="90" w:type="dxa"/>
            </w:tcMar>
            <w:vAlign w:val="center"/>
          </w:tcPr>
          <w:p>
            <w:pPr>
              <w:spacing w:after="0" w:before="0"/>
            </w:pPr>
            <w:r/>
            <w:r>
              <w:rPr>
                <w:rFonts w:ascii="Aptos" w:hAnsi="Aptos"/>
                <w:b w:val="0"/>
                <w:color w:val="172B3A"/>
                <w:sz w:val="15"/>
              </w:rPr>
            </w:r>
          </w:p>
        </w:tc>
      </w:tr>
      <w:tr>
        <w:trPr>
          <w:cantSplit/>
        </w:trPr>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5"/>
              </w:rPr>
              <w:t>Nutanix integration</w:t>
            </w:r>
          </w:p>
        </w:tc>
        <w:tc>
          <w:tcPr>
            <w:tcW w:type="dxa" w:w="5896"/>
            <w:tcMar>
              <w:top w:w="70" w:type="dxa"/>
              <w:start w:w="90" w:type="dxa"/>
              <w:bottom w:w="70" w:type="dxa"/>
              <w:end w:w="90" w:type="dxa"/>
            </w:tcMar>
            <w:vAlign w:val="center"/>
            <w:shd w:fill="F8FAFC"/>
          </w:tcPr>
          <w:p>
            <w:pPr>
              <w:spacing w:after="0" w:before="0"/>
            </w:pPr>
            <w:r/>
            <w:r>
              <w:rPr>
                <w:rFonts w:ascii="Aptos" w:hAnsi="Aptos"/>
                <w:b w:val="0"/>
                <w:color w:val="172B3A"/>
                <w:sz w:val="15"/>
              </w:rPr>
              <w:t>Expected VMs, categories/projects, networks, disks, and tasks are healthy in Prism.</w:t>
            </w:r>
          </w:p>
        </w:tc>
        <w:tc>
          <w:tcPr>
            <w:tcW w:type="dxa" w:w="2154"/>
            <w:tcMar>
              <w:top w:w="70" w:type="dxa"/>
              <w:start w:w="90" w:type="dxa"/>
              <w:bottom w:w="70" w:type="dxa"/>
              <w:end w:w="90" w:type="dxa"/>
            </w:tcMar>
            <w:vAlign w:val="center"/>
            <w:shd w:fill="F8FAFC"/>
          </w:tcPr>
          <w:p>
            <w:pPr>
              <w:spacing w:after="0" w:before="0"/>
            </w:pPr>
            <w:r/>
            <w:r>
              <w:rPr>
                <w:rFonts w:ascii="Aptos" w:hAnsi="Aptos"/>
                <w:b w:val="0"/>
                <w:color w:val="172B3A"/>
                <w:sz w:val="15"/>
              </w:rPr>
            </w:r>
          </w:p>
        </w:tc>
      </w:tr>
      <w:tr>
        <w:trPr>
          <w:cantSplit/>
        </w:trPr>
        <w:tc>
          <w:tcPr>
            <w:tcW w:type="dxa" w:w="1814"/>
            <w:tcMar>
              <w:top w:w="70" w:type="dxa"/>
              <w:start w:w="90" w:type="dxa"/>
              <w:bottom w:w="70" w:type="dxa"/>
              <w:end w:w="90" w:type="dxa"/>
            </w:tcMar>
            <w:vAlign w:val="center"/>
          </w:tcPr>
          <w:p>
            <w:pPr>
              <w:spacing w:after="0" w:before="0"/>
            </w:pPr>
            <w:r/>
            <w:r>
              <w:rPr>
                <w:rFonts w:ascii="Aptos" w:hAnsi="Aptos"/>
                <w:b w:val="0"/>
                <w:color w:val="172B3A"/>
                <w:sz w:val="15"/>
              </w:rPr>
              <w:t>Registry</w:t>
            </w:r>
          </w:p>
        </w:tc>
        <w:tc>
          <w:tcPr>
            <w:tcW w:type="dxa" w:w="5896"/>
            <w:tcMar>
              <w:top w:w="70" w:type="dxa"/>
              <w:start w:w="90" w:type="dxa"/>
              <w:bottom w:w="70" w:type="dxa"/>
              <w:end w:w="90" w:type="dxa"/>
            </w:tcMar>
            <w:vAlign w:val="center"/>
          </w:tcPr>
          <w:p>
            <w:pPr>
              <w:spacing w:after="0" w:before="0"/>
            </w:pPr>
            <w:r/>
            <w:r>
              <w:rPr>
                <w:rFonts w:ascii="Aptos" w:hAnsi="Aptos"/>
                <w:b w:val="0"/>
                <w:color w:val="172B3A"/>
                <w:sz w:val="15"/>
              </w:rPr>
              <w:t>TLS verified, authentication enforced, bundle inventory retained, adequate capacity, representative pull succeeds.</w:t>
            </w:r>
          </w:p>
        </w:tc>
        <w:tc>
          <w:tcPr>
            <w:tcW w:type="dxa" w:w="2154"/>
            <w:tcMar>
              <w:top w:w="70" w:type="dxa"/>
              <w:start w:w="90" w:type="dxa"/>
              <w:bottom w:w="70" w:type="dxa"/>
              <w:end w:w="90" w:type="dxa"/>
            </w:tcMar>
            <w:vAlign w:val="center"/>
          </w:tcPr>
          <w:p>
            <w:pPr>
              <w:spacing w:after="0" w:before="0"/>
            </w:pPr>
            <w:r/>
            <w:r>
              <w:rPr>
                <w:rFonts w:ascii="Aptos" w:hAnsi="Aptos"/>
                <w:b w:val="0"/>
                <w:color w:val="172B3A"/>
                <w:sz w:val="15"/>
              </w:rPr>
            </w:r>
          </w:p>
        </w:tc>
      </w:tr>
      <w:tr>
        <w:trPr>
          <w:cantSplit/>
        </w:trPr>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5"/>
              </w:rPr>
              <w:t>Storage</w:t>
            </w:r>
          </w:p>
        </w:tc>
        <w:tc>
          <w:tcPr>
            <w:tcW w:type="dxa" w:w="5896"/>
            <w:tcMar>
              <w:top w:w="70" w:type="dxa"/>
              <w:start w:w="90" w:type="dxa"/>
              <w:bottom w:w="70" w:type="dxa"/>
              <w:end w:w="90" w:type="dxa"/>
            </w:tcMar>
            <w:vAlign w:val="center"/>
            <w:shd w:fill="F8FAFC"/>
          </w:tcPr>
          <w:p>
            <w:pPr>
              <w:spacing w:after="0" w:before="0"/>
            </w:pPr>
            <w:r/>
            <w:r>
              <w:rPr>
                <w:rFonts w:ascii="Aptos" w:hAnsi="Aptos"/>
                <w:b w:val="0"/>
                <w:color w:val="172B3A"/>
                <w:sz w:val="15"/>
              </w:rPr>
              <w:t>PVC binds, pod writes/reads data, StorageClass/CSI objects healthy, expansion/snapshot behavior documented.</w:t>
            </w:r>
          </w:p>
        </w:tc>
        <w:tc>
          <w:tcPr>
            <w:tcW w:type="dxa" w:w="2154"/>
            <w:tcMar>
              <w:top w:w="70" w:type="dxa"/>
              <w:start w:w="90" w:type="dxa"/>
              <w:bottom w:w="70" w:type="dxa"/>
              <w:end w:w="90" w:type="dxa"/>
            </w:tcMar>
            <w:vAlign w:val="center"/>
            <w:shd w:fill="F8FAFC"/>
          </w:tcPr>
          <w:p>
            <w:pPr>
              <w:spacing w:after="0" w:before="0"/>
            </w:pPr>
            <w:r/>
            <w:r>
              <w:rPr>
                <w:rFonts w:ascii="Aptos" w:hAnsi="Aptos"/>
                <w:b w:val="0"/>
                <w:color w:val="172B3A"/>
                <w:sz w:val="15"/>
              </w:rPr>
            </w:r>
          </w:p>
        </w:tc>
      </w:tr>
      <w:tr>
        <w:trPr>
          <w:cantSplit/>
        </w:trPr>
        <w:tc>
          <w:tcPr>
            <w:tcW w:type="dxa" w:w="1814"/>
            <w:tcMar>
              <w:top w:w="70" w:type="dxa"/>
              <w:start w:w="90" w:type="dxa"/>
              <w:bottom w:w="70" w:type="dxa"/>
              <w:end w:w="90" w:type="dxa"/>
            </w:tcMar>
            <w:vAlign w:val="center"/>
          </w:tcPr>
          <w:p>
            <w:pPr>
              <w:spacing w:after="0" w:before="0"/>
            </w:pPr>
            <w:r/>
            <w:r>
              <w:rPr>
                <w:rFonts w:ascii="Aptos" w:hAnsi="Aptos"/>
                <w:b w:val="0"/>
                <w:color w:val="172B3A"/>
                <w:sz w:val="15"/>
              </w:rPr>
              <w:t>Networking</w:t>
            </w:r>
          </w:p>
        </w:tc>
        <w:tc>
          <w:tcPr>
            <w:tcW w:type="dxa" w:w="5896"/>
            <w:tcMar>
              <w:top w:w="70" w:type="dxa"/>
              <w:start w:w="90" w:type="dxa"/>
              <w:bottom w:w="70" w:type="dxa"/>
              <w:end w:w="90" w:type="dxa"/>
            </w:tcMar>
            <w:vAlign w:val="center"/>
          </w:tcPr>
          <w:p>
            <w:pPr>
              <w:spacing w:after="0" w:before="0"/>
            </w:pPr>
            <w:r/>
            <w:r>
              <w:rPr>
                <w:rFonts w:ascii="Aptos" w:hAnsi="Aptos"/>
                <w:b w:val="0"/>
                <w:color w:val="172B3A"/>
                <w:sz w:val="15"/>
              </w:rPr>
              <w:t>Pod-to-service communication, cluster DNS, control-plane VIP, service LoadBalancer allocation, and client routing pass.</w:t>
            </w:r>
          </w:p>
        </w:tc>
        <w:tc>
          <w:tcPr>
            <w:tcW w:type="dxa" w:w="2154"/>
            <w:tcMar>
              <w:top w:w="70" w:type="dxa"/>
              <w:start w:w="90" w:type="dxa"/>
              <w:bottom w:w="70" w:type="dxa"/>
              <w:end w:w="90" w:type="dxa"/>
            </w:tcMar>
            <w:vAlign w:val="center"/>
          </w:tcPr>
          <w:p>
            <w:pPr>
              <w:spacing w:after="0" w:before="0"/>
            </w:pPr>
            <w:r/>
            <w:r>
              <w:rPr>
                <w:rFonts w:ascii="Aptos" w:hAnsi="Aptos"/>
                <w:b w:val="0"/>
                <w:color w:val="172B3A"/>
                <w:sz w:val="15"/>
              </w:rPr>
            </w:r>
          </w:p>
        </w:tc>
      </w:tr>
      <w:tr>
        <w:trPr>
          <w:cantSplit/>
        </w:trPr>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5"/>
              </w:rPr>
              <w:t>Resilience</w:t>
            </w:r>
          </w:p>
        </w:tc>
        <w:tc>
          <w:tcPr>
            <w:tcW w:type="dxa" w:w="5896"/>
            <w:tcMar>
              <w:top w:w="70" w:type="dxa"/>
              <w:start w:w="90" w:type="dxa"/>
              <w:bottom w:w="70" w:type="dxa"/>
              <w:end w:w="90" w:type="dxa"/>
            </w:tcMar>
            <w:vAlign w:val="center"/>
            <w:shd w:fill="F8FAFC"/>
          </w:tcPr>
          <w:p>
            <w:pPr>
              <w:spacing w:after="0" w:before="0"/>
            </w:pPr>
            <w:r/>
            <w:r>
              <w:rPr>
                <w:rFonts w:ascii="Aptos" w:hAnsi="Aptos"/>
                <w:b w:val="0"/>
                <w:color w:val="172B3A"/>
                <w:sz w:val="15"/>
              </w:rPr>
              <w:t>One worker reboot or controlled restart succeeds; workloads reschedule according to design. Perform only with customer approval.</w:t>
            </w:r>
          </w:p>
        </w:tc>
        <w:tc>
          <w:tcPr>
            <w:tcW w:type="dxa" w:w="2154"/>
            <w:tcMar>
              <w:top w:w="70" w:type="dxa"/>
              <w:start w:w="90" w:type="dxa"/>
              <w:bottom w:w="70" w:type="dxa"/>
              <w:end w:w="90" w:type="dxa"/>
            </w:tcMar>
            <w:vAlign w:val="center"/>
            <w:shd w:fill="F8FAFC"/>
          </w:tcPr>
          <w:p>
            <w:pPr>
              <w:spacing w:after="0" w:before="0"/>
            </w:pPr>
            <w:r/>
            <w:r>
              <w:rPr>
                <w:rFonts w:ascii="Aptos" w:hAnsi="Aptos"/>
                <w:b w:val="0"/>
                <w:color w:val="172B3A"/>
                <w:sz w:val="15"/>
              </w:rPr>
            </w:r>
          </w:p>
        </w:tc>
      </w:tr>
      <w:tr>
        <w:trPr>
          <w:cantSplit/>
        </w:trPr>
        <w:tc>
          <w:tcPr>
            <w:tcW w:type="dxa" w:w="1814"/>
            <w:tcMar>
              <w:top w:w="70" w:type="dxa"/>
              <w:start w:w="90" w:type="dxa"/>
              <w:bottom w:w="70" w:type="dxa"/>
              <w:end w:w="90" w:type="dxa"/>
            </w:tcMar>
            <w:vAlign w:val="center"/>
          </w:tcPr>
          <w:p>
            <w:pPr>
              <w:spacing w:after="0" w:before="0"/>
            </w:pPr>
            <w:r/>
            <w:r>
              <w:rPr>
                <w:rFonts w:ascii="Aptos" w:hAnsi="Aptos"/>
                <w:b w:val="0"/>
                <w:color w:val="172B3A"/>
                <w:sz w:val="15"/>
              </w:rPr>
              <w:t>Scale</w:t>
            </w:r>
          </w:p>
        </w:tc>
        <w:tc>
          <w:tcPr>
            <w:tcW w:type="dxa" w:w="5896"/>
            <w:tcMar>
              <w:top w:w="70" w:type="dxa"/>
              <w:start w:w="90" w:type="dxa"/>
              <w:bottom w:w="70" w:type="dxa"/>
              <w:end w:w="90" w:type="dxa"/>
            </w:tcMar>
            <w:vAlign w:val="center"/>
          </w:tcPr>
          <w:p>
            <w:pPr>
              <w:spacing w:after="0" w:before="0"/>
            </w:pPr>
            <w:r/>
            <w:r>
              <w:rPr>
                <w:rFonts w:ascii="Aptos" w:hAnsi="Aptos"/>
                <w:b w:val="0"/>
                <w:color w:val="172B3A"/>
                <w:sz w:val="15"/>
              </w:rPr>
              <w:t>Add one worker and return to intended count using the supported NKP lifecycle. Perform in a non-production window.</w:t>
            </w:r>
          </w:p>
        </w:tc>
        <w:tc>
          <w:tcPr>
            <w:tcW w:type="dxa" w:w="2154"/>
            <w:tcMar>
              <w:top w:w="70" w:type="dxa"/>
              <w:start w:w="90" w:type="dxa"/>
              <w:bottom w:w="70" w:type="dxa"/>
              <w:end w:w="90" w:type="dxa"/>
            </w:tcMar>
            <w:vAlign w:val="center"/>
          </w:tcPr>
          <w:p>
            <w:pPr>
              <w:spacing w:after="0" w:before="0"/>
            </w:pPr>
            <w:r/>
            <w:r>
              <w:rPr>
                <w:rFonts w:ascii="Aptos" w:hAnsi="Aptos"/>
                <w:b w:val="0"/>
                <w:color w:val="172B3A"/>
                <w:sz w:val="15"/>
              </w:rPr>
            </w:r>
          </w:p>
        </w:tc>
      </w:tr>
      <w:tr>
        <w:trPr>
          <w:cantSplit/>
        </w:trPr>
        <w:tc>
          <w:tcPr>
            <w:tcW w:type="dxa" w:w="1814"/>
            <w:tcMar>
              <w:top w:w="70" w:type="dxa"/>
              <w:start w:w="90" w:type="dxa"/>
              <w:bottom w:w="70" w:type="dxa"/>
              <w:end w:w="90" w:type="dxa"/>
            </w:tcMar>
            <w:vAlign w:val="center"/>
            <w:shd w:fill="F8FAFC"/>
          </w:tcPr>
          <w:p>
            <w:pPr>
              <w:spacing w:after="0" w:before="0"/>
            </w:pPr>
            <w:r/>
            <w:r>
              <w:rPr>
                <w:rFonts w:ascii="Aptos" w:hAnsi="Aptos"/>
                <w:b w:val="0"/>
                <w:color w:val="172B3A"/>
                <w:sz w:val="15"/>
              </w:rPr>
              <w:t>Security</w:t>
            </w:r>
          </w:p>
        </w:tc>
        <w:tc>
          <w:tcPr>
            <w:tcW w:type="dxa" w:w="5896"/>
            <w:tcMar>
              <w:top w:w="70" w:type="dxa"/>
              <w:start w:w="90" w:type="dxa"/>
              <w:bottom w:w="70" w:type="dxa"/>
              <w:end w:w="90" w:type="dxa"/>
            </w:tcMar>
            <w:vAlign w:val="center"/>
            <w:shd w:fill="F8FAFC"/>
          </w:tcPr>
          <w:p>
            <w:pPr>
              <w:spacing w:after="0" w:before="0"/>
            </w:pPr>
            <w:r/>
            <w:r>
              <w:rPr>
                <w:rFonts w:ascii="Aptos" w:hAnsi="Aptos"/>
                <w:b w:val="0"/>
                <w:color w:val="172B3A"/>
                <w:sz w:val="15"/>
              </w:rPr>
              <w:t>SELinux/firewall enabled; CA trust works; kubeconfig/private keys protected; no secrets in logs/evidence.</w:t>
            </w:r>
          </w:p>
        </w:tc>
        <w:tc>
          <w:tcPr>
            <w:tcW w:type="dxa" w:w="2154"/>
            <w:tcMar>
              <w:top w:w="70" w:type="dxa"/>
              <w:start w:w="90" w:type="dxa"/>
              <w:bottom w:w="70" w:type="dxa"/>
              <w:end w:w="90" w:type="dxa"/>
            </w:tcMar>
            <w:vAlign w:val="center"/>
            <w:shd w:fill="F8FAFC"/>
          </w:tcPr>
          <w:p>
            <w:pPr>
              <w:spacing w:after="0" w:before="0"/>
            </w:pPr>
            <w:r/>
            <w:r>
              <w:rPr>
                <w:rFonts w:ascii="Aptos" w:hAnsi="Aptos"/>
                <w:b w:val="0"/>
                <w:color w:val="172B3A"/>
                <w:sz w:val="15"/>
              </w:rPr>
            </w:r>
          </w:p>
        </w:tc>
      </w:tr>
      <w:tr>
        <w:trPr>
          <w:cantSplit/>
        </w:trPr>
        <w:tc>
          <w:tcPr>
            <w:tcW w:type="dxa" w:w="1814"/>
            <w:tcMar>
              <w:top w:w="70" w:type="dxa"/>
              <w:start w:w="90" w:type="dxa"/>
              <w:bottom w:w="70" w:type="dxa"/>
              <w:end w:w="90" w:type="dxa"/>
            </w:tcMar>
            <w:vAlign w:val="center"/>
          </w:tcPr>
          <w:p>
            <w:pPr>
              <w:spacing w:after="0" w:before="0"/>
            </w:pPr>
            <w:r/>
            <w:r>
              <w:rPr>
                <w:rFonts w:ascii="Aptos" w:hAnsi="Aptos"/>
                <w:b w:val="0"/>
                <w:color w:val="172B3A"/>
                <w:sz w:val="15"/>
              </w:rPr>
              <w:t>Operations</w:t>
            </w:r>
          </w:p>
        </w:tc>
        <w:tc>
          <w:tcPr>
            <w:tcW w:type="dxa" w:w="5896"/>
            <w:tcMar>
              <w:top w:w="70" w:type="dxa"/>
              <w:start w:w="90" w:type="dxa"/>
              <w:bottom w:w="70" w:type="dxa"/>
              <w:end w:w="90" w:type="dxa"/>
            </w:tcMar>
            <w:vAlign w:val="center"/>
          </w:tcPr>
          <w:p>
            <w:pPr>
              <w:spacing w:after="0" w:before="0"/>
            </w:pPr>
            <w:r/>
            <w:r>
              <w:rPr>
                <w:rFonts w:ascii="Aptos" w:hAnsi="Aptos"/>
                <w:b w:val="0"/>
                <w:color w:val="172B3A"/>
                <w:sz w:val="15"/>
              </w:rPr>
              <w:t>Monitoring, backup, support bundle, offline upgrade, certificate rotation, registry backup, and ownership documented.</w:t>
            </w:r>
          </w:p>
        </w:tc>
        <w:tc>
          <w:tcPr>
            <w:tcW w:type="dxa" w:w="2154"/>
            <w:tcMar>
              <w:top w:w="70" w:type="dxa"/>
              <w:start w:w="90" w:type="dxa"/>
              <w:bottom w:w="70" w:type="dxa"/>
              <w:end w:w="90" w:type="dxa"/>
            </w:tcMar>
            <w:vAlign w:val="center"/>
          </w:tcPr>
          <w:p>
            <w:pPr>
              <w:spacing w:after="0" w:before="0"/>
            </w:pPr>
            <w:r/>
            <w:r>
              <w:rPr>
                <w:rFonts w:ascii="Aptos" w:hAnsi="Aptos"/>
                <w:b w:val="0"/>
                <w:color w:val="172B3A"/>
                <w:sz w:val="15"/>
              </w:rPr>
            </w:r>
          </w:p>
        </w:tc>
      </w:tr>
    </w:tbl>
    <w:p>
      <w:pPr>
        <w:spacing w:after="0"/>
      </w:pPr>
    </w:p>
    <w:p>
      <w:pPr>
        <w:pStyle w:val="Heading2"/>
        <w:keepNext/>
      </w:pPr>
      <w:r>
        <w:t>13.4 Air-gap image verification</w:t>
      </w:r>
    </w:p>
    <w:p>
      <w:pPr>
        <w:spacing w:after="40"/>
      </w:pPr>
      <w:r>
        <w:rPr>
          <w:b/>
          <w:color w:val="1F6E8C"/>
          <w:sz w:val="18"/>
        </w:rPr>
        <w:t>Image and event audit</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Inventory the images declared by all pods.</w:t>
            </w:r>
            <w:r>
              <w:br/>
            </w:r>
            <w:r>
              <w:rPr>
                <w:rFonts w:ascii="Consolas" w:hAnsi="Consolas" w:eastAsia="Consolas"/>
                <w:color w:val="172B3A"/>
                <w:sz w:val="16"/>
              </w:rPr>
              <w:t>kubectl get pods -A -o json   | jq -r '.items[] | .spec.initContainers[]?.image, .spec.containers[]?.image'   | sort -u | tee /opt/nkp/evidence/declared-images.txt</w:t>
            </w:r>
            <w:r>
              <w:br/>
            </w:r>
            <w:r>
              <w:rPr>
                <w:rFonts w:ascii="Consolas" w:hAnsi="Consolas" w:eastAsia="Consolas"/>
                <w:color w:val="172B3A"/>
                <w:sz w:val="16"/>
              </w:rPr>
            </w:r>
            <w:r>
              <w:br/>
            </w:r>
            <w:r>
              <w:rPr>
                <w:rFonts w:ascii="Consolas" w:hAnsi="Consolas" w:eastAsia="Consolas"/>
                <w:color w:val="172B3A"/>
                <w:sz w:val="16"/>
              </w:rPr>
              <w:t># Inspect image pull failures and registry/TLS symptoms.</w:t>
            </w:r>
            <w:r>
              <w:br/>
            </w:r>
            <w:r>
              <w:rPr>
                <w:rFonts w:ascii="Consolas" w:hAnsi="Consolas" w:eastAsia="Consolas"/>
                <w:color w:val="172B3A"/>
                <w:sz w:val="16"/>
              </w:rPr>
              <w:t>kubectl get events -A -o json   | jq -r '.items[] | select((.reason//"")|test("Pull|Image";"i"))     | [.metadata.namespace,.involvedObject.name,.reason,.message] | @tsv'</w:t>
            </w:r>
            <w:r>
              <w:br/>
            </w:r>
            <w:r>
              <w:rPr>
                <w:rFonts w:ascii="Consolas" w:hAnsi="Consolas" w:eastAsia="Consolas"/>
                <w:color w:val="172B3A"/>
                <w:sz w:val="16"/>
              </w:rPr>
            </w:r>
            <w:r>
              <w:br/>
            </w:r>
            <w:r>
              <w:rPr>
                <w:rFonts w:ascii="Consolas" w:hAnsi="Consolas" w:eastAsia="Consolas"/>
                <w:color w:val="172B3A"/>
                <w:sz w:val="16"/>
              </w:rPr>
              <w:t># Pod specs can retain upstream image names while containerd uses a configured mirror.</w:t>
            </w:r>
            <w:r>
              <w:br/>
            </w:r>
            <w:r>
              <w:rPr>
                <w:rFonts w:ascii="Consolas" w:hAnsi="Consolas" w:eastAsia="Consolas"/>
                <w:color w:val="172B3A"/>
                <w:sz w:val="16"/>
              </w:rPr>
              <w:t># Therefore, prove air-gap operation by blocked egress + healthy pulls + node mirror configuration,</w:t>
            </w:r>
            <w:r>
              <w:br/>
            </w:r>
            <w:r>
              <w:rPr>
                <w:rFonts w:ascii="Consolas" w:hAnsi="Consolas" w:eastAsia="Consolas"/>
                <w:color w:val="172B3A"/>
                <w:sz w:val="16"/>
              </w:rPr>
              <w:t># not merely by checking that every pod image string starts with the private-registry FQDN.</w:t>
            </w:r>
          </w:p>
        </w:tc>
      </w:tr>
    </w:tbl>
    <w:p>
      <w:pPr>
        <w:spacing w:after="0"/>
      </w:pPr>
    </w:p>
    <w:p>
      <w:pPr>
        <w:pStyle w:val="Heading2"/>
        <w:keepNext/>
      </w:pPr>
      <w:r>
        <w:t>13.5 Evidence pack</w:t>
      </w:r>
    </w:p>
    <w:p>
      <w:pPr>
        <w:spacing w:after="40"/>
      </w:pPr>
      <w:r>
        <w:rPr>
          <w:b/>
          <w:color w:val="1F6E8C"/>
          <w:sz w:val="18"/>
        </w:rPr>
        <w:t>Evidence collection</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ENV_FILE=/opt/nkp/config/customer.env   /opt/nkp/scripts/13_collect_evidence.sh</w:t>
            </w:r>
            <w:r>
              <w:br/>
            </w:r>
            <w:r>
              <w:rPr>
                <w:rFonts w:ascii="Consolas" w:hAnsi="Consolas" w:eastAsia="Consolas"/>
                <w:color w:val="172B3A"/>
                <w:sz w:val="16"/>
              </w:rPr>
            </w:r>
            <w:r>
              <w:br/>
            </w:r>
            <w:r>
              <w:rPr>
                <w:rFonts w:ascii="Consolas" w:hAnsi="Consolas" w:eastAsia="Consolas"/>
                <w:color w:val="172B3A"/>
                <w:sz w:val="16"/>
              </w:rPr>
              <w:t>sha256sum -c /opt/nkp/evidence/evidence-pack-*.tar.gz.sha256</w:t>
            </w:r>
            <w:r>
              <w:br/>
            </w:r>
            <w:r>
              <w:rPr>
                <w:rFonts w:ascii="Consolas" w:hAnsi="Consolas" w:eastAsia="Consolas"/>
                <w:color w:val="172B3A"/>
                <w:sz w:val="16"/>
              </w:rPr>
              <w:t># Review the archive before moving it across a security boundary. It excludes kubeconfigs,</w:t>
            </w:r>
            <w:r>
              <w:br/>
            </w:r>
            <w:r>
              <w:rPr>
                <w:rFonts w:ascii="Consolas" w:hAnsi="Consolas" w:eastAsia="Consolas"/>
                <w:color w:val="172B3A"/>
                <w:sz w:val="16"/>
              </w:rPr>
              <w:t># private keys, passwords, node images, and full air-gap bundles by design.</w:t>
            </w:r>
          </w:p>
        </w:tc>
      </w:tr>
    </w:tbl>
    <w:p>
      <w:pPr>
        <w:spacing w:after="0"/>
      </w:pPr>
    </w:p>
    <w:tbl>
      <w:tblPr>
        <w:tblW w:type="auto" w:w="0"/>
        <w:tblLayout w:type="autofit"/>
        <w:tblLook w:firstColumn="1" w:firstRow="1" w:lastColumn="0" w:lastRow="0" w:noHBand="0" w:noVBand="1" w:val="04A0"/>
      </w:tblPr>
      <w:tblGrid>
        <w:gridCol w:w="198"/>
        <w:gridCol w:w="9921"/>
      </w:tblGrid>
      <w:tr>
        <w:tc>
          <w:tcPr>
            <w:tcW w:type="dxa" w:w="5018"/>
            <w:shd w:fill="2F855A"/>
          </w:tcPr>
          <w:p>
            <w:r/>
          </w:p>
        </w:tc>
        <w:tc>
          <w:tcPr>
            <w:tcW w:type="dxa" w:w="5018"/>
            <w:shd w:fill="EAF7EF"/>
            <w:tcMar>
              <w:top w:w="100" w:type="dxa"/>
              <w:start w:w="120" w:type="dxa"/>
              <w:bottom w:w="100" w:type="dxa"/>
              <w:end w:w="120" w:type="dxa"/>
            </w:tcMar>
          </w:tcPr>
          <w:p>
            <w:pPr>
              <w:spacing w:after="40"/>
            </w:pPr>
            <w:r/>
            <w:r>
              <w:rPr>
                <w:b/>
                <w:color w:val="2F855A"/>
                <w:sz w:val="20"/>
              </w:rPr>
              <w:t>Gate 6 – Customer acceptance</w:t>
            </w:r>
          </w:p>
          <w:p>
            <w:pPr>
              <w:spacing w:after="0" w:line="252" w:lineRule="auto"/>
            </w:pPr>
            <w:r>
              <w:rPr>
                <w:color w:val="172B3A"/>
                <w:sz w:val="18"/>
              </w:rPr>
              <w:t>Customer signs off only after every mandatory acceptance item has an evidence reference, any conditional test is formally waived or scheduled, the registry/PKI/backup owners accept operations, and no critical warning remains.</w:t>
            </w:r>
          </w:p>
        </w:tc>
      </w:tr>
    </w:tbl>
    <w:p>
      <w:pPr>
        <w:spacing w:after="0"/>
      </w:pPr>
    </w:p>
    <w:p>
      <w:pPr>
        <w:pStyle w:val="Heading1"/>
        <w:keepNext/>
      </w:pPr>
      <w:r>
        <w:t>14. Troubleshooting playbook</w:t>
      </w:r>
    </w:p>
    <w:p>
      <w:pPr>
        <w:pStyle w:val="Heading2"/>
        <w:keepNext/>
      </w:pPr>
      <w:r>
        <w:t>14.1 General isolation sequence</w:t>
      </w:r>
    </w:p>
    <w:p>
      <w:pPr>
        <w:pStyle w:val="ListNumber"/>
      </w:pPr>
      <w:r>
        <w:t>Stop making changes. Record UTC time, command, return code, and last known-good gate.</w:t>
      </w:r>
    </w:p>
    <w:p>
      <w:pPr>
        <w:pStyle w:val="ListNumber"/>
      </w:pPr>
      <w:r>
        <w:t>Classify the failure: artifact/integrity, DNS, time, route/firewall, TLS, authentication/RBAC, registry, Prism object/capacity, bootstrap runtime, node image/cloud-init, Kubernetes/CNI, or storage.</w:t>
      </w:r>
    </w:p>
    <w:p>
      <w:pPr>
        <w:pStyle w:val="ListNumber"/>
      </w:pPr>
      <w:r>
        <w:t>Use read-only tests from the same source and destination as the failing component. A successful bastion curl does not prove a node can pull an image.</w:t>
      </w:r>
    </w:p>
    <w:p>
      <w:pPr>
        <w:pStyle w:val="ListNumber"/>
      </w:pPr>
      <w:r>
        <w:t>Collect logs and object state before restarting or deleting anything.</w:t>
      </w:r>
    </w:p>
    <w:p>
      <w:pPr>
        <w:pStyle w:val="ListNumber"/>
      </w:pPr>
      <w:r>
        <w:t>Change one variable at a time. Repeat the smallest failed test and retain before/after evidence.</w:t>
      </w:r>
    </w:p>
    <w:p>
      <w:pPr>
        <w:pStyle w:val="ListNumber"/>
      </w:pPr>
      <w:r>
        <w:t>Escalate with the exact NKP build, bundle/node-image hashes, Prism versions, timestamps, and redacted support bundle.</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2381"/>
            <w:tcMar>
              <w:top w:w="70" w:type="dxa"/>
              <w:start w:w="90" w:type="dxa"/>
              <w:bottom w:w="70" w:type="dxa"/>
              <w:end w:w="90" w:type="dxa"/>
            </w:tcMar>
            <w:vAlign w:val="center"/>
            <w:shd w:fill="17324D"/>
          </w:tcPr>
          <w:p>
            <w:pPr>
              <w:spacing w:after="0" w:before="0"/>
            </w:pPr>
            <w:r/>
            <w:r>
              <w:rPr>
                <w:rFonts w:ascii="Aptos" w:hAnsi="Aptos"/>
                <w:b/>
                <w:color w:val="FFFFFF"/>
                <w:sz w:val="15"/>
              </w:rPr>
              <w:t>Symptom</w:t>
            </w:r>
          </w:p>
        </w:tc>
        <w:tc>
          <w:tcPr>
            <w:tcW w:type="dxa" w:w="2494"/>
            <w:tcMar>
              <w:top w:w="70" w:type="dxa"/>
              <w:start w:w="90" w:type="dxa"/>
              <w:bottom w:w="70" w:type="dxa"/>
              <w:end w:w="90" w:type="dxa"/>
            </w:tcMar>
            <w:vAlign w:val="center"/>
            <w:shd w:fill="17324D"/>
          </w:tcPr>
          <w:p>
            <w:pPr>
              <w:spacing w:after="0" w:before="0"/>
            </w:pPr>
            <w:r/>
            <w:r>
              <w:rPr>
                <w:rFonts w:ascii="Aptos" w:hAnsi="Aptos"/>
                <w:b/>
                <w:color w:val="FFFFFF"/>
                <w:sz w:val="15"/>
              </w:rPr>
              <w:t>Likely domain</w:t>
            </w:r>
          </w:p>
        </w:tc>
        <w:tc>
          <w:tcPr>
            <w:tcW w:type="dxa" w:w="4989"/>
            <w:tcMar>
              <w:top w:w="70" w:type="dxa"/>
              <w:start w:w="90" w:type="dxa"/>
              <w:bottom w:w="70" w:type="dxa"/>
              <w:end w:w="90" w:type="dxa"/>
            </w:tcMar>
            <w:vAlign w:val="center"/>
            <w:shd w:fill="17324D"/>
          </w:tcPr>
          <w:p>
            <w:pPr>
              <w:spacing w:after="0" w:before="0"/>
            </w:pPr>
            <w:r/>
            <w:r>
              <w:rPr>
                <w:rFonts w:ascii="Aptos" w:hAnsi="Aptos"/>
                <w:b/>
                <w:color w:val="FFFFFF"/>
                <w:sz w:val="15"/>
              </w:rPr>
              <w:t>Focused action</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4"/>
              </w:rPr>
              <w:t>`x509: certificate is valid for … not …`</w:t>
            </w:r>
          </w:p>
        </w:tc>
        <w:tc>
          <w:tcPr>
            <w:tcW w:type="dxa" w:w="2494"/>
            <w:tcMar>
              <w:top w:w="70" w:type="dxa"/>
              <w:start w:w="90" w:type="dxa"/>
              <w:bottom w:w="70" w:type="dxa"/>
              <w:end w:w="90" w:type="dxa"/>
            </w:tcMar>
            <w:vAlign w:val="center"/>
          </w:tcPr>
          <w:p>
            <w:pPr>
              <w:spacing w:after="0" w:before="0"/>
            </w:pPr>
            <w:r/>
            <w:r>
              <w:rPr>
                <w:rFonts w:ascii="Aptos" w:hAnsi="Aptos"/>
                <w:b w:val="0"/>
                <w:color w:val="172B3A"/>
                <w:sz w:val="14"/>
              </w:rPr>
              <w:t>Registry/Prism DNS name does not match SAN.</w:t>
            </w:r>
          </w:p>
        </w:tc>
        <w:tc>
          <w:tcPr>
            <w:tcW w:type="dxa" w:w="4989"/>
            <w:tcMar>
              <w:top w:w="70" w:type="dxa"/>
              <w:start w:w="90" w:type="dxa"/>
              <w:bottom w:w="70" w:type="dxa"/>
              <w:end w:w="90" w:type="dxa"/>
            </w:tcMar>
            <w:vAlign w:val="center"/>
          </w:tcPr>
          <w:p>
            <w:pPr>
              <w:spacing w:after="0" w:before="0"/>
            </w:pPr>
            <w:r/>
            <w:r>
              <w:rPr>
                <w:rFonts w:ascii="Aptos" w:hAnsi="Aptos"/>
                <w:b w:val="0"/>
                <w:color w:val="172B3A"/>
                <w:sz w:val="14"/>
              </w:rPr>
              <w:t>Use the FQDN in SAN or reissue certificate. Do not hide with `-k`. Inspect with `openssl s_client ... -servername`.</w:t>
            </w:r>
          </w:p>
        </w:tc>
      </w:tr>
      <w:tr>
        <w:trPr>
          <w:cantSplit/>
        </w:trPr>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`unknown authority` / TLS chain failure</w:t>
            </w:r>
          </w:p>
        </w:tc>
        <w:tc>
          <w:tcPr>
            <w:tcW w:type="dxa" w:w="2494"/>
            <w:tcMar>
              <w:top w:w="70" w:type="dxa"/>
              <w:start w:w="90" w:type="dxa"/>
              <w:bottom w:w="70" w:type="dxa"/>
              <w:end w:w="90" w:type="dxa"/>
            </w:tcMar>
            <w:vAlign w:val="center"/>
            <w:shd w:fill="F8FAFC"/>
          </w:tcPr>
          <w:p>
            <w:pPr>
              <w:spacing w:after="0" w:before="0"/>
            </w:pPr>
            <w:r/>
            <w:r>
              <w:rPr>
                <w:rFonts w:ascii="Aptos" w:hAnsi="Aptos"/>
                <w:b w:val="0"/>
                <w:color w:val="172B3A"/>
                <w:sz w:val="14"/>
              </w:rPr>
              <w:t>Root/intermediate CA missing or wrong order.</w:t>
            </w:r>
          </w:p>
        </w:tc>
        <w:tc>
          <w:tcPr>
            <w:tcW w:type="dxa" w:w="4989"/>
            <w:tcMar>
              <w:top w:w="70" w:type="dxa"/>
              <w:start w:w="90" w:type="dxa"/>
              <w:bottom w:w="70" w:type="dxa"/>
              <w:end w:w="90" w:type="dxa"/>
            </w:tcMar>
            <w:vAlign w:val="center"/>
            <w:shd w:fill="F8FAFC"/>
          </w:tcPr>
          <w:p>
            <w:pPr>
              <w:spacing w:after="0" w:before="0"/>
            </w:pPr>
            <w:r/>
            <w:r>
              <w:rPr>
                <w:rFonts w:ascii="Aptos" w:hAnsi="Aptos"/>
                <w:b w:val="0"/>
                <w:color w:val="172B3A"/>
                <w:sz w:val="14"/>
              </w:rPr>
              <w:t>Verify full chain, update system trust, Docker certs.d, and NKP mirror CA; restart runtime and retest.</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4"/>
              </w:rPr>
              <w:t>Registry 401/403</w:t>
            </w:r>
          </w:p>
        </w:tc>
        <w:tc>
          <w:tcPr>
            <w:tcW w:type="dxa" w:w="2494"/>
            <w:tcMar>
              <w:top w:w="70" w:type="dxa"/>
              <w:start w:w="90" w:type="dxa"/>
              <w:bottom w:w="70" w:type="dxa"/>
              <w:end w:w="90" w:type="dxa"/>
            </w:tcMar>
            <w:vAlign w:val="center"/>
          </w:tcPr>
          <w:p>
            <w:pPr>
              <w:spacing w:after="0" w:before="0"/>
            </w:pPr>
            <w:r/>
            <w:r>
              <w:rPr>
                <w:rFonts w:ascii="Aptos" w:hAnsi="Aptos"/>
                <w:b w:val="0"/>
                <w:color w:val="172B3A"/>
                <w:sz w:val="14"/>
              </w:rPr>
              <w:t>Wrong credentials, project path, robot-account scope, token expiry.</w:t>
            </w:r>
          </w:p>
        </w:tc>
        <w:tc>
          <w:tcPr>
            <w:tcW w:type="dxa" w:w="4989"/>
            <w:tcMar>
              <w:top w:w="70" w:type="dxa"/>
              <w:start w:w="90" w:type="dxa"/>
              <w:bottom w:w="70" w:type="dxa"/>
              <w:end w:w="90" w:type="dxa"/>
            </w:tcMar>
            <w:vAlign w:val="center"/>
          </w:tcPr>
          <w:p>
            <w:pPr>
              <w:spacing w:after="0" w:before="0"/>
            </w:pPr>
            <w:r/>
            <w:r>
              <w:rPr>
                <w:rFonts w:ascii="Aptos" w:hAnsi="Aptos"/>
                <w:b w:val="0"/>
                <w:color w:val="172B3A"/>
                <w:sz w:val="14"/>
              </w:rPr>
              <w:t>Test `/v2/`, `docker login`, project read/write; prompt secrets again; inspect Harbor audit logs.</w:t>
            </w:r>
          </w:p>
        </w:tc>
      </w:tr>
      <w:tr>
        <w:trPr>
          <w:cantSplit/>
        </w:trPr>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Bundle push runs out of space</w:t>
            </w:r>
          </w:p>
        </w:tc>
        <w:tc>
          <w:tcPr>
            <w:tcW w:type="dxa" w:w="2494"/>
            <w:tcMar>
              <w:top w:w="70" w:type="dxa"/>
              <w:start w:w="90" w:type="dxa"/>
              <w:bottom w:w="70" w:type="dxa"/>
              <w:end w:w="90" w:type="dxa"/>
            </w:tcMar>
            <w:vAlign w:val="center"/>
            <w:shd w:fill="F8FAFC"/>
          </w:tcPr>
          <w:p>
            <w:pPr>
              <w:spacing w:after="0" w:before="0"/>
            </w:pPr>
            <w:r/>
            <w:r>
              <w:rPr>
                <w:rFonts w:ascii="Aptos" w:hAnsi="Aptos"/>
                <w:b w:val="0"/>
                <w:color w:val="172B3A"/>
                <w:sz w:val="14"/>
              </w:rPr>
              <w:t>Registry/workspace undersized or duplicate unpack data.</w:t>
            </w:r>
          </w:p>
        </w:tc>
        <w:tc>
          <w:tcPr>
            <w:tcW w:type="dxa" w:w="4989"/>
            <w:tcMar>
              <w:top w:w="70" w:type="dxa"/>
              <w:start w:w="90" w:type="dxa"/>
              <w:bottom w:w="70" w:type="dxa"/>
              <w:end w:w="90" w:type="dxa"/>
            </w:tcMar>
            <w:vAlign w:val="center"/>
            <w:shd w:fill="F8FAFC"/>
          </w:tcPr>
          <w:p>
            <w:pPr>
              <w:spacing w:after="0" w:before="0"/>
            </w:pPr>
            <w:r/>
            <w:r>
              <w:rPr>
                <w:rFonts w:ascii="Aptos" w:hAnsi="Aptos"/>
                <w:b w:val="0"/>
                <w:color w:val="172B3A"/>
                <w:sz w:val="14"/>
              </w:rPr>
              <w:t>Check `/opt/nkp`, `/var/lib/docker`, registry volume, inodes, quota; extend disk; do not delete partial data blindly.</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4"/>
              </w:rPr>
              <w:t>Bootstrap container/Kind failure</w:t>
            </w:r>
          </w:p>
        </w:tc>
        <w:tc>
          <w:tcPr>
            <w:tcW w:type="dxa" w:w="2494"/>
            <w:tcMar>
              <w:top w:w="70" w:type="dxa"/>
              <w:start w:w="90" w:type="dxa"/>
              <w:bottom w:w="70" w:type="dxa"/>
              <w:end w:w="90" w:type="dxa"/>
            </w:tcMar>
            <w:vAlign w:val="center"/>
          </w:tcPr>
          <w:p>
            <w:pPr>
              <w:spacing w:after="0" w:before="0"/>
            </w:pPr>
            <w:r/>
            <w:r>
              <w:rPr>
                <w:rFonts w:ascii="Aptos" w:hAnsi="Aptos"/>
                <w:b w:val="0"/>
                <w:color w:val="172B3A"/>
                <w:sz w:val="14"/>
              </w:rPr>
              <w:t>Docker down, kernel modules/sysctl missing, bridge CIDR overlap, disk pressure.</w:t>
            </w:r>
          </w:p>
        </w:tc>
        <w:tc>
          <w:tcPr>
            <w:tcW w:type="dxa" w:w="4989"/>
            <w:tcMar>
              <w:top w:w="70" w:type="dxa"/>
              <w:start w:w="90" w:type="dxa"/>
              <w:bottom w:w="70" w:type="dxa"/>
              <w:end w:w="90" w:type="dxa"/>
            </w:tcMar>
            <w:vAlign w:val="center"/>
          </w:tcPr>
          <w:p>
            <w:pPr>
              <w:spacing w:after="0" w:before="0"/>
            </w:pPr>
            <w:r/>
            <w:r>
              <w:rPr>
                <w:rFonts w:ascii="Aptos" w:hAnsi="Aptos"/>
                <w:b w:val="0"/>
                <w:color w:val="172B3A"/>
                <w:sz w:val="14"/>
              </w:rPr>
              <w:t>`docker info`, `docker ps -a`, logs, `lsmod`, `sysctl`, route/CIDR comparison, disk/inodes.</w:t>
            </w:r>
          </w:p>
        </w:tc>
      </w:tr>
      <w:tr>
        <w:trPr>
          <w:cantSplit/>
        </w:trPr>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Prism API 401/403</w:t>
            </w:r>
          </w:p>
        </w:tc>
        <w:tc>
          <w:tcPr>
            <w:tcW w:type="dxa" w:w="2494"/>
            <w:tcMar>
              <w:top w:w="70" w:type="dxa"/>
              <w:start w:w="90" w:type="dxa"/>
              <w:bottom w:w="70" w:type="dxa"/>
              <w:end w:w="90" w:type="dxa"/>
            </w:tcMar>
            <w:vAlign w:val="center"/>
            <w:shd w:fill="F8FAFC"/>
          </w:tcPr>
          <w:p>
            <w:pPr>
              <w:spacing w:after="0" w:before="0"/>
            </w:pPr>
            <w:r/>
            <w:r>
              <w:rPr>
                <w:rFonts w:ascii="Aptos" w:hAnsi="Aptos"/>
                <w:b w:val="0"/>
                <w:color w:val="172B3A"/>
                <w:sz w:val="14"/>
              </w:rPr>
              <w:t>Credential/role issue, time skew, endpoint/cert mismatch.</w:t>
            </w:r>
          </w:p>
        </w:tc>
        <w:tc>
          <w:tcPr>
            <w:tcW w:type="dxa" w:w="4989"/>
            <w:tcMar>
              <w:top w:w="70" w:type="dxa"/>
              <w:start w:w="90" w:type="dxa"/>
              <w:bottom w:w="70" w:type="dxa"/>
              <w:end w:w="90" w:type="dxa"/>
            </w:tcMar>
            <w:vAlign w:val="center"/>
            <w:shd w:fill="F8FAFC"/>
          </w:tcPr>
          <w:p>
            <w:pPr>
              <w:spacing w:after="0" w:before="0"/>
            </w:pPr>
            <w:r/>
            <w:r>
              <w:rPr>
                <w:rFonts w:ascii="Aptos" w:hAnsi="Aptos"/>
                <w:b w:val="0"/>
                <w:color w:val="172B3A"/>
                <w:sz w:val="14"/>
              </w:rPr>
              <w:t>Validate NTP, service-account role, PC FQDN, CA, API response. Avoid personal admin as permanent fix.</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4"/>
              </w:rPr>
              <w:t>VM clone/image task failure</w:t>
            </w:r>
          </w:p>
        </w:tc>
        <w:tc>
          <w:tcPr>
            <w:tcW w:type="dxa" w:w="2494"/>
            <w:tcMar>
              <w:top w:w="70" w:type="dxa"/>
              <w:start w:w="90" w:type="dxa"/>
              <w:bottom w:w="70" w:type="dxa"/>
              <w:end w:w="90" w:type="dxa"/>
            </w:tcMar>
            <w:vAlign w:val="center"/>
          </w:tcPr>
          <w:p>
            <w:pPr>
              <w:spacing w:after="0" w:before="0"/>
            </w:pPr>
            <w:r/>
            <w:r>
              <w:rPr>
                <w:rFonts w:ascii="Aptos" w:hAnsi="Aptos"/>
                <w:b w:val="0"/>
                <w:color w:val="172B3A"/>
                <w:sz w:val="14"/>
              </w:rPr>
              <w:t>Wrong image, image not active on target cluster, capacity/storage issue.</w:t>
            </w:r>
          </w:p>
        </w:tc>
        <w:tc>
          <w:tcPr>
            <w:tcW w:type="dxa" w:w="4989"/>
            <w:tcMar>
              <w:top w:w="70" w:type="dxa"/>
              <w:start w:w="90" w:type="dxa"/>
              <w:bottom w:w="70" w:type="dxa"/>
              <w:end w:w="90" w:type="dxa"/>
            </w:tcMar>
            <w:vAlign w:val="center"/>
          </w:tcPr>
          <w:p>
            <w:pPr>
              <w:spacing w:after="0" w:before="0"/>
            </w:pPr>
            <w:r/>
            <w:r>
              <w:rPr>
                <w:rFonts w:ascii="Aptos" w:hAnsi="Aptos"/>
                <w:b w:val="0"/>
                <w:color w:val="172B3A"/>
                <w:sz w:val="14"/>
              </w:rPr>
              <w:t>Inspect Prism tasks/events; verify image UUID/state, target cluster, storage free space.</w:t>
            </w:r>
          </w:p>
        </w:tc>
      </w:tr>
      <w:tr>
        <w:trPr>
          <w:cantSplit/>
        </w:trPr>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VM has no IP</w:t>
            </w:r>
          </w:p>
        </w:tc>
        <w:tc>
          <w:tcPr>
            <w:tcW w:type="dxa" w:w="2494"/>
            <w:tcMar>
              <w:top w:w="70" w:type="dxa"/>
              <w:start w:w="90" w:type="dxa"/>
              <w:bottom w:w="70" w:type="dxa"/>
              <w:end w:w="90" w:type="dxa"/>
            </w:tcMar>
            <w:vAlign w:val="center"/>
            <w:shd w:fill="F8FAFC"/>
          </w:tcPr>
          <w:p>
            <w:pPr>
              <w:spacing w:after="0" w:before="0"/>
            </w:pPr>
            <w:r/>
            <w:r>
              <w:rPr>
                <w:rFonts w:ascii="Aptos" w:hAnsi="Aptos"/>
                <w:b w:val="0"/>
                <w:color w:val="172B3A"/>
                <w:sz w:val="14"/>
              </w:rPr>
              <w:t>DHCP/IPAM unavailable, wrong subnet/VLAN, cloud-init/image mismatch.</w:t>
            </w:r>
          </w:p>
        </w:tc>
        <w:tc>
          <w:tcPr>
            <w:tcW w:type="dxa" w:w="4989"/>
            <w:tcMar>
              <w:top w:w="70" w:type="dxa"/>
              <w:start w:w="90" w:type="dxa"/>
              <w:bottom w:w="70" w:type="dxa"/>
              <w:end w:w="90" w:type="dxa"/>
            </w:tcMar>
            <w:vAlign w:val="center"/>
            <w:shd w:fill="F8FAFC"/>
          </w:tcPr>
          <w:p>
            <w:pPr>
              <w:spacing w:after="0" w:before="0"/>
            </w:pPr>
            <w:r/>
            <w:r>
              <w:rPr>
                <w:rFonts w:ascii="Aptos" w:hAnsi="Aptos"/>
                <w:b w:val="0"/>
                <w:color w:val="172B3A"/>
                <w:sz w:val="14"/>
              </w:rPr>
              <w:t>Test disposable VM; inspect NIC/subnet, DHCP leases, VLAN, cloud-init console/logs.</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4"/>
              </w:rPr>
              <w:t>Control-plane VIP unreachable</w:t>
            </w:r>
          </w:p>
        </w:tc>
        <w:tc>
          <w:tcPr>
            <w:tcW w:type="dxa" w:w="2494"/>
            <w:tcMar>
              <w:top w:w="70" w:type="dxa"/>
              <w:start w:w="90" w:type="dxa"/>
              <w:bottom w:w="70" w:type="dxa"/>
              <w:end w:w="90" w:type="dxa"/>
            </w:tcMar>
            <w:vAlign w:val="center"/>
          </w:tcPr>
          <w:p>
            <w:pPr>
              <w:spacing w:after="0" w:before="0"/>
            </w:pPr>
            <w:r/>
            <w:r>
              <w:rPr>
                <w:rFonts w:ascii="Aptos" w:hAnsi="Aptos"/>
                <w:b w:val="0"/>
                <w:color w:val="172B3A"/>
                <w:sz w:val="14"/>
              </w:rPr>
              <w:t>Duplicate/reserved incorrectly, L2/routing/firewall/ARP issue.</w:t>
            </w:r>
          </w:p>
        </w:tc>
        <w:tc>
          <w:tcPr>
            <w:tcW w:type="dxa" w:w="4989"/>
            <w:tcMar>
              <w:top w:w="70" w:type="dxa"/>
              <w:start w:w="90" w:type="dxa"/>
              <w:bottom w:w="70" w:type="dxa"/>
              <w:end w:w="90" w:type="dxa"/>
            </w:tcMar>
            <w:vAlign w:val="center"/>
          </w:tcPr>
          <w:p>
            <w:pPr>
              <w:spacing w:after="0" w:before="0"/>
            </w:pPr>
            <w:r/>
            <w:r>
              <w:rPr>
                <w:rFonts w:ascii="Aptos" w:hAnsi="Aptos"/>
                <w:b w:val="0"/>
                <w:color w:val="172B3A"/>
                <w:sz w:val="14"/>
              </w:rPr>
              <w:t>IPAM check, `arping -D`, packet capture, route/firewall validation, API listener checks.</w:t>
            </w:r>
          </w:p>
        </w:tc>
      </w:tr>
      <w:tr>
        <w:trPr>
          <w:cantSplit/>
        </w:trPr>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ImagePullBackOff</w:t>
            </w:r>
          </w:p>
        </w:tc>
        <w:tc>
          <w:tcPr>
            <w:tcW w:type="dxa" w:w="2494"/>
            <w:tcMar>
              <w:top w:w="70" w:type="dxa"/>
              <w:start w:w="90" w:type="dxa"/>
              <w:bottom w:w="70" w:type="dxa"/>
              <w:end w:w="90" w:type="dxa"/>
            </w:tcMar>
            <w:vAlign w:val="center"/>
            <w:shd w:fill="F8FAFC"/>
          </w:tcPr>
          <w:p>
            <w:pPr>
              <w:spacing w:after="0" w:before="0"/>
            </w:pPr>
            <w:r/>
            <w:r>
              <w:rPr>
                <w:rFonts w:ascii="Aptos" w:hAnsi="Aptos"/>
                <w:b w:val="0"/>
                <w:color w:val="172B3A"/>
                <w:sz w:val="14"/>
              </w:rPr>
              <w:t>Mirror URL/CA/auth/path missing on nodes; registry route/DNS; artifact absent.</w:t>
            </w:r>
          </w:p>
        </w:tc>
        <w:tc>
          <w:tcPr>
            <w:tcW w:type="dxa" w:w="4989"/>
            <w:tcMar>
              <w:top w:w="70" w:type="dxa"/>
              <w:start w:w="90" w:type="dxa"/>
              <w:bottom w:w="70" w:type="dxa"/>
              <w:end w:w="90" w:type="dxa"/>
            </w:tcMar>
            <w:vAlign w:val="center"/>
            <w:shd w:fill="F8FAFC"/>
          </w:tcPr>
          <w:p>
            <w:pPr>
              <w:spacing w:after="0" w:before="0"/>
            </w:pPr>
            <w:r/>
            <w:r>
              <w:rPr>
                <w:rFonts w:ascii="Aptos" w:hAnsi="Aptos"/>
                <w:b w:val="0"/>
                <w:color w:val="172B3A"/>
                <w:sz w:val="14"/>
              </w:rPr>
              <w:t>Describe pod, events, node runtime logs/config, pull from node, registry repository/digest inventory.</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4"/>
              </w:rPr>
              <w:t>CoreDNS failures</w:t>
            </w:r>
          </w:p>
        </w:tc>
        <w:tc>
          <w:tcPr>
            <w:tcW w:type="dxa" w:w="2494"/>
            <w:tcMar>
              <w:top w:w="70" w:type="dxa"/>
              <w:start w:w="90" w:type="dxa"/>
              <w:bottom w:w="70" w:type="dxa"/>
              <w:end w:w="90" w:type="dxa"/>
            </w:tcMar>
            <w:vAlign w:val="center"/>
          </w:tcPr>
          <w:p>
            <w:pPr>
              <w:spacing w:after="0" w:before="0"/>
            </w:pPr>
            <w:r/>
            <w:r>
              <w:rPr>
                <w:rFonts w:ascii="Aptos" w:hAnsi="Aptos"/>
                <w:b w:val="0"/>
                <w:color w:val="172B3A"/>
                <w:sz w:val="14"/>
              </w:rPr>
              <w:t>Node resolver/DNS route, search domain, upstream outage, MTU.</w:t>
            </w:r>
          </w:p>
        </w:tc>
        <w:tc>
          <w:tcPr>
            <w:tcW w:type="dxa" w:w="4989"/>
            <w:tcMar>
              <w:top w:w="70" w:type="dxa"/>
              <w:start w:w="90" w:type="dxa"/>
              <w:bottom w:w="70" w:type="dxa"/>
              <w:end w:w="90" w:type="dxa"/>
            </w:tcMar>
            <w:vAlign w:val="center"/>
          </w:tcPr>
          <w:p>
            <w:pPr>
              <w:spacing w:after="0" w:before="0"/>
            </w:pPr>
            <w:r/>
            <w:r>
              <w:rPr>
                <w:rFonts w:ascii="Aptos" w:hAnsi="Aptos"/>
                <w:b w:val="0"/>
                <w:color w:val="172B3A"/>
                <w:sz w:val="14"/>
              </w:rPr>
              <w:t>`kubectl logs`, test pod `nslookup`, node `/etc/resolv.conf`, packet capture, MTU probe.</w:t>
            </w:r>
          </w:p>
        </w:tc>
      </w:tr>
      <w:tr>
        <w:trPr>
          <w:cantSplit/>
        </w:trPr>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4"/>
              </w:rPr>
              <w:t>PVC Pending</w:t>
            </w:r>
          </w:p>
        </w:tc>
        <w:tc>
          <w:tcPr>
            <w:tcW w:type="dxa" w:w="2494"/>
            <w:tcMar>
              <w:top w:w="70" w:type="dxa"/>
              <w:start w:w="90" w:type="dxa"/>
              <w:bottom w:w="70" w:type="dxa"/>
              <w:end w:w="90" w:type="dxa"/>
            </w:tcMar>
            <w:vAlign w:val="center"/>
            <w:shd w:fill="F8FAFC"/>
          </w:tcPr>
          <w:p>
            <w:pPr>
              <w:spacing w:after="0" w:before="0"/>
            </w:pPr>
            <w:r/>
            <w:r>
              <w:rPr>
                <w:rFonts w:ascii="Aptos" w:hAnsi="Aptos"/>
                <w:b w:val="0"/>
                <w:color w:val="172B3A"/>
                <w:sz w:val="14"/>
              </w:rPr>
              <w:t>StorageClass/CSI, container name, access mode, topology, API/firewall.</w:t>
            </w:r>
          </w:p>
        </w:tc>
        <w:tc>
          <w:tcPr>
            <w:tcW w:type="dxa" w:w="4989"/>
            <w:tcMar>
              <w:top w:w="70" w:type="dxa"/>
              <w:start w:w="90" w:type="dxa"/>
              <w:bottom w:w="70" w:type="dxa"/>
              <w:end w:w="90" w:type="dxa"/>
            </w:tcMar>
            <w:vAlign w:val="center"/>
            <w:shd w:fill="F8FAFC"/>
          </w:tcPr>
          <w:p>
            <w:pPr>
              <w:spacing w:after="0" w:before="0"/>
            </w:pPr>
            <w:r/>
            <w:r>
              <w:rPr>
                <w:rFonts w:ascii="Aptos" w:hAnsi="Aptos"/>
                <w:b w:val="0"/>
                <w:color w:val="172B3A"/>
                <w:sz w:val="14"/>
              </w:rPr>
              <w:t>Describe PVC, CSI pods/logs, StorageClass parameters, Prism tasks, storage protocol path.</w:t>
            </w:r>
          </w:p>
        </w:tc>
      </w:tr>
      <w:tr>
        <w:trPr>
          <w:cantSplit/>
        </w:trPr>
        <w:tc>
          <w:tcPr>
            <w:tcW w:type="dxa" w:w="2381"/>
            <w:tcMar>
              <w:top w:w="70" w:type="dxa"/>
              <w:start w:w="90" w:type="dxa"/>
              <w:bottom w:w="70" w:type="dxa"/>
              <w:end w:w="90" w:type="dxa"/>
            </w:tcMar>
            <w:vAlign w:val="center"/>
          </w:tcPr>
          <w:p>
            <w:pPr>
              <w:spacing w:after="0" w:before="0"/>
            </w:pPr>
            <w:r/>
            <w:r>
              <w:rPr>
                <w:rFonts w:ascii="Aptos" w:hAnsi="Aptos"/>
                <w:b w:val="0"/>
                <w:color w:val="172B3A"/>
                <w:sz w:val="14"/>
              </w:rPr>
              <w:t>Intermittent cross-node traffic</w:t>
            </w:r>
          </w:p>
        </w:tc>
        <w:tc>
          <w:tcPr>
            <w:tcW w:type="dxa" w:w="2494"/>
            <w:tcMar>
              <w:top w:w="70" w:type="dxa"/>
              <w:start w:w="90" w:type="dxa"/>
              <w:bottom w:w="70" w:type="dxa"/>
              <w:end w:w="90" w:type="dxa"/>
            </w:tcMar>
            <w:vAlign w:val="center"/>
          </w:tcPr>
          <w:p>
            <w:pPr>
              <w:spacing w:after="0" w:before="0"/>
            </w:pPr>
            <w:r/>
            <w:r>
              <w:rPr>
                <w:rFonts w:ascii="Aptos" w:hAnsi="Aptos"/>
                <w:b w:val="0"/>
                <w:color w:val="172B3A"/>
                <w:sz w:val="14"/>
              </w:rPr>
              <w:t>MTU/encapsulation, CNI mode, firewall, asymmetric route.</w:t>
            </w:r>
          </w:p>
        </w:tc>
        <w:tc>
          <w:tcPr>
            <w:tcW w:type="dxa" w:w="4989"/>
            <w:tcMar>
              <w:top w:w="70" w:type="dxa"/>
              <w:start w:w="90" w:type="dxa"/>
              <w:bottom w:w="70" w:type="dxa"/>
              <w:end w:w="90" w:type="dxa"/>
            </w:tcMar>
            <w:vAlign w:val="center"/>
          </w:tcPr>
          <w:p>
            <w:pPr>
              <w:spacing w:after="0" w:before="0"/>
            </w:pPr>
            <w:r/>
            <w:r>
              <w:rPr>
                <w:rFonts w:ascii="Aptos" w:hAnsi="Aptos"/>
                <w:b w:val="0"/>
                <w:color w:val="172B3A"/>
                <w:sz w:val="14"/>
              </w:rPr>
              <w:t>DF ping, CNI logs/config, node-to-node capture, underlay MTU and east-west rule review.</w:t>
            </w:r>
          </w:p>
        </w:tc>
      </w:tr>
    </w:tbl>
    <w:p>
      <w:pPr>
        <w:spacing w:after="0"/>
      </w:pPr>
    </w:p>
    <w:p>
      <w:pPr>
        <w:pStyle w:val="Heading2"/>
        <w:keepNext/>
      </w:pPr>
      <w:r>
        <w:t>14.2 Evidence commands before restart/delete</w:t>
      </w:r>
    </w:p>
    <w:p>
      <w:pPr>
        <w:spacing w:after="40"/>
      </w:pPr>
      <w:r>
        <w:rPr>
          <w:b/>
          <w:color w:val="1F6E8C"/>
          <w:sz w:val="18"/>
        </w:rPr>
        <w:t>Minimum incident snapshot</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date -u +%FT%TZ</w:t>
            </w:r>
            <w:r>
              <w:br/>
            </w:r>
            <w:r>
              <w:rPr>
                <w:rFonts w:ascii="Consolas" w:hAnsi="Consolas" w:eastAsia="Consolas"/>
                <w:color w:val="172B3A"/>
                <w:sz w:val="16"/>
              </w:rPr>
              <w:t>nkp version || nkp --version</w:t>
            </w:r>
            <w:r>
              <w:br/>
            </w:r>
            <w:r>
              <w:rPr>
                <w:rFonts w:ascii="Consolas" w:hAnsi="Consolas" w:eastAsia="Consolas"/>
                <w:color w:val="172B3A"/>
                <w:sz w:val="16"/>
              </w:rPr>
              <w:t>docker ps -a</w:t>
            </w:r>
            <w:r>
              <w:br/>
            </w:r>
            <w:r>
              <w:rPr>
                <w:rFonts w:ascii="Consolas" w:hAnsi="Consolas" w:eastAsia="Consolas"/>
                <w:color w:val="172B3A"/>
                <w:sz w:val="16"/>
              </w:rPr>
              <w:t>docker logs &lt;NAME&gt; --tail 500</w:t>
            </w:r>
            <w:r>
              <w:br/>
            </w:r>
            <w:r>
              <w:rPr>
                <w:rFonts w:ascii="Consolas" w:hAnsi="Consolas" w:eastAsia="Consolas"/>
                <w:color w:val="172B3A"/>
                <w:sz w:val="16"/>
              </w:rPr>
            </w:r>
            <w:r>
              <w:br/>
            </w:r>
            <w:r>
              <w:rPr>
                <w:rFonts w:ascii="Consolas" w:hAnsi="Consolas" w:eastAsia="Consolas"/>
                <w:color w:val="172B3A"/>
                <w:sz w:val="16"/>
              </w:rPr>
              <w:t>df -hT; df -ih</w:t>
            </w:r>
            <w:r>
              <w:br/>
            </w:r>
            <w:r>
              <w:rPr>
                <w:rFonts w:ascii="Consolas" w:hAnsi="Consolas" w:eastAsia="Consolas"/>
                <w:color w:val="172B3A"/>
                <w:sz w:val="16"/>
              </w:rPr>
              <w:t>ip -br a; ip route</w:t>
            </w:r>
            <w:r>
              <w:br/>
            </w:r>
            <w:r>
              <w:rPr>
                <w:rFonts w:ascii="Consolas" w:hAnsi="Consolas" w:eastAsia="Consolas"/>
                <w:color w:val="172B3A"/>
                <w:sz w:val="16"/>
              </w:rPr>
              <w:t>chronyc tracking</w:t>
            </w:r>
            <w:r>
              <w:br/>
            </w:r>
            <w:r>
              <w:rPr>
                <w:rFonts w:ascii="Consolas" w:hAnsi="Consolas" w:eastAsia="Consolas"/>
                <w:color w:val="172B3A"/>
                <w:sz w:val="16"/>
              </w:rPr>
              <w:t>getent ahostsv4 registry.customer.local pc.customer.local</w:t>
            </w:r>
            <w:r>
              <w:br/>
            </w:r>
            <w:r>
              <w:rPr>
                <w:rFonts w:ascii="Consolas" w:hAnsi="Consolas" w:eastAsia="Consolas"/>
                <w:color w:val="172B3A"/>
                <w:sz w:val="16"/>
              </w:rPr>
            </w:r>
            <w:r>
              <w:br/>
            </w:r>
            <w:r>
              <w:rPr>
                <w:rFonts w:ascii="Consolas" w:hAnsi="Consolas" w:eastAsia="Consolas"/>
                <w:color w:val="172B3A"/>
                <w:sz w:val="16"/>
              </w:rPr>
              <w:t>kubectl get nodes -o wide</w:t>
            </w:r>
            <w:r>
              <w:br/>
            </w:r>
            <w:r>
              <w:rPr>
                <w:rFonts w:ascii="Consolas" w:hAnsi="Consolas" w:eastAsia="Consolas"/>
                <w:color w:val="172B3A"/>
                <w:sz w:val="16"/>
              </w:rPr>
              <w:t>kubectl get pods -A -o wide</w:t>
            </w:r>
            <w:r>
              <w:br/>
            </w:r>
            <w:r>
              <w:rPr>
                <w:rFonts w:ascii="Consolas" w:hAnsi="Consolas" w:eastAsia="Consolas"/>
                <w:color w:val="172B3A"/>
                <w:sz w:val="16"/>
              </w:rPr>
              <w:t>kubectl get events -A --sort-by='.lastTimestamp' | tail -300</w:t>
            </w:r>
            <w:r>
              <w:br/>
            </w:r>
            <w:r>
              <w:rPr>
                <w:rFonts w:ascii="Consolas" w:hAnsi="Consolas" w:eastAsia="Consolas"/>
                <w:color w:val="172B3A"/>
                <w:sz w:val="16"/>
              </w:rPr>
              <w:t>kubectl describe pod -n &lt;NAMESPACE&gt; &lt;POD&gt;</w:t>
            </w:r>
            <w:r>
              <w:br/>
            </w:r>
            <w:r>
              <w:rPr>
                <w:rFonts w:ascii="Consolas" w:hAnsi="Consolas" w:eastAsia="Consolas"/>
                <w:color w:val="172B3A"/>
                <w:sz w:val="16"/>
              </w:rPr>
              <w:t>kubectl logs -n &lt;NAMESPACE&gt; &lt;POD&gt; --all-containers --tail=500</w:t>
            </w:r>
            <w:r>
              <w:br/>
            </w:r>
            <w:r>
              <w:rPr>
                <w:rFonts w:ascii="Consolas" w:hAnsi="Consolas" w:eastAsia="Consolas"/>
                <w:color w:val="172B3A"/>
                <w:sz w:val="16"/>
              </w:rPr>
            </w:r>
            <w:r>
              <w:br/>
            </w:r>
            <w:r>
              <w:rPr>
                <w:rFonts w:ascii="Consolas" w:hAnsi="Consolas" w:eastAsia="Consolas"/>
                <w:color w:val="172B3A"/>
                <w:sz w:val="16"/>
              </w:rPr>
              <w:t># Nutanix-side: export Prism task/event details and affected VM identifiers.</w:t>
            </w:r>
          </w:p>
        </w:tc>
      </w:tr>
    </w:tbl>
    <w:p>
      <w:pPr>
        <w:spacing w:after="0"/>
      </w:pPr>
    </w:p>
    <w:p>
      <w:pPr>
        <w:pStyle w:val="Heading1"/>
        <w:keepNext/>
      </w:pPr>
      <w:r>
        <w:t>15. Recovery, retry, and rollback</w:t>
      </w:r>
    </w:p>
    <w:p>
      <w:pPr>
        <w:pStyle w:val="Heading2"/>
        <w:keepNext/>
      </w:pPr>
      <w:r>
        <w:t>15.1 Failure before cluster creation</w:t>
      </w:r>
    </w:p>
    <w:p>
      <w:pPr>
        <w:spacing w:after="120" w:line="259" w:lineRule="auto"/>
      </w:pPr>
      <w:r>
        <w:t>No Nutanix infrastructure should have been changed. Correct the failed gate, regenerate the transfer kit when an artifact changed, re-run checksums, and repeat the dry run. Registry test tags can be retained for evidence or deleted under the registry retention policy.</w:t>
      </w:r>
    </w:p>
    <w:p>
      <w:pPr>
        <w:pStyle w:val="Heading2"/>
        <w:keepNext/>
      </w:pPr>
      <w:r>
        <w:t>15.2 Failure during cluster creation</w:t>
      </w:r>
    </w:p>
    <w:p>
      <w:pPr>
        <w:ind w:left="312" w:hanging="142"/>
      </w:pPr>
      <w:r>
        <w:t xml:space="preserve">☐ </w:t>
      </w:r>
      <w:r>
        <w:t>Do not manually delete VMs, disks, categories, or CAPI objects as the first response.</w:t>
      </w:r>
    </w:p>
    <w:p>
      <w:pPr>
        <w:ind w:left="312" w:hanging="142"/>
      </w:pPr>
      <w:r>
        <w:t xml:space="preserve">☐ </w:t>
      </w:r>
      <w:r>
        <w:t>Collect bastion, bootstrap runtime, NKP CLI, Prism task/event, registry, and network evidence.</w:t>
      </w:r>
    </w:p>
    <w:p>
      <w:pPr>
        <w:ind w:left="312" w:hanging="142"/>
      </w:pPr>
      <w:r>
        <w:t xml:space="preserve">☐ </w:t>
      </w:r>
      <w:r>
        <w:t>Determine where Cluster API ownership resides and whether the bootstrap cluster is still required.</w:t>
      </w:r>
    </w:p>
    <w:p>
      <w:pPr>
        <w:ind w:left="312" w:hanging="142"/>
      </w:pPr>
      <w:r>
        <w:t xml:space="preserve">☐ </w:t>
      </w:r>
      <w:r>
        <w:t>Use the release-supported NKP delete/retry workflow only after evidence and approval. Confirm persistent application data implications.</w:t>
      </w:r>
    </w:p>
    <w:p>
      <w:pPr>
        <w:ind w:left="312" w:hanging="142"/>
      </w:pPr>
      <w:r>
        <w:t xml:space="preserve">☐ </w:t>
      </w:r>
      <w:r>
        <w:t>After cleanup, prove that no orphaned VMs, disks, IP allocations, load-balancer addresses, registry tags, or CAPI resources remain.</w:t>
      </w:r>
    </w:p>
    <w:p>
      <w:pPr>
        <w:spacing w:after="40"/>
      </w:pPr>
      <w:r>
        <w:rPr>
          <w:b/>
          <w:color w:val="1F6E8C"/>
          <w:sz w:val="18"/>
        </w:rPr>
        <w:t>Guarded cleanup helper</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 Safe default: render only.</w:t>
            </w:r>
            <w:r>
              <w:br/>
            </w:r>
            <w:r>
              <w:rPr>
                <w:rFonts w:ascii="Consolas" w:hAnsi="Consolas" w:eastAsia="Consolas"/>
                <w:color w:val="172B3A"/>
                <w:sz w:val="16"/>
              </w:rPr>
              <w:t>ENV_FILE=/opt/nkp/config/customer.env   /opt/nkp/scripts/99_guarded_failed_cluster_cleanup.sh --dry-run</w:t>
            </w:r>
            <w:r>
              <w:br/>
            </w:r>
            <w:r>
              <w:rPr>
                <w:rFonts w:ascii="Consolas" w:hAnsi="Consolas" w:eastAsia="Consolas"/>
                <w:color w:val="172B3A"/>
                <w:sz w:val="16"/>
              </w:rPr>
            </w:r>
            <w:r>
              <w:br/>
            </w:r>
            <w:r>
              <w:rPr>
                <w:rFonts w:ascii="Consolas" w:hAnsi="Consolas" w:eastAsia="Consolas"/>
                <w:color w:val="172B3A"/>
                <w:sz w:val="16"/>
              </w:rPr>
              <w:t># Destructive apply is intentionally omitted from the normal runbook sequence.</w:t>
            </w:r>
            <w:r>
              <w:br/>
            </w:r>
            <w:r>
              <w:rPr>
                <w:rFonts w:ascii="Consolas" w:hAnsi="Consolas" w:eastAsia="Consolas"/>
                <w:color w:val="172B3A"/>
                <w:sz w:val="16"/>
              </w:rPr>
              <w:t># It requires separate approval and typing: DELETE &lt;cluster-name&gt;</w:t>
            </w:r>
          </w:p>
        </w:tc>
      </w:tr>
    </w:tbl>
    <w:p>
      <w:pPr>
        <w:spacing w:after="0"/>
      </w:pPr>
    </w:p>
    <w:p>
      <w:pPr>
        <w:pStyle w:val="Heading2"/>
        <w:keepNext/>
      </w:pPr>
      <w:r>
        <w:t>15.3 Recovery decision table</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2948"/>
            <w:tcMar>
              <w:top w:w="70" w:type="dxa"/>
              <w:start w:w="90" w:type="dxa"/>
              <w:bottom w:w="70" w:type="dxa"/>
              <w:end w:w="90" w:type="dxa"/>
            </w:tcMar>
            <w:vAlign w:val="center"/>
            <w:shd w:fill="17324D"/>
          </w:tcPr>
          <w:p>
            <w:pPr>
              <w:spacing w:after="0" w:before="0"/>
            </w:pPr>
            <w:r/>
            <w:r>
              <w:rPr>
                <w:rFonts w:ascii="Aptos" w:hAnsi="Aptos"/>
                <w:b/>
                <w:color w:val="FFFFFF"/>
                <w:sz w:val="16"/>
              </w:rPr>
              <w:t>Condition</w:t>
            </w:r>
          </w:p>
        </w:tc>
        <w:tc>
          <w:tcPr>
            <w:tcW w:type="dxa" w:w="6973"/>
            <w:tcMar>
              <w:top w:w="70" w:type="dxa"/>
              <w:start w:w="90" w:type="dxa"/>
              <w:bottom w:w="70" w:type="dxa"/>
              <w:end w:w="90" w:type="dxa"/>
            </w:tcMar>
            <w:vAlign w:val="center"/>
            <w:shd w:fill="17324D"/>
          </w:tcPr>
          <w:p>
            <w:pPr>
              <w:spacing w:after="0" w:before="0"/>
            </w:pPr>
            <w:r/>
            <w:r>
              <w:rPr>
                <w:rFonts w:ascii="Aptos" w:hAnsi="Aptos"/>
                <w:b/>
                <w:color w:val="FFFFFF"/>
                <w:sz w:val="16"/>
              </w:rPr>
              <w:t>Recommended action</w:t>
            </w:r>
          </w:p>
        </w:tc>
      </w:tr>
      <w:tr>
        <w:trPr>
          <w:cantSplit/>
        </w:trPr>
        <w:tc>
          <w:tcPr>
            <w:tcW w:type="dxa" w:w="2948"/>
            <w:tcMar>
              <w:top w:w="70" w:type="dxa"/>
              <w:start w:w="90" w:type="dxa"/>
              <w:bottom w:w="70" w:type="dxa"/>
              <w:end w:w="90" w:type="dxa"/>
            </w:tcMar>
            <w:vAlign w:val="center"/>
          </w:tcPr>
          <w:p>
            <w:pPr>
              <w:spacing w:after="0" w:before="0"/>
            </w:pPr>
            <w:r/>
            <w:r>
              <w:rPr>
                <w:rFonts w:ascii="Aptos" w:hAnsi="Aptos"/>
                <w:b w:val="0"/>
                <w:color w:val="172B3A"/>
                <w:sz w:val="16"/>
              </w:rPr>
              <w:t>Artifact checksum mismatch</w:t>
            </w:r>
          </w:p>
        </w:tc>
        <w:tc>
          <w:tcPr>
            <w:tcW w:type="dxa" w:w="6973"/>
            <w:tcMar>
              <w:top w:w="70" w:type="dxa"/>
              <w:start w:w="90" w:type="dxa"/>
              <w:bottom w:w="70" w:type="dxa"/>
              <w:end w:w="90" w:type="dxa"/>
            </w:tcMar>
            <w:vAlign w:val="center"/>
          </w:tcPr>
          <w:p>
            <w:pPr>
              <w:spacing w:after="0" w:before="0"/>
            </w:pPr>
            <w:r/>
            <w:r>
              <w:rPr>
                <w:rFonts w:ascii="Aptos" w:hAnsi="Aptos"/>
                <w:b w:val="0"/>
                <w:color w:val="172B3A"/>
                <w:sz w:val="16"/>
              </w:rPr>
              <w:t>Quarantine the file; do not import. Re-copy from original sealed kit or rebuild from connected staging. Record both hashes.</w:t>
            </w:r>
          </w:p>
        </w:tc>
      </w:tr>
      <w:tr>
        <w:trPr>
          <w:cantSplit/>
        </w:trPr>
        <w:tc>
          <w:tcPr>
            <w:tcW w:type="dxa" w:w="2948"/>
            <w:tcMar>
              <w:top w:w="70" w:type="dxa"/>
              <w:start w:w="90" w:type="dxa"/>
              <w:bottom w:w="70" w:type="dxa"/>
              <w:end w:w="90" w:type="dxa"/>
            </w:tcMar>
            <w:vAlign w:val="center"/>
            <w:shd w:fill="F8FAFC"/>
          </w:tcPr>
          <w:p>
            <w:pPr>
              <w:spacing w:after="0" w:before="0"/>
            </w:pPr>
            <w:r/>
            <w:r>
              <w:rPr>
                <w:rFonts w:ascii="Aptos" w:hAnsi="Aptos"/>
                <w:b w:val="0"/>
                <w:color w:val="172B3A"/>
                <w:sz w:val="16"/>
              </w:rPr>
              <w:t>Registry incomplete but no cluster started</w:t>
            </w:r>
          </w:p>
        </w:tc>
        <w:tc>
          <w:tcPr>
            <w:tcW w:type="dxa" w:w="6973"/>
            <w:tcMar>
              <w:top w:w="70" w:type="dxa"/>
              <w:start w:w="90" w:type="dxa"/>
              <w:bottom w:w="70" w:type="dxa"/>
              <w:end w:w="90" w:type="dxa"/>
            </w:tcMar>
            <w:vAlign w:val="center"/>
            <w:shd w:fill="F8FAFC"/>
          </w:tcPr>
          <w:p>
            <w:pPr>
              <w:spacing w:after="0" w:before="0"/>
            </w:pPr>
            <w:r/>
            <w:r>
              <w:rPr>
                <w:rFonts w:ascii="Aptos" w:hAnsi="Aptos"/>
                <w:b w:val="0"/>
                <w:color w:val="172B3A"/>
                <w:sz w:val="16"/>
              </w:rPr>
              <w:t>Correct storage/TLS/auth, clean only the documented partial repository state, then re-push and inventory.</w:t>
            </w:r>
          </w:p>
        </w:tc>
      </w:tr>
      <w:tr>
        <w:trPr>
          <w:cantSplit/>
        </w:trPr>
        <w:tc>
          <w:tcPr>
            <w:tcW w:type="dxa" w:w="2948"/>
            <w:tcMar>
              <w:top w:w="70" w:type="dxa"/>
              <w:start w:w="90" w:type="dxa"/>
              <w:bottom w:w="70" w:type="dxa"/>
              <w:end w:w="90" w:type="dxa"/>
            </w:tcMar>
            <w:vAlign w:val="center"/>
          </w:tcPr>
          <w:p>
            <w:pPr>
              <w:spacing w:after="0" w:before="0"/>
            </w:pPr>
            <w:r/>
            <w:r>
              <w:rPr>
                <w:rFonts w:ascii="Aptos" w:hAnsi="Aptos"/>
                <w:b w:val="0"/>
                <w:color w:val="172B3A"/>
                <w:sz w:val="16"/>
              </w:rPr>
              <w:t>Bootstrap failure before Nutanix VMs exist</w:t>
            </w:r>
          </w:p>
        </w:tc>
        <w:tc>
          <w:tcPr>
            <w:tcW w:type="dxa" w:w="6973"/>
            <w:tcMar>
              <w:top w:w="70" w:type="dxa"/>
              <w:start w:w="90" w:type="dxa"/>
              <w:bottom w:w="70" w:type="dxa"/>
              <w:end w:w="90" w:type="dxa"/>
            </w:tcMar>
            <w:vAlign w:val="center"/>
          </w:tcPr>
          <w:p>
            <w:pPr>
              <w:spacing w:after="0" w:before="0"/>
            </w:pPr>
            <w:r/>
            <w:r>
              <w:rPr>
                <w:rFonts w:ascii="Aptos" w:hAnsi="Aptos"/>
                <w:b w:val="0"/>
                <w:color w:val="172B3A"/>
                <w:sz w:val="16"/>
              </w:rPr>
              <w:t>Collect logs; correct local runtime/CIDR/capacity; remove only release-documented temporary bootstrap resources; retry.</w:t>
            </w:r>
          </w:p>
        </w:tc>
      </w:tr>
      <w:tr>
        <w:trPr>
          <w:cantSplit/>
        </w:trPr>
        <w:tc>
          <w:tcPr>
            <w:tcW w:type="dxa" w:w="2948"/>
            <w:tcMar>
              <w:top w:w="70" w:type="dxa"/>
              <w:start w:w="90" w:type="dxa"/>
              <w:bottom w:w="70" w:type="dxa"/>
              <w:end w:w="90" w:type="dxa"/>
            </w:tcMar>
            <w:vAlign w:val="center"/>
            <w:shd w:fill="F8FAFC"/>
          </w:tcPr>
          <w:p>
            <w:pPr>
              <w:spacing w:after="0" w:before="0"/>
            </w:pPr>
            <w:r/>
            <w:r>
              <w:rPr>
                <w:rFonts w:ascii="Aptos" w:hAnsi="Aptos"/>
                <w:b w:val="0"/>
                <w:color w:val="172B3A"/>
                <w:sz w:val="16"/>
              </w:rPr>
              <w:t>Some Nutanix VMs exist</w:t>
            </w:r>
          </w:p>
        </w:tc>
        <w:tc>
          <w:tcPr>
            <w:tcW w:type="dxa" w:w="6973"/>
            <w:tcMar>
              <w:top w:w="70" w:type="dxa"/>
              <w:start w:w="90" w:type="dxa"/>
              <w:bottom w:w="70" w:type="dxa"/>
              <w:end w:w="90" w:type="dxa"/>
            </w:tcMar>
            <w:vAlign w:val="center"/>
            <w:shd w:fill="F8FAFC"/>
          </w:tcPr>
          <w:p>
            <w:pPr>
              <w:spacing w:after="0" w:before="0"/>
            </w:pPr>
            <w:r/>
            <w:r>
              <w:rPr>
                <w:rFonts w:ascii="Aptos" w:hAnsi="Aptos"/>
                <w:b w:val="0"/>
                <w:color w:val="172B3A"/>
                <w:sz w:val="16"/>
              </w:rPr>
              <w:t>Treat as an infrastructure lifecycle incident. Use NKP/CAPI ownership and Prism task evidence; do not manually delete first.</w:t>
            </w:r>
          </w:p>
        </w:tc>
      </w:tr>
      <w:tr>
        <w:trPr>
          <w:cantSplit/>
        </w:trPr>
        <w:tc>
          <w:tcPr>
            <w:tcW w:type="dxa" w:w="2948"/>
            <w:tcMar>
              <w:top w:w="70" w:type="dxa"/>
              <w:start w:w="90" w:type="dxa"/>
              <w:bottom w:w="70" w:type="dxa"/>
              <w:end w:w="90" w:type="dxa"/>
            </w:tcMar>
            <w:vAlign w:val="center"/>
          </w:tcPr>
          <w:p>
            <w:pPr>
              <w:spacing w:after="0" w:before="0"/>
            </w:pPr>
            <w:r/>
            <w:r>
              <w:rPr>
                <w:rFonts w:ascii="Aptos" w:hAnsi="Aptos"/>
                <w:b w:val="0"/>
                <w:color w:val="172B3A"/>
                <w:sz w:val="16"/>
              </w:rPr>
              <w:t>Control plane created but workloads not ready</w:t>
            </w:r>
          </w:p>
        </w:tc>
        <w:tc>
          <w:tcPr>
            <w:tcW w:type="dxa" w:w="6973"/>
            <w:tcMar>
              <w:top w:w="70" w:type="dxa"/>
              <w:start w:w="90" w:type="dxa"/>
              <w:bottom w:w="70" w:type="dxa"/>
              <w:end w:w="90" w:type="dxa"/>
            </w:tcMar>
            <w:vAlign w:val="center"/>
          </w:tcPr>
          <w:p>
            <w:pPr>
              <w:spacing w:after="0" w:before="0"/>
            </w:pPr>
            <w:r/>
            <w:r>
              <w:rPr>
                <w:rFonts w:ascii="Aptos" w:hAnsi="Aptos"/>
                <w:b w:val="0"/>
                <w:color w:val="172B3A"/>
                <w:sz w:val="16"/>
              </w:rPr>
              <w:t>Keep API/etcd safety first. Investigate registry, CNI, DNS, node image, time, and storage before considering rebuild.</w:t>
            </w:r>
          </w:p>
        </w:tc>
      </w:tr>
      <w:tr>
        <w:trPr>
          <w:cantSplit/>
        </w:trPr>
        <w:tc>
          <w:tcPr>
            <w:tcW w:type="dxa" w:w="2948"/>
            <w:tcMar>
              <w:top w:w="70" w:type="dxa"/>
              <w:start w:w="90" w:type="dxa"/>
              <w:bottom w:w="70" w:type="dxa"/>
              <w:end w:w="90" w:type="dxa"/>
            </w:tcMar>
            <w:vAlign w:val="center"/>
            <w:shd w:fill="F8FAFC"/>
          </w:tcPr>
          <w:p>
            <w:pPr>
              <w:spacing w:after="0" w:before="0"/>
            </w:pPr>
            <w:r/>
            <w:r>
              <w:rPr>
                <w:rFonts w:ascii="Aptos" w:hAnsi="Aptos"/>
                <w:b w:val="0"/>
                <w:color w:val="172B3A"/>
                <w:sz w:val="16"/>
              </w:rPr>
              <w:t>Production data exists</w:t>
            </w:r>
          </w:p>
        </w:tc>
        <w:tc>
          <w:tcPr>
            <w:tcW w:type="dxa" w:w="6973"/>
            <w:tcMar>
              <w:top w:w="70" w:type="dxa"/>
              <w:start w:w="90" w:type="dxa"/>
              <w:bottom w:w="70" w:type="dxa"/>
              <w:end w:w="90" w:type="dxa"/>
            </w:tcMar>
            <w:vAlign w:val="center"/>
            <w:shd w:fill="F8FAFC"/>
          </w:tcPr>
          <w:p>
            <w:pPr>
              <w:spacing w:after="0" w:before="0"/>
            </w:pPr>
            <w:r/>
            <w:r>
              <w:rPr>
                <w:rFonts w:ascii="Aptos" w:hAnsi="Aptos"/>
                <w:b w:val="0"/>
                <w:color w:val="172B3A"/>
                <w:sz w:val="16"/>
              </w:rPr>
              <w:t>Stop. Engage application/data owners and backup/recovery plan. Cluster deletion is not an infrastructure-only decision.</w:t>
            </w:r>
          </w:p>
        </w:tc>
      </w:tr>
    </w:tbl>
    <w:p>
      <w:pPr>
        <w:spacing w:after="0"/>
      </w:pPr>
    </w:p>
    <w:p>
      <w:pPr>
        <w:pStyle w:val="Heading1"/>
        <w:keepNext/>
      </w:pPr>
      <w:r>
        <w:t>16. Day-2 air-gapped operations</w:t>
      </w:r>
    </w:p>
    <w:p>
      <w:pPr>
        <w:pStyle w:val="Heading2"/>
        <w:keepNext/>
      </w:pPr>
      <w:r>
        <w:t>16.1 Offline upgrade method</w:t>
      </w:r>
    </w:p>
    <w:p>
      <w:pPr>
        <w:pStyle w:val="ListNumber"/>
      </w:pPr>
      <w:r>
        <w:t>Review the target NKP release, compatibility, upgrade path, deprecations, known issues, node image, and registry capacity on a connected host.</w:t>
      </w:r>
    </w:p>
    <w:p>
      <w:pPr>
        <w:pStyle w:val="ListNumber"/>
      </w:pPr>
      <w:r>
        <w:t>Build a new versioned transfer kit. Never overwrite the previous release directory or registry inventory.</w:t>
      </w:r>
    </w:p>
    <w:p>
      <w:pPr>
        <w:pStyle w:val="ListNumber"/>
      </w:pPr>
      <w:r>
        <w:t>Verify and transfer through the same chain-of-custody process.</w:t>
      </w:r>
    </w:p>
    <w:p>
      <w:pPr>
        <w:pStyle w:val="ListNumber"/>
      </w:pPr>
      <w:r>
        <w:t>Push the new bundle alongside the current release and validate digests. Keep the prior release until rollback criteria expire.</w:t>
      </w:r>
    </w:p>
    <w:p>
      <w:pPr>
        <w:pStyle w:val="ListNumber"/>
      </w:pPr>
      <w:r>
        <w:t>Back up NKP management state, application data, registry, and critical configuration using supported products/procedures.</w:t>
      </w:r>
    </w:p>
    <w:p>
      <w:pPr>
        <w:pStyle w:val="ListNumber"/>
      </w:pPr>
      <w:r>
        <w:t>Run pre-upgrade health and capacity checks, render the exact installed target CLI/upgrade command, obtain change approval, execute, and capture evidence.</w:t>
      </w:r>
    </w:p>
    <w:p>
      <w:pPr>
        <w:pStyle w:val="ListNumber"/>
      </w:pPr>
      <w:r>
        <w:t>After acceptance, apply documented registry retention and garbage collection. Never delete by filename alone.</w:t>
      </w:r>
    </w:p>
    <w:p>
      <w:pPr>
        <w:pStyle w:val="Heading2"/>
        <w:keepNext/>
      </w:pPr>
      <w:r>
        <w:t>16.2 Certificate rotation</w:t>
      </w:r>
    </w:p>
    <w:p>
      <w:pPr>
        <w:ind w:left="312" w:hanging="142"/>
      </w:pPr>
      <w:r>
        <w:t xml:space="preserve">☐ </w:t>
      </w:r>
      <w:r>
        <w:t>Track registry, Prism, ingress, and internal CA expiry at least 90/60/30 days before expiration.</w:t>
      </w:r>
    </w:p>
    <w:p>
      <w:pPr>
        <w:ind w:left="312" w:hanging="142"/>
      </w:pPr>
      <w:r>
        <w:t xml:space="preserve">☐ </w:t>
      </w:r>
      <w:r>
        <w:t>Introduce new CA chains before switching server certificates when possible; validate dual trust.</w:t>
      </w:r>
    </w:p>
    <w:p>
      <w:pPr>
        <w:ind w:left="312" w:hanging="142"/>
      </w:pPr>
      <w:r>
        <w:t xml:space="preserve">☐ </w:t>
      </w:r>
      <w:r>
        <w:t>Update Linux trust, Docker/runtime trust, NKP mirror configuration, and node trust according to the release-supported method.</w:t>
      </w:r>
    </w:p>
    <w:p>
      <w:pPr>
        <w:ind w:left="312" w:hanging="142"/>
      </w:pPr>
      <w:r>
        <w:t xml:space="preserve">☐ </w:t>
      </w:r>
      <w:r>
        <w:t>Test image pull and cluster lifecycle after rotation. Retain old certificate metadata in evidence, not private keys.</w:t>
      </w:r>
    </w:p>
    <w:p>
      <w:pPr>
        <w:pStyle w:val="Heading2"/>
        <w:keepNext/>
      </w:pPr>
      <w:r>
        <w:t>16.3 Registry operations</w:t>
      </w:r>
    </w:p>
    <w:p>
      <w:pPr>
        <w:ind w:left="312" w:hanging="142"/>
      </w:pPr>
      <w:r>
        <w:t xml:space="preserve">☐ </w:t>
      </w:r>
      <w:r>
        <w:t>Daily capacity/inode monitoring and service health.</w:t>
      </w:r>
    </w:p>
    <w:p>
      <w:pPr>
        <w:ind w:left="312" w:hanging="142"/>
      </w:pPr>
      <w:r>
        <w:t xml:space="preserve">☐ </w:t>
      </w:r>
      <w:r>
        <w:t>Backup of Harbor database/configuration and registry data using the supported, application-consistent procedure.</w:t>
      </w:r>
    </w:p>
    <w:p>
      <w:pPr>
        <w:ind w:left="312" w:hanging="142"/>
      </w:pPr>
      <w:r>
        <w:t xml:space="preserve">☐ </w:t>
      </w:r>
      <w:r>
        <w:t>Immutable release tags/digests and retention ownership.</w:t>
      </w:r>
    </w:p>
    <w:p>
      <w:pPr>
        <w:ind w:left="312" w:hanging="142"/>
      </w:pPr>
      <w:r>
        <w:t xml:space="preserve">☐ </w:t>
      </w:r>
      <w:r>
        <w:t>Controlled offline vulnerability database updates when required.</w:t>
      </w:r>
    </w:p>
    <w:p>
      <w:pPr>
        <w:ind w:left="312" w:hanging="142"/>
      </w:pPr>
      <w:r>
        <w:t xml:space="preserve">☐ </w:t>
      </w:r>
      <w:r>
        <w:t>Quarterly restore test and documented recovery time/objective.</w:t>
      </w:r>
    </w:p>
    <w:p>
      <w:pPr>
        <w:pStyle w:val="Heading2"/>
        <w:keepNext/>
      </w:pPr>
      <w:r>
        <w:t>16.4 Bastion lifecycle</w:t>
      </w:r>
    </w:p>
    <w:p>
      <w:pPr>
        <w:ind w:left="312" w:hanging="142"/>
      </w:pPr>
      <w:r>
        <w:t xml:space="preserve">☐ </w:t>
      </w:r>
      <w:r>
        <w:t>Apply OS and runtime patches through versioned offline repositories and a tested transfer kit.</w:t>
      </w:r>
    </w:p>
    <w:p>
      <w:pPr>
        <w:ind w:left="312" w:hanging="142"/>
      </w:pPr>
      <w:r>
        <w:t xml:space="preserve">☐ </w:t>
      </w:r>
      <w:r>
        <w:t>Keep `/opt/nkp/config` and kubeconfigs mode 0600/0750 and backed up only to approved secure storage.</w:t>
      </w:r>
    </w:p>
    <w:p>
      <w:pPr>
        <w:ind w:left="312" w:hanging="142"/>
      </w:pPr>
      <w:r>
        <w:t xml:space="preserve">☐ </w:t>
      </w:r>
      <w:r>
        <w:t>Review administrators, SSH keys, sudo rules, firewall, proxy variables, and audit logs.</w:t>
      </w:r>
    </w:p>
    <w:p>
      <w:pPr>
        <w:ind w:left="312" w:hanging="142"/>
      </w:pPr>
      <w:r>
        <w:t xml:space="preserve">☐ </w:t>
      </w:r>
      <w:r>
        <w:t>Clean bootstrap runtime artifacts only after confirming they are not required for cluster ownership or support.</w:t>
      </w:r>
    </w:p>
    <w:p>
      <w:pPr>
        <w:ind w:left="312" w:hanging="142"/>
      </w:pPr>
      <w:r>
        <w:t xml:space="preserve">☐ </w:t>
      </w:r>
      <w:r>
        <w:t>If the bastion is temporary, preserve approved evidence and securely remove credentials/keys before decommissioning.</w:t>
      </w:r>
    </w:p>
    <w:p>
      <w:pPr>
        <w:pStyle w:val="Heading1"/>
        <w:keepNext/>
      </w:pPr>
      <w:r>
        <w:t>17. Master execution checklist</w:t>
      </w:r>
    </w:p>
    <w:p>
      <w:pPr>
        <w:pStyle w:val="Heading2"/>
        <w:keepNext/>
      </w:pPr>
      <w:r>
        <w:t>Release freeze</w:t>
      </w:r>
    </w:p>
    <w:p>
      <w:pPr>
        <w:ind w:left="312" w:hanging="142"/>
      </w:pPr>
      <w:r>
        <w:t xml:space="preserve">☐ </w:t>
      </w:r>
      <w:r>
        <w:t>Exact NKP patch/build confirmed</w:t>
      </w:r>
    </w:p>
    <w:p>
      <w:pPr>
        <w:ind w:left="312" w:hanging="142"/>
      </w:pPr>
      <w:r>
        <w:t xml:space="preserve">☐ </w:t>
      </w:r>
      <w:r>
        <w:t>Compatibility and known issues saved</w:t>
      </w:r>
    </w:p>
    <w:p>
      <w:pPr>
        <w:ind w:left="312" w:hanging="142"/>
      </w:pPr>
      <w:r>
        <w:t xml:space="preserve">☐ </w:t>
      </w:r>
      <w:r>
        <w:t>CLI/bundle/node image same release</w:t>
      </w:r>
    </w:p>
    <w:p>
      <w:pPr>
        <w:ind w:left="312" w:hanging="142"/>
      </w:pPr>
      <w:r>
        <w:t xml:space="preserve">☐ </w:t>
      </w:r>
      <w:r>
        <w:t>Checksums and license captured</w:t>
      </w:r>
    </w:p>
    <w:p>
      <w:pPr>
        <w:pStyle w:val="Heading2"/>
        <w:keepNext/>
      </w:pPr>
      <w:r>
        <w:t>Connected kit</w:t>
      </w:r>
    </w:p>
    <w:p>
      <w:pPr>
        <w:ind w:left="312" w:hanging="142"/>
      </w:pPr>
      <w:r>
        <w:t xml:space="preserve">☐ </w:t>
      </w:r>
      <w:r>
        <w:t>Offline RHEL repo tested</w:t>
      </w:r>
    </w:p>
    <w:p>
      <w:pPr>
        <w:ind w:left="312" w:hanging="142"/>
      </w:pPr>
      <w:r>
        <w:t xml:space="preserve">☐ </w:t>
      </w:r>
      <w:r>
        <w:t>Pinned OSS BOM complete</w:t>
      </w:r>
    </w:p>
    <w:p>
      <w:pPr>
        <w:ind w:left="312" w:hanging="142"/>
      </w:pPr>
      <w:r>
        <w:t xml:space="preserve">☐ </w:t>
      </w:r>
      <w:r>
        <w:t>Validation images mirrored</w:t>
      </w:r>
    </w:p>
    <w:p>
      <w:pPr>
        <w:ind w:left="312" w:hanging="142"/>
      </w:pPr>
      <w:r>
        <w:t xml:space="preserve">☐ </w:t>
      </w:r>
      <w:r>
        <w:t>Archive and internal manifests pass</w:t>
      </w:r>
    </w:p>
    <w:p>
      <w:pPr>
        <w:ind w:left="312" w:hanging="142"/>
      </w:pPr>
      <w:r>
        <w:t xml:space="preserve">☐ </w:t>
      </w:r>
      <w:r>
        <w:t>Media chain of custody approved</w:t>
      </w:r>
    </w:p>
    <w:p>
      <w:pPr>
        <w:pStyle w:val="Heading2"/>
        <w:keepNext/>
      </w:pPr>
      <w:r>
        <w:t>Bastion</w:t>
      </w:r>
    </w:p>
    <w:p>
      <w:pPr>
        <w:ind w:left="312" w:hanging="142"/>
      </w:pPr>
      <w:r>
        <w:t xml:space="preserve">☐ </w:t>
      </w:r>
      <w:r>
        <w:t>VM sizing/disks approved</w:t>
      </w:r>
    </w:p>
    <w:p>
      <w:pPr>
        <w:ind w:left="312" w:hanging="142"/>
      </w:pPr>
      <w:r>
        <w:t xml:space="preserve">☐ </w:t>
      </w:r>
      <w:r>
        <w:t>Static IP/DNS/PTR/NTP pass</w:t>
      </w:r>
    </w:p>
    <w:p>
      <w:pPr>
        <w:ind w:left="312" w:hanging="142"/>
      </w:pPr>
      <w:r>
        <w:t xml:space="preserve">☐ </w:t>
      </w:r>
      <w:r>
        <w:t>SELinux/firewall enabled</w:t>
      </w:r>
    </w:p>
    <w:p>
      <w:pPr>
        <w:ind w:left="312" w:hanging="142"/>
      </w:pPr>
      <w:r>
        <w:t xml:space="preserve">☐ </w:t>
      </w:r>
      <w:r>
        <w:t>Offline repos only</w:t>
      </w:r>
    </w:p>
    <w:p>
      <w:pPr>
        <w:ind w:left="312" w:hanging="142"/>
      </w:pPr>
      <w:r>
        <w:t xml:space="preserve">☐ </w:t>
      </w:r>
      <w:r>
        <w:t>Docker/bootstrap runtime healthy</w:t>
      </w:r>
    </w:p>
    <w:p>
      <w:pPr>
        <w:ind w:left="312" w:hanging="142"/>
      </w:pPr>
      <w:r>
        <w:t xml:space="preserve">☐ </w:t>
      </w:r>
      <w:r>
        <w:t>NKP CLI version recorded</w:t>
      </w:r>
    </w:p>
    <w:p>
      <w:pPr>
        <w:ind w:left="312" w:hanging="142"/>
      </w:pPr>
      <w:r>
        <w:t xml:space="preserve">☐ </w:t>
      </w:r>
      <w:r>
        <w:t>Public egress blocked</w:t>
      </w:r>
    </w:p>
    <w:p>
      <w:pPr>
        <w:pStyle w:val="Heading2"/>
        <w:keepNext/>
      </w:pPr>
      <w:r>
        <w:t>Registry</w:t>
      </w:r>
    </w:p>
    <w:p>
      <w:pPr>
        <w:ind w:left="312" w:hanging="142"/>
      </w:pPr>
      <w:r>
        <w:t xml:space="preserve">☐ </w:t>
      </w:r>
      <w:r>
        <w:t>TLS SAN/chain pass</w:t>
      </w:r>
    </w:p>
    <w:p>
      <w:pPr>
        <w:ind w:left="312" w:hanging="142"/>
      </w:pPr>
      <w:r>
        <w:t xml:space="preserve">☐ </w:t>
      </w:r>
      <w:r>
        <w:t>Auth push/pull pass</w:t>
      </w:r>
    </w:p>
    <w:p>
      <w:pPr>
        <w:ind w:left="312" w:hanging="142"/>
      </w:pPr>
      <w:r>
        <w:t xml:space="preserve">☐ </w:t>
      </w:r>
      <w:r>
        <w:t>Quota/capacity pass</w:t>
      </w:r>
    </w:p>
    <w:p>
      <w:pPr>
        <w:ind w:left="312" w:hanging="142"/>
      </w:pPr>
      <w:r>
        <w:t xml:space="preserve">☐ </w:t>
      </w:r>
      <w:r>
        <w:t>Bundle push complete</w:t>
      </w:r>
    </w:p>
    <w:p>
      <w:pPr>
        <w:ind w:left="312" w:hanging="142"/>
      </w:pPr>
      <w:r>
        <w:t xml:space="preserve">☐ </w:t>
      </w:r>
      <w:r>
        <w:t>Repository/digest inventory retained</w:t>
      </w:r>
    </w:p>
    <w:p>
      <w:pPr>
        <w:ind w:left="312" w:hanging="142"/>
      </w:pPr>
      <w:r>
        <w:t xml:space="preserve">☐ </w:t>
      </w:r>
      <w:r>
        <w:t>Backup owner assigned</w:t>
      </w:r>
    </w:p>
    <w:p>
      <w:pPr>
        <w:pStyle w:val="Heading2"/>
        <w:keepNext/>
      </w:pPr>
      <w:r>
        <w:t>Nutanix</w:t>
      </w:r>
    </w:p>
    <w:p>
      <w:pPr>
        <w:ind w:left="312" w:hanging="142"/>
      </w:pPr>
      <w:r>
        <w:t xml:space="preserve">☐ </w:t>
      </w:r>
      <w:r>
        <w:t>Platform compatibility approved</w:t>
      </w:r>
    </w:p>
    <w:p>
      <w:pPr>
        <w:ind w:left="312" w:hanging="142"/>
      </w:pPr>
      <w:r>
        <w:t xml:space="preserve">☐ </w:t>
      </w:r>
      <w:r>
        <w:t>Service account works</w:t>
      </w:r>
    </w:p>
    <w:p>
      <w:pPr>
        <w:ind w:left="312" w:hanging="142"/>
      </w:pPr>
      <w:r>
        <w:t xml:space="preserve">☐ </w:t>
      </w:r>
      <w:r>
        <w:t>Cluster/subnet/storage/image exact</w:t>
      </w:r>
    </w:p>
    <w:p>
      <w:pPr>
        <w:ind w:left="312" w:hanging="142"/>
      </w:pPr>
      <w:r>
        <w:t xml:space="preserve">☐ </w:t>
      </w:r>
      <w:r>
        <w:t>Disposable VM network tests pass</w:t>
      </w:r>
    </w:p>
    <w:p>
      <w:pPr>
        <w:ind w:left="312" w:hanging="142"/>
      </w:pPr>
      <w:r>
        <w:t xml:space="preserve">☐ </w:t>
      </w:r>
      <w:r>
        <w:t>VIP/LB pool reserved</w:t>
      </w:r>
    </w:p>
    <w:p>
      <w:pPr>
        <w:ind w:left="312" w:hanging="142"/>
      </w:pPr>
      <w:r>
        <w:t xml:space="preserve">☐ </w:t>
      </w:r>
      <w:r>
        <w:t>Capacity available</w:t>
      </w:r>
    </w:p>
    <w:p>
      <w:pPr>
        <w:pStyle w:val="Heading2"/>
        <w:keepNext/>
      </w:pPr>
      <w:r>
        <w:t>Dry run</w:t>
      </w:r>
    </w:p>
    <w:p>
      <w:pPr>
        <w:ind w:left="312" w:hanging="142"/>
      </w:pPr>
      <w:r>
        <w:t xml:space="preserve">☐ </w:t>
      </w:r>
      <w:r>
        <w:t>CLI help contract captured</w:t>
      </w:r>
    </w:p>
    <w:p>
      <w:pPr>
        <w:ind w:left="312" w:hanging="142"/>
      </w:pPr>
      <w:r>
        <w:t xml:space="preserve">☐ </w:t>
      </w:r>
      <w:r>
        <w:t>No placeholders/secrets</w:t>
      </w:r>
    </w:p>
    <w:p>
      <w:pPr>
        <w:ind w:left="312" w:hanging="142"/>
      </w:pPr>
      <w:r>
        <w:t xml:space="preserve">☐ </w:t>
      </w:r>
      <w:r>
        <w:t>CIDRs non-overlap</w:t>
      </w:r>
    </w:p>
    <w:p>
      <w:pPr>
        <w:ind w:left="312" w:hanging="142"/>
      </w:pPr>
      <w:r>
        <w:t xml:space="preserve">☐ </w:t>
      </w:r>
      <w:r>
        <w:t>Rendered command peer-reviewed</w:t>
      </w:r>
    </w:p>
    <w:p>
      <w:pPr>
        <w:ind w:left="312" w:hanging="142"/>
      </w:pPr>
      <w:r>
        <w:t xml:space="preserve">☐ </w:t>
      </w:r>
      <w:r>
        <w:t>Change/rollback approval</w:t>
      </w:r>
    </w:p>
    <w:p>
      <w:pPr>
        <w:pStyle w:val="Heading2"/>
        <w:keepNext/>
      </w:pPr>
      <w:r>
        <w:t>Deployment</w:t>
      </w:r>
    </w:p>
    <w:p>
      <w:pPr>
        <w:ind w:left="312" w:hanging="142"/>
      </w:pPr>
      <w:r>
        <w:t xml:space="preserve">☐ </w:t>
      </w:r>
      <w:r>
        <w:t>Pre-change snapshot retained</w:t>
      </w:r>
    </w:p>
    <w:p>
      <w:pPr>
        <w:ind w:left="312" w:hanging="142"/>
      </w:pPr>
      <w:r>
        <w:t xml:space="preserve">☐ </w:t>
      </w:r>
      <w:r>
        <w:t>Cluster-create log retained</w:t>
      </w:r>
    </w:p>
    <w:p>
      <w:pPr>
        <w:ind w:left="312" w:hanging="142"/>
      </w:pPr>
      <w:r>
        <w:t xml:space="preserve">☐ </w:t>
      </w:r>
      <w:r>
        <w:t>Kubeconfig protected</w:t>
      </w:r>
    </w:p>
    <w:p>
      <w:pPr>
        <w:ind w:left="312" w:hanging="142"/>
      </w:pPr>
      <w:r>
        <w:t xml:space="preserve">☐ </w:t>
      </w:r>
      <w:r>
        <w:t>Nodes/API/platform ready</w:t>
      </w:r>
    </w:p>
    <w:p>
      <w:pPr>
        <w:ind w:left="312" w:hanging="142"/>
      </w:pPr>
      <w:r>
        <w:t xml:space="preserve">☐ </w:t>
      </w:r>
      <w:r>
        <w:t>Bootstrap ownership confirmed</w:t>
      </w:r>
    </w:p>
    <w:p>
      <w:pPr>
        <w:pStyle w:val="Heading2"/>
        <w:keepNext/>
      </w:pPr>
      <w:r>
        <w:t>Acceptance</w:t>
      </w:r>
    </w:p>
    <w:p>
      <w:pPr>
        <w:ind w:left="312" w:hanging="142"/>
      </w:pPr>
      <w:r>
        <w:t xml:space="preserve">☐ </w:t>
      </w:r>
      <w:r>
        <w:t>Storage/DNS/LB smoke pass</w:t>
      </w:r>
    </w:p>
    <w:p>
      <w:pPr>
        <w:ind w:left="312" w:hanging="142"/>
      </w:pPr>
      <w:r>
        <w:t xml:space="preserve">☐ </w:t>
      </w:r>
      <w:r>
        <w:t>Air-gap proof pass</w:t>
      </w:r>
    </w:p>
    <w:p>
      <w:pPr>
        <w:ind w:left="312" w:hanging="142"/>
      </w:pPr>
      <w:r>
        <w:t xml:space="preserve">☐ </w:t>
      </w:r>
      <w:r>
        <w:t>Resilience/scale tests complete or waived</w:t>
      </w:r>
    </w:p>
    <w:p>
      <w:pPr>
        <w:ind w:left="312" w:hanging="142"/>
      </w:pPr>
      <w:r>
        <w:t xml:space="preserve">☐ </w:t>
      </w:r>
      <w:r>
        <w:t>Evidence pack hashed</w:t>
      </w:r>
    </w:p>
    <w:p>
      <w:pPr>
        <w:ind w:left="312" w:hanging="142"/>
      </w:pPr>
      <w:r>
        <w:t xml:space="preserve">☐ </w:t>
      </w:r>
      <w:r>
        <w:t>Customer sign-off</w:t>
      </w:r>
    </w:p>
    <w:p>
      <w:pPr>
        <w:pStyle w:val="Heading1"/>
        <w:keepNext/>
      </w:pPr>
      <w:r>
        <w:t>18. Copy/paste operator sequence</w:t>
      </w:r>
    </w:p>
    <w:tbl>
      <w:tblPr>
        <w:tblW w:type="auto" w:w="0"/>
        <w:tblLayout w:type="autofit"/>
        <w:tblLook w:firstColumn="1" w:firstRow="1" w:lastColumn="0" w:lastRow="0" w:noHBand="0" w:noVBand="1" w:val="04A0"/>
      </w:tblPr>
      <w:tblGrid>
        <w:gridCol w:w="198"/>
        <w:gridCol w:w="9921"/>
      </w:tblGrid>
      <w:tr>
        <w:tc>
          <w:tcPr>
            <w:tcW w:type="dxa" w:w="5018"/>
            <w:shd w:fill="B7791F"/>
          </w:tcPr>
          <w:p>
            <w:r/>
          </w:p>
        </w:tc>
        <w:tc>
          <w:tcPr>
            <w:tcW w:type="dxa" w:w="5018"/>
            <w:shd w:fill="FFF6E6"/>
            <w:tcMar>
              <w:top w:w="100" w:type="dxa"/>
              <w:start w:w="120" w:type="dxa"/>
              <w:bottom w:w="100" w:type="dxa"/>
              <w:end w:w="120" w:type="dxa"/>
            </w:tcMar>
          </w:tcPr>
          <w:p>
            <w:pPr>
              <w:spacing w:after="40"/>
            </w:pPr>
            <w:r/>
            <w:r>
              <w:rPr>
                <w:b/>
                <w:color w:val="B7791F"/>
                <w:sz w:val="20"/>
              </w:rPr>
              <w:t>Use this only after reading the full runbook</w:t>
            </w:r>
          </w:p>
          <w:p>
            <w:pPr>
              <w:spacing w:after="0" w:line="252" w:lineRule="auto"/>
            </w:pPr>
            <w:r>
              <w:rPr>
                <w:color w:val="172B3A"/>
                <w:sz w:val="18"/>
              </w:rPr>
              <w:t>This sequence intentionally runs every mutable stage in dry-run first. Replace paths and populate `customer.env`; never paste it blindly into an unvalidated site.</w:t>
            </w:r>
          </w:p>
        </w:tc>
      </w:tr>
    </w:tbl>
    <w:p>
      <w:pPr>
        <w:spacing w:after="0"/>
      </w:pPr>
    </w:p>
    <w:p>
      <w:pPr>
        <w:spacing w:after="40"/>
      </w:pPr>
      <w:r>
        <w:rPr>
          <w:b/>
          <w:color w:val="1F6E8C"/>
          <w:sz w:val="18"/>
        </w:rPr>
        <w:t>Controlled execution sequence</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5"/>
              </w:rPr>
              <w:t># A. Prepare local files</w:t>
            </w:r>
            <w:r>
              <w:br/>
            </w:r>
            <w:r>
              <w:rPr>
                <w:rFonts w:ascii="Consolas" w:hAnsi="Consolas" w:eastAsia="Consolas"/>
                <w:color w:val="172B3A"/>
                <w:sz w:val="15"/>
              </w:rPr>
              <w:t>sudo install -d -m 0750 /opt/nkp/{config,scripts,artifacts,pki,evidence,logs}</w:t>
            </w:r>
            <w:r>
              <w:br/>
            </w:r>
            <w:r>
              <w:rPr>
                <w:rFonts w:ascii="Consolas" w:hAnsi="Consolas" w:eastAsia="Consolas"/>
                <w:color w:val="172B3A"/>
                <w:sz w:val="15"/>
              </w:rPr>
              <w:t>sudo cp templates/00_customer_inputs.env.example /opt/nkp/config/customer.env</w:t>
            </w:r>
            <w:r>
              <w:br/>
            </w:r>
            <w:r>
              <w:rPr>
                <w:rFonts w:ascii="Consolas" w:hAnsi="Consolas" w:eastAsia="Consolas"/>
                <w:color w:val="172B3A"/>
                <w:sz w:val="15"/>
              </w:rPr>
              <w:t>sudo chmod 600 /opt/nkp/config/customer.env</w:t>
            </w:r>
            <w:r>
              <w:br/>
            </w:r>
            <w:r>
              <w:rPr>
                <w:rFonts w:ascii="Consolas" w:hAnsi="Consolas" w:eastAsia="Consolas"/>
                <w:color w:val="172B3A"/>
                <w:sz w:val="15"/>
              </w:rPr>
              <w:t>sudo cp scripts/*.sh /opt/nkp/scripts/</w:t>
            </w:r>
            <w:r>
              <w:br/>
            </w:r>
            <w:r>
              <w:rPr>
                <w:rFonts w:ascii="Consolas" w:hAnsi="Consolas" w:eastAsia="Consolas"/>
                <w:color w:val="172B3A"/>
                <w:sz w:val="15"/>
              </w:rPr>
              <w:t>sudo chmod 0750 /opt/nkp/scripts/*.sh</w:t>
            </w:r>
            <w:r>
              <w:br/>
            </w:r>
            <w:r>
              <w:rPr>
                <w:rFonts w:ascii="Consolas" w:hAnsi="Consolas" w:eastAsia="Consolas"/>
                <w:color w:val="172B3A"/>
                <w:sz w:val="15"/>
              </w:rPr>
            </w:r>
            <w:r>
              <w:br/>
            </w:r>
            <w:r>
              <w:rPr>
                <w:rFonts w:ascii="Consolas" w:hAnsi="Consolas" w:eastAsia="Consolas"/>
                <w:color w:val="172B3A"/>
                <w:sz w:val="15"/>
              </w:rPr>
              <w:t># B. Bastion build</w:t>
            </w:r>
            <w:r>
              <w:br/>
            </w:r>
            <w:r>
              <w:rPr>
                <w:rFonts w:ascii="Consolas" w:hAnsi="Consolas" w:eastAsia="Consolas"/>
                <w:color w:val="172B3A"/>
                <w:sz w:val="15"/>
              </w:rPr>
              <w:t>sudo ENV_FILE=/opt/nkp/config/customer.env /opt/nkp/scripts/03_prepare_bastion_rhel9.sh --dry-run</w:t>
            </w:r>
            <w:r>
              <w:br/>
            </w:r>
            <w:r>
              <w:rPr>
                <w:rFonts w:ascii="Consolas" w:hAnsi="Consolas" w:eastAsia="Consolas"/>
                <w:color w:val="172B3A"/>
                <w:sz w:val="15"/>
              </w:rPr>
              <w:t>sudo ENV_FILE=/opt/nkp/config/customer.env /opt/nkp/scripts/03_prepare_bastion_rhel9.sh --apply</w:t>
            </w:r>
            <w:r>
              <w:br/>
            </w:r>
            <w:r>
              <w:rPr>
                <w:rFonts w:ascii="Consolas" w:hAnsi="Consolas" w:eastAsia="Consolas"/>
                <w:color w:val="172B3A"/>
                <w:sz w:val="15"/>
              </w:rPr>
              <w:t>sudo reboot</w:t>
            </w:r>
            <w:r>
              <w:br/>
            </w:r>
            <w:r>
              <w:rPr>
                <w:rFonts w:ascii="Consolas" w:hAnsi="Consolas" w:eastAsia="Consolas"/>
                <w:color w:val="172B3A"/>
                <w:sz w:val="15"/>
              </w:rPr>
              <w:t>sudo ENV_FILE=/opt/nkp/config/customer.env /opt/nkp/scripts/04_install_offline_cli_tools.sh --dry-run</w:t>
            </w:r>
            <w:r>
              <w:br/>
            </w:r>
            <w:r>
              <w:rPr>
                <w:rFonts w:ascii="Consolas" w:hAnsi="Consolas" w:eastAsia="Consolas"/>
                <w:color w:val="172B3A"/>
                <w:sz w:val="15"/>
              </w:rPr>
              <w:t>sudo ENV_FILE=/opt/nkp/config/customer.env /opt/nkp/scripts/04_install_offline_cli_tools.sh --apply</w:t>
            </w:r>
            <w:r>
              <w:br/>
            </w:r>
            <w:r>
              <w:rPr>
                <w:rFonts w:ascii="Consolas" w:hAnsi="Consolas" w:eastAsia="Consolas"/>
                <w:color w:val="172B3A"/>
                <w:sz w:val="15"/>
              </w:rPr>
              <w:t>ENV_FILE=/opt/nkp/config/customer.env /opt/nkp/scripts/02_bastion_preflight.sh</w:t>
            </w:r>
            <w:r>
              <w:br/>
            </w:r>
            <w:r>
              <w:rPr>
                <w:rFonts w:ascii="Consolas" w:hAnsi="Consolas" w:eastAsia="Consolas"/>
                <w:color w:val="172B3A"/>
                <w:sz w:val="15"/>
              </w:rPr>
            </w:r>
            <w:r>
              <w:br/>
            </w:r>
            <w:r>
              <w:rPr>
                <w:rFonts w:ascii="Consolas" w:hAnsi="Consolas" w:eastAsia="Consolas"/>
                <w:color w:val="172B3A"/>
                <w:sz w:val="15"/>
              </w:rPr>
              <w:t># C. Registry</w:t>
            </w:r>
            <w:r>
              <w:br/>
            </w:r>
            <w:r>
              <w:rPr>
                <w:rFonts w:ascii="Consolas" w:hAnsi="Consolas" w:eastAsia="Consolas"/>
                <w:color w:val="172B3A"/>
                <w:sz w:val="15"/>
              </w:rPr>
              <w:t>sudo ENV_FILE=/opt/nkp/config/customer.env /opt/nkp/scripts/05_install_harbor_on_bastion.sh --dry-run  # optional</w:t>
            </w:r>
            <w:r>
              <w:br/>
            </w:r>
            <w:r>
              <w:rPr>
                <w:rFonts w:ascii="Consolas" w:hAnsi="Consolas" w:eastAsia="Consolas"/>
                <w:color w:val="172B3A"/>
                <w:sz w:val="15"/>
              </w:rPr>
              <w:t>sudo ENV_FILE=/opt/nkp/config/customer.env /opt/nkp/scripts/05_install_harbor_on_bastion.sh --apply    # optional</w:t>
            </w:r>
            <w:r>
              <w:br/>
            </w:r>
            <w:r>
              <w:rPr>
                <w:rFonts w:ascii="Consolas" w:hAnsi="Consolas" w:eastAsia="Consolas"/>
                <w:color w:val="172B3A"/>
                <w:sz w:val="15"/>
              </w:rPr>
              <w:t>ENV_FILE=/opt/nkp/config/customer.env /opt/nkp/scripts/06_validate_registry.sh --dry-run</w:t>
            </w:r>
            <w:r>
              <w:br/>
            </w:r>
            <w:r>
              <w:rPr>
                <w:rFonts w:ascii="Consolas" w:hAnsi="Consolas" w:eastAsia="Consolas"/>
                <w:color w:val="172B3A"/>
                <w:sz w:val="15"/>
              </w:rPr>
              <w:t>ENV_FILE=/opt/nkp/config/customer.env /opt/nkp/scripts/06_validate_registry.sh --apply</w:t>
            </w:r>
            <w:r>
              <w:br/>
            </w:r>
            <w:r>
              <w:rPr>
                <w:rFonts w:ascii="Consolas" w:hAnsi="Consolas" w:eastAsia="Consolas"/>
                <w:color w:val="172B3A"/>
                <w:sz w:val="15"/>
              </w:rPr>
              <w:t>ENV_FILE=/opt/nkp/config/customer.env /opt/nkp/scripts/07_push_nkp_airgap_bundle.sh --dry-run</w:t>
            </w:r>
            <w:r>
              <w:br/>
            </w:r>
            <w:r>
              <w:rPr>
                <w:rFonts w:ascii="Consolas" w:hAnsi="Consolas" w:eastAsia="Consolas"/>
                <w:color w:val="172B3A"/>
                <w:sz w:val="15"/>
              </w:rPr>
              <w:t>ENV_FILE=/opt/nkp/config/customer.env /opt/nkp/scripts/07_push_nkp_airgap_bundle.sh --apply</w:t>
            </w:r>
            <w:r>
              <w:br/>
            </w:r>
            <w:r>
              <w:rPr>
                <w:rFonts w:ascii="Consolas" w:hAnsi="Consolas" w:eastAsia="Consolas"/>
                <w:color w:val="172B3A"/>
                <w:sz w:val="15"/>
              </w:rPr>
            </w:r>
            <w:r>
              <w:br/>
            </w:r>
            <w:r>
              <w:rPr>
                <w:rFonts w:ascii="Consolas" w:hAnsi="Consolas" w:eastAsia="Consolas"/>
                <w:color w:val="172B3A"/>
                <w:sz w:val="15"/>
              </w:rPr>
              <w:t># D. Read-only platform and command-contract gates</w:t>
            </w:r>
            <w:r>
              <w:br/>
            </w:r>
            <w:r>
              <w:rPr>
                <w:rFonts w:ascii="Consolas" w:hAnsi="Consolas" w:eastAsia="Consolas"/>
                <w:color w:val="172B3A"/>
                <w:sz w:val="15"/>
              </w:rPr>
              <w:t>ENV_FILE=/opt/nkp/config/customer.env /opt/nkp/scripts/08_prism_preflight.sh</w:t>
            </w:r>
            <w:r>
              <w:br/>
            </w:r>
            <w:r>
              <w:rPr>
                <w:rFonts w:ascii="Consolas" w:hAnsi="Consolas" w:eastAsia="Consolas"/>
                <w:color w:val="172B3A"/>
                <w:sz w:val="15"/>
              </w:rPr>
              <w:t>ENV_FILE=/opt/nkp/config/customer.env /opt/nkp/scripts/09_validate_nkp_cli_contract.sh</w:t>
            </w:r>
            <w:r>
              <w:br/>
            </w:r>
            <w:r>
              <w:rPr>
                <w:rFonts w:ascii="Consolas" w:hAnsi="Consolas" w:eastAsia="Consolas"/>
                <w:color w:val="172B3A"/>
                <w:sz w:val="15"/>
              </w:rPr>
              <w:t>ENV_FILE=/opt/nkp/config/customer.env /opt/nkp/scripts/10_create_nkp_cluster.sh --dry-run</w:t>
            </w:r>
            <w:r>
              <w:br/>
            </w:r>
            <w:r>
              <w:rPr>
                <w:rFonts w:ascii="Consolas" w:hAnsi="Consolas" w:eastAsia="Consolas"/>
                <w:color w:val="172B3A"/>
                <w:sz w:val="15"/>
              </w:rPr>
            </w:r>
            <w:r>
              <w:br/>
            </w:r>
            <w:r>
              <w:rPr>
                <w:rFonts w:ascii="Consolas" w:hAnsi="Consolas" w:eastAsia="Consolas"/>
                <w:color w:val="172B3A"/>
                <w:sz w:val="15"/>
              </w:rPr>
              <w:t># E. Approved deployment</w:t>
            </w:r>
            <w:r>
              <w:br/>
            </w:r>
            <w:r>
              <w:rPr>
                <w:rFonts w:ascii="Consolas" w:hAnsi="Consolas" w:eastAsia="Consolas"/>
                <w:color w:val="172B3A"/>
                <w:sz w:val="15"/>
              </w:rPr>
              <w:t>ENV_FILE=/opt/nkp/config/customer.env /opt/nkp/scripts/10_create_nkp_cluster.sh --apply</w:t>
            </w:r>
            <w:r>
              <w:br/>
            </w:r>
            <w:r>
              <w:rPr>
                <w:rFonts w:ascii="Consolas" w:hAnsi="Consolas" w:eastAsia="Consolas"/>
                <w:color w:val="172B3A"/>
                <w:sz w:val="15"/>
              </w:rPr>
              <w:t>ENV_FILE=/opt/nkp/config/customer.env /opt/nkp/scripts/11_monitor_and_get_kubeconfig.sh --apply</w:t>
            </w:r>
            <w:r>
              <w:br/>
            </w:r>
            <w:r>
              <w:rPr>
                <w:rFonts w:ascii="Consolas" w:hAnsi="Consolas" w:eastAsia="Consolas"/>
                <w:color w:val="172B3A"/>
                <w:sz w:val="15"/>
              </w:rPr>
            </w:r>
            <w:r>
              <w:br/>
            </w:r>
            <w:r>
              <w:rPr>
                <w:rFonts w:ascii="Consolas" w:hAnsi="Consolas" w:eastAsia="Consolas"/>
                <w:color w:val="172B3A"/>
                <w:sz w:val="15"/>
              </w:rPr>
              <w:t># F. Acceptance and evidence</w:t>
            </w:r>
            <w:r>
              <w:br/>
            </w:r>
            <w:r>
              <w:rPr>
                <w:rFonts w:ascii="Consolas" w:hAnsi="Consolas" w:eastAsia="Consolas"/>
                <w:color w:val="172B3A"/>
                <w:sz w:val="15"/>
              </w:rPr>
              <w:t>ENV_FILE=/opt/nkp/config/customer.env /opt/nkp/scripts/12_postdeployment_validation.sh --dry-run</w:t>
            </w:r>
            <w:r>
              <w:br/>
            </w:r>
            <w:r>
              <w:rPr>
                <w:rFonts w:ascii="Consolas" w:hAnsi="Consolas" w:eastAsia="Consolas"/>
                <w:color w:val="172B3A"/>
                <w:sz w:val="15"/>
              </w:rPr>
              <w:t>ENV_FILE=/opt/nkp/config/customer.env /opt/nkp/scripts/12_postdeployment_validation.sh --apply</w:t>
            </w:r>
            <w:r>
              <w:br/>
            </w:r>
            <w:r>
              <w:rPr>
                <w:rFonts w:ascii="Consolas" w:hAnsi="Consolas" w:eastAsia="Consolas"/>
                <w:color w:val="172B3A"/>
                <w:sz w:val="15"/>
              </w:rPr>
              <w:t>ENV_FILE=/opt/nkp/config/customer.env /opt/nkp/scripts/13_collect_evidence.sh</w:t>
            </w:r>
          </w:p>
        </w:tc>
      </w:tr>
    </w:tbl>
    <w:p>
      <w:pPr>
        <w:spacing w:after="0"/>
      </w:pPr>
    </w:p>
    <w:p>
      <w:pPr>
        <w:pStyle w:val="Heading1"/>
        <w:keepNext/>
      </w:pPr>
      <w:r>
        <w:t>Appendix A – Package contents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515"/>
            <w:tcMar>
              <w:top w:w="70" w:type="dxa"/>
              <w:start w:w="90" w:type="dxa"/>
              <w:bottom w:w="70" w:type="dxa"/>
              <w:end w:w="90" w:type="dxa"/>
            </w:tcMar>
            <w:vAlign w:val="center"/>
            <w:shd w:fill="17324D"/>
          </w:tcPr>
          <w:p>
            <w:pPr>
              <w:spacing w:after="0" w:before="0"/>
            </w:pPr>
            <w:r/>
            <w:r>
              <w:rPr>
                <w:rFonts w:ascii="Aptos" w:hAnsi="Aptos"/>
                <w:b/>
                <w:color w:val="FFFFFF"/>
                <w:sz w:val="15"/>
              </w:rPr>
              <w:t>File</w:t>
            </w:r>
          </w:p>
        </w:tc>
        <w:tc>
          <w:tcPr>
            <w:tcW w:type="dxa" w:w="4762"/>
            <w:tcMar>
              <w:top w:w="70" w:type="dxa"/>
              <w:start w:w="90" w:type="dxa"/>
              <w:bottom w:w="70" w:type="dxa"/>
              <w:end w:w="90" w:type="dxa"/>
            </w:tcMar>
            <w:vAlign w:val="center"/>
            <w:shd w:fill="17324D"/>
          </w:tcPr>
          <w:p>
            <w:pPr>
              <w:spacing w:after="0" w:before="0"/>
            </w:pPr>
            <w:r/>
            <w:r>
              <w:rPr>
                <w:rFonts w:ascii="Aptos" w:hAnsi="Aptos"/>
                <w:b/>
                <w:color w:val="FFFFFF"/>
                <w:sz w:val="15"/>
              </w:rPr>
              <w:t>Purpose</w:t>
            </w:r>
          </w:p>
        </w:tc>
        <w:tc>
          <w:tcPr>
            <w:tcW w:type="dxa" w:w="1644"/>
            <w:tcMar>
              <w:top w:w="70" w:type="dxa"/>
              <w:start w:w="90" w:type="dxa"/>
              <w:bottom w:w="70" w:type="dxa"/>
              <w:end w:w="90" w:type="dxa"/>
            </w:tcMar>
            <w:vAlign w:val="center"/>
            <w:shd w:fill="17324D"/>
          </w:tcPr>
          <w:p>
            <w:pPr>
              <w:spacing w:after="0" w:before="0"/>
            </w:pPr>
            <w:r/>
            <w:r>
              <w:rPr>
                <w:rFonts w:ascii="Aptos" w:hAnsi="Aptos"/>
                <w:b/>
                <w:color w:val="FFFFFF"/>
                <w:sz w:val="15"/>
              </w:rPr>
              <w:t>Safety</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01_build_connected_transfer_kit.sh</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Run only on an Internet-connected, controlled staging host.</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02_bastion_preflight.sh</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Read-only preflight for the air-gapped bastion. No system changes are made.</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03_prepare_bastion_rhel9.sh</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Prepare a RHEL/Rocky 9 x86_64 bastion from an already-mounted offline repository.</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04_install_offline_cli_tools.sh</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Install NKP and companion CLIs strictly from transferred local artifacts.</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05_install_harbor_on_bastion.sh</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Optional reference path: install Harbor from its offline installer on the bastion.</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06_validate_registry.sh</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Validate DNS, TLS, authentication, push, pull, and delete against the private registry.</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07_push_nkp_airgap_bundle.sh</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Push the Nutanix-provided NKP air-gap bundle to the private OCI registry.</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08_prism_preflight.sh</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Read-only Nutanix Prism Central/API and object preflight.</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09_validate_nkp_cli_contract.sh</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Capture the exact CLI contract shipped with the installed NKP release and check expected flags.</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10_create_nkp_cluster.sh</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Render and optionally execute an NKP Nutanix cluster creation command.</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11_monitor_and_get_kubeconfig.sh</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Retrieve kubeconfig using the exact installed NKP CLI contract and capture status.</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12_postdeployment_validation.sh</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Post-deployment acceptance checks. Read-only by default; --apply creates an isolated smoke-test namespace.</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13_collect_evidence.sh</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Collect a redacted deployment evidence pack. Read-only.</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99_guarded_failed_cluster_cleanup.sh</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DESTRUCTIVE: this script only renders a release-specific cleanup command unless --apply is supplied.</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lib.sh</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Runbook helper script</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Dry-run default</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templates/00_customer_inputs.env.example</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No execution</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templates/bastion_prepare.yml</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No execution</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templates/cloud-init-bastion.yaml.example</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No execution</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templates/customer-data-collection.csv</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No execution</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templates/docker-daemon.json.example</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No execution</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templates/inventory.ini.example</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No execution</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templates/nkp-offline.repo.example</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No execution</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templates/open-source-bom.tsv.example</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No execution</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templates/registry-san.cnf.example</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No execution</w:t>
            </w:r>
          </w:p>
        </w:tc>
      </w:tr>
      <w:tr>
        <w:trPr>
          <w:cantSplit/>
        </w:trPr>
        <w:tc>
          <w:tcPr>
            <w:tcW w:type="dxa" w:w="3515"/>
            <w:tcMar>
              <w:top w:w="70" w:type="dxa"/>
              <w:start w:w="90" w:type="dxa"/>
              <w:bottom w:w="70" w:type="dxa"/>
              <w:end w:w="90" w:type="dxa"/>
            </w:tcMar>
            <w:vAlign w:val="center"/>
          </w:tcPr>
          <w:p>
            <w:pPr>
              <w:spacing w:after="0" w:before="0"/>
            </w:pPr>
            <w:r/>
            <w:r>
              <w:rPr>
                <w:rFonts w:ascii="Aptos" w:hAnsi="Aptos"/>
                <w:b w:val="0"/>
                <w:color w:val="172B3A"/>
                <w:sz w:val="14"/>
              </w:rPr>
              <w:t>templates/rhel9-packages.txt</w:t>
            </w:r>
          </w:p>
        </w:tc>
        <w:tc>
          <w:tcPr>
            <w:tcW w:type="dxa" w:w="4762"/>
            <w:tcMar>
              <w:top w:w="70" w:type="dxa"/>
              <w:start w:w="90" w:type="dxa"/>
              <w:bottom w:w="70" w:type="dxa"/>
              <w:end w:w="90" w:type="dxa"/>
            </w:tcMar>
            <w:vAlign w:val="center"/>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tcPr>
          <w:p>
            <w:pPr>
              <w:spacing w:after="0" w:before="0"/>
            </w:pPr>
            <w:r/>
            <w:r>
              <w:rPr>
                <w:rFonts w:ascii="Aptos" w:hAnsi="Aptos"/>
                <w:b w:val="0"/>
                <w:color w:val="172B3A"/>
                <w:sz w:val="14"/>
              </w:rPr>
              <w:t>No execution</w:t>
            </w:r>
          </w:p>
        </w:tc>
      </w:tr>
      <w:tr>
        <w:trPr>
          <w:cantSplit/>
        </w:trPr>
        <w:tc>
          <w:tcPr>
            <w:tcW w:type="dxa" w:w="3515"/>
            <w:tcMar>
              <w:top w:w="70" w:type="dxa"/>
              <w:start w:w="90" w:type="dxa"/>
              <w:bottom w:w="70" w:type="dxa"/>
              <w:end w:w="90" w:type="dxa"/>
            </w:tcMar>
            <w:vAlign w:val="center"/>
            <w:shd w:fill="F8FAFC"/>
          </w:tcPr>
          <w:p>
            <w:pPr>
              <w:spacing w:after="0" w:before="0"/>
            </w:pPr>
            <w:r/>
            <w:r>
              <w:rPr>
                <w:rFonts w:ascii="Aptos" w:hAnsi="Aptos"/>
                <w:b w:val="0"/>
                <w:color w:val="172B3A"/>
                <w:sz w:val="14"/>
              </w:rPr>
              <w:t>templates/validation-workload-notes.txt</w:t>
            </w:r>
          </w:p>
        </w:tc>
        <w:tc>
          <w:tcPr>
            <w:tcW w:type="dxa" w:w="4762"/>
            <w:tcMar>
              <w:top w:w="70" w:type="dxa"/>
              <w:start w:w="90" w:type="dxa"/>
              <w:bottom w:w="70" w:type="dxa"/>
              <w:end w:w="90" w:type="dxa"/>
            </w:tcMar>
            <w:vAlign w:val="center"/>
            <w:shd w:fill="F8FAFC"/>
          </w:tcPr>
          <w:p>
            <w:pPr>
              <w:spacing w:after="0" w:before="0"/>
            </w:pPr>
            <w:r/>
            <w:r>
              <w:rPr>
                <w:rFonts w:ascii="Aptos" w:hAnsi="Aptos"/>
                <w:b w:val="0"/>
                <w:color w:val="172B3A"/>
                <w:sz w:val="14"/>
              </w:rPr>
              <w:t>Configuration/data template</w:t>
            </w:r>
          </w:p>
        </w:tc>
        <w:tc>
          <w:tcPr>
            <w:tcW w:type="dxa" w:w="1644"/>
            <w:tcMar>
              <w:top w:w="70" w:type="dxa"/>
              <w:start w:w="90" w:type="dxa"/>
              <w:bottom w:w="70" w:type="dxa"/>
              <w:end w:w="90" w:type="dxa"/>
            </w:tcMar>
            <w:vAlign w:val="center"/>
            <w:shd w:fill="F8FAFC"/>
          </w:tcPr>
          <w:p>
            <w:pPr>
              <w:spacing w:after="0" w:before="0"/>
            </w:pPr>
            <w:r/>
            <w:r>
              <w:rPr>
                <w:rFonts w:ascii="Aptos" w:hAnsi="Aptos"/>
                <w:b w:val="0"/>
                <w:color w:val="172B3A"/>
                <w:sz w:val="14"/>
              </w:rPr>
              <w:t>No execution</w:t>
            </w:r>
          </w:p>
        </w:tc>
      </w:tr>
    </w:tbl>
    <w:p>
      <w:pPr>
        <w:spacing w:after="0"/>
      </w:pPr>
    </w:p>
    <w:p>
      <w:pPr>
        <w:pStyle w:val="Heading1"/>
        <w:keepNext/>
      </w:pPr>
      <w:r>
        <w:t>Appendix B – Customer parameter file guidance</w:t>
      </w:r>
    </w:p>
    <w:p>
      <w:pPr>
        <w:spacing w:after="120" w:line="259" w:lineRule="auto"/>
      </w:pPr>
      <w:r>
        <w:t>Copy `templates/00_customer_inputs.env.example` to `/opt/nkp/config/customer.env`. It intentionally contains no password variable. Every value enclosed in `&lt;...&gt;` is a blocker. Use exact Prism names, FQDNs, paths, and release identifiers. Protect the file with mode 0600.</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3"/>
              </w:rPr>
              <w:t># NKP AIR-GAPPED DEPLOYMENT INPUTS</w:t>
            </w:r>
            <w:r>
              <w:br/>
            </w:r>
            <w:r>
              <w:rPr>
                <w:rFonts w:ascii="Consolas" w:hAnsi="Consolas" w:eastAsia="Consolas"/>
                <w:color w:val="172B3A"/>
                <w:sz w:val="13"/>
              </w:rPr>
              <w:t># Copy to /opt/nkp/config/customer.env, replace every &lt;...&gt; value, and chmod 600.</w:t>
            </w:r>
            <w:r>
              <w:br/>
            </w:r>
            <w:r>
              <w:rPr>
                <w:rFonts w:ascii="Consolas" w:hAnsi="Consolas" w:eastAsia="Consolas"/>
                <w:color w:val="172B3A"/>
                <w:sz w:val="13"/>
              </w:rPr>
              <w:t># This file must contain non-secret values only. Credentials are prompted at runtime.</w:t>
            </w:r>
            <w:r>
              <w:br/>
            </w:r>
            <w:r>
              <w:rPr>
                <w:rFonts w:ascii="Consolas" w:hAnsi="Consolas" w:eastAsia="Consolas"/>
                <w:color w:val="172B3A"/>
                <w:sz w:val="13"/>
              </w:rPr>
            </w:r>
            <w:r>
              <w:br/>
            </w:r>
            <w:r>
              <w:rPr>
                <w:rFonts w:ascii="Consolas" w:hAnsi="Consolas" w:eastAsia="Consolas"/>
                <w:color w:val="172B3A"/>
                <w:sz w:val="13"/>
              </w:rPr>
              <w:t># Release and artifact identity</w:t>
            </w:r>
            <w:r>
              <w:br/>
            </w:r>
            <w:r>
              <w:rPr>
                <w:rFonts w:ascii="Consolas" w:hAnsi="Consolas" w:eastAsia="Consolas"/>
                <w:color w:val="172B3A"/>
                <w:sz w:val="13"/>
              </w:rPr>
              <w:t>NKP_RELEASE_FAMILY="2.18"</w:t>
            </w:r>
            <w:r>
              <w:br/>
            </w:r>
            <w:r>
              <w:rPr>
                <w:rFonts w:ascii="Consolas" w:hAnsi="Consolas" w:eastAsia="Consolas"/>
                <w:color w:val="172B3A"/>
                <w:sz w:val="13"/>
              </w:rPr>
              <w:t>NKP_FULL_VERSION="&lt;EXACT_2.18_PATCH_FROM_NUTANIX_PORTAL&gt;"</w:t>
            </w:r>
            <w:r>
              <w:br/>
            </w:r>
            <w:r>
              <w:rPr>
                <w:rFonts w:ascii="Consolas" w:hAnsi="Consolas" w:eastAsia="Consolas"/>
                <w:color w:val="172B3A"/>
                <w:sz w:val="13"/>
              </w:rPr>
              <w:t>NKP_AIRGAP_BUNDLE="/opt/nkp/artifacts/&lt;NKP_AIRGAP_BUNDLE_FILENAME&gt;"</w:t>
            </w:r>
            <w:r>
              <w:br/>
            </w:r>
            <w:r>
              <w:rPr>
                <w:rFonts w:ascii="Consolas" w:hAnsi="Consolas" w:eastAsia="Consolas"/>
                <w:color w:val="172B3A"/>
                <w:sz w:val="13"/>
              </w:rPr>
              <w:t>NKP_CLI_ARCHIVE="/opt/nkp/artifacts/&lt;NKP_CLI_ARCHIVE_FILENAME&gt;"</w:t>
            </w:r>
            <w:r>
              <w:br/>
            </w:r>
            <w:r>
              <w:rPr>
                <w:rFonts w:ascii="Consolas" w:hAnsi="Consolas" w:eastAsia="Consolas"/>
                <w:color w:val="172B3A"/>
                <w:sz w:val="13"/>
              </w:rPr>
              <w:t>NKP_NODE_IMAGE_FILE="/opt/nkp/artifacts/&lt;NKP_QUALIFIED_NODE_IMAGE_FILENAME&gt;"</w:t>
            </w:r>
            <w:r>
              <w:br/>
            </w:r>
            <w:r>
              <w:rPr>
                <w:rFonts w:ascii="Consolas" w:hAnsi="Consolas" w:eastAsia="Consolas"/>
                <w:color w:val="172B3A"/>
                <w:sz w:val="13"/>
              </w:rPr>
              <w:t>ARTIFACT_MANIFEST="/opt/nkp/artifacts/SHA256SUMS"</w:t>
            </w:r>
            <w:r>
              <w:br/>
            </w:r>
            <w:r>
              <w:rPr>
                <w:rFonts w:ascii="Consolas" w:hAnsi="Consolas" w:eastAsia="Consolas"/>
                <w:color w:val="172B3A"/>
                <w:sz w:val="13"/>
              </w:rPr>
            </w:r>
            <w:r>
              <w:br/>
            </w:r>
            <w:r>
              <w:rPr>
                <w:rFonts w:ascii="Consolas" w:hAnsi="Consolas" w:eastAsia="Consolas"/>
                <w:color w:val="172B3A"/>
                <w:sz w:val="13"/>
              </w:rPr>
              <w:t># Customer identity and evidence</w:t>
            </w:r>
            <w:r>
              <w:br/>
            </w:r>
            <w:r>
              <w:rPr>
                <w:rFonts w:ascii="Consolas" w:hAnsi="Consolas" w:eastAsia="Consolas"/>
                <w:color w:val="172B3A"/>
                <w:sz w:val="13"/>
              </w:rPr>
              <w:t>CUSTOMER_NAME="&lt;CUSTOMER_NAME&gt;"</w:t>
            </w:r>
            <w:r>
              <w:br/>
            </w:r>
            <w:r>
              <w:rPr>
                <w:rFonts w:ascii="Consolas" w:hAnsi="Consolas" w:eastAsia="Consolas"/>
                <w:color w:val="172B3A"/>
                <w:sz w:val="13"/>
              </w:rPr>
              <w:t>SITE_NAME="&lt;SITE_NAME&gt;"</w:t>
            </w:r>
            <w:r>
              <w:br/>
            </w:r>
            <w:r>
              <w:rPr>
                <w:rFonts w:ascii="Consolas" w:hAnsi="Consolas" w:eastAsia="Consolas"/>
                <w:color w:val="172B3A"/>
                <w:sz w:val="13"/>
              </w:rPr>
              <w:t>CHANGE_TICKET="&lt;CHANGE_OR_IMPLEMENTATION_REFERENCE&gt;"</w:t>
            </w:r>
            <w:r>
              <w:br/>
            </w:r>
            <w:r>
              <w:rPr>
                <w:rFonts w:ascii="Consolas" w:hAnsi="Consolas" w:eastAsia="Consolas"/>
                <w:color w:val="172B3A"/>
                <w:sz w:val="13"/>
              </w:rPr>
              <w:t>EVIDENCE_DIR="/opt/nkp/evidence"</w:t>
            </w:r>
            <w:r>
              <w:br/>
            </w:r>
            <w:r>
              <w:rPr>
                <w:rFonts w:ascii="Consolas" w:hAnsi="Consolas" w:eastAsia="Consolas"/>
                <w:color w:val="172B3A"/>
                <w:sz w:val="13"/>
              </w:rPr>
              <w:t>LOG_DIR="/opt/nkp/logs"</w:t>
            </w:r>
            <w:r>
              <w:br/>
            </w:r>
            <w:r>
              <w:rPr>
                <w:rFonts w:ascii="Consolas" w:hAnsi="Consolas" w:eastAsia="Consolas"/>
                <w:color w:val="172B3A"/>
                <w:sz w:val="13"/>
              </w:rPr>
            </w:r>
            <w:r>
              <w:br/>
            </w:r>
            <w:r>
              <w:rPr>
                <w:rFonts w:ascii="Consolas" w:hAnsi="Consolas" w:eastAsia="Consolas"/>
                <w:color w:val="172B3A"/>
                <w:sz w:val="13"/>
              </w:rPr>
              <w:t># Bastion</w:t>
            </w:r>
            <w:r>
              <w:br/>
            </w:r>
            <w:r>
              <w:rPr>
                <w:rFonts w:ascii="Consolas" w:hAnsi="Consolas" w:eastAsia="Consolas"/>
                <w:color w:val="172B3A"/>
                <w:sz w:val="13"/>
              </w:rPr>
              <w:t>BASTION_FQDN="&lt;nkp-bastion.customer.local&gt;"</w:t>
            </w:r>
            <w:r>
              <w:br/>
            </w:r>
            <w:r>
              <w:rPr>
                <w:rFonts w:ascii="Consolas" w:hAnsi="Consolas" w:eastAsia="Consolas"/>
                <w:color w:val="172B3A"/>
                <w:sz w:val="13"/>
              </w:rPr>
              <w:t>BASTION_IP="&lt;10.10.10.20&gt;"</w:t>
            </w:r>
            <w:r>
              <w:br/>
            </w:r>
            <w:r>
              <w:rPr>
                <w:rFonts w:ascii="Consolas" w:hAnsi="Consolas" w:eastAsia="Consolas"/>
                <w:color w:val="172B3A"/>
                <w:sz w:val="13"/>
              </w:rPr>
              <w:t>BASTION_INTERFACE="&lt;ens3&gt;"</w:t>
            </w:r>
            <w:r>
              <w:br/>
            </w:r>
            <w:r>
              <w:rPr>
                <w:rFonts w:ascii="Consolas" w:hAnsi="Consolas" w:eastAsia="Consolas"/>
                <w:color w:val="172B3A"/>
                <w:sz w:val="13"/>
              </w:rPr>
              <w:t>BASTION_OS="RHEL9"</w:t>
            </w:r>
            <w:r>
              <w:br/>
            </w:r>
            <w:r>
              <w:rPr>
                <w:rFonts w:ascii="Consolas" w:hAnsi="Consolas" w:eastAsia="Consolas"/>
                <w:color w:val="172B3A"/>
                <w:sz w:val="13"/>
              </w:rPr>
              <w:t>BASTION_ADMIN="nkpadmin"</w:t>
            </w:r>
            <w:r>
              <w:br/>
            </w:r>
            <w:r>
              <w:rPr>
                <w:rFonts w:ascii="Consolas" w:hAnsi="Consolas" w:eastAsia="Consolas"/>
                <w:color w:val="172B3A"/>
                <w:sz w:val="13"/>
              </w:rPr>
              <w:t>AIRGAP_STRICT="true"</w:t>
            </w:r>
            <w:r>
              <w:br/>
            </w:r>
            <w:r>
              <w:rPr>
                <w:rFonts w:ascii="Consolas" w:hAnsi="Consolas" w:eastAsia="Consolas"/>
                <w:color w:val="172B3A"/>
                <w:sz w:val="13"/>
              </w:rPr>
              <w:t>OFFLINE_REPO_ID="nkp-offline"</w:t>
            </w:r>
            <w:r>
              <w:br/>
            </w:r>
            <w:r>
              <w:rPr>
                <w:rFonts w:ascii="Consolas" w:hAnsi="Consolas" w:eastAsia="Consolas"/>
                <w:color w:val="172B3A"/>
                <w:sz w:val="13"/>
              </w:rPr>
            </w:r>
            <w:r>
              <w:br/>
            </w:r>
            <w:r>
              <w:rPr>
                <w:rFonts w:ascii="Consolas" w:hAnsi="Consolas" w:eastAsia="Consolas"/>
                <w:color w:val="172B3A"/>
                <w:sz w:val="13"/>
              </w:rPr>
              <w:t># Internal infrastructure services</w:t>
            </w:r>
            <w:r>
              <w:br/>
            </w:r>
            <w:r>
              <w:rPr>
                <w:rFonts w:ascii="Consolas" w:hAnsi="Consolas" w:eastAsia="Consolas"/>
                <w:color w:val="172B3A"/>
                <w:sz w:val="13"/>
              </w:rPr>
              <w:t>DNS_SERVERS="&lt;10.10.1.10 10.10.1.11&gt;"</w:t>
            </w:r>
            <w:r>
              <w:br/>
            </w:r>
            <w:r>
              <w:rPr>
                <w:rFonts w:ascii="Consolas" w:hAnsi="Consolas" w:eastAsia="Consolas"/>
                <w:color w:val="172B3A"/>
                <w:sz w:val="13"/>
              </w:rPr>
              <w:t>DNS_SEARCH_DOMAIN="&lt;customer.local&gt;"</w:t>
            </w:r>
            <w:r>
              <w:br/>
            </w:r>
            <w:r>
              <w:rPr>
                <w:rFonts w:ascii="Consolas" w:hAnsi="Consolas" w:eastAsia="Consolas"/>
                <w:color w:val="172B3A"/>
                <w:sz w:val="13"/>
              </w:rPr>
              <w:t>NTP_SERVERS="&lt;10.10.2.10 10.10.2.11&gt;"</w:t>
            </w:r>
            <w:r>
              <w:br/>
            </w:r>
            <w:r>
              <w:rPr>
                <w:rFonts w:ascii="Consolas" w:hAnsi="Consolas" w:eastAsia="Consolas"/>
                <w:color w:val="172B3A"/>
                <w:sz w:val="13"/>
              </w:rPr>
              <w:t>CUSTOMER_ROOT_CA="/opt/nkp/pki/customer-root-ca.crt"</w:t>
            </w:r>
            <w:r>
              <w:br/>
            </w:r>
            <w:r>
              <w:rPr>
                <w:rFonts w:ascii="Consolas" w:hAnsi="Consolas" w:eastAsia="Consolas"/>
                <w:color w:val="172B3A"/>
                <w:sz w:val="13"/>
              </w:rPr>
            </w:r>
            <w:r>
              <w:br/>
            </w:r>
            <w:r>
              <w:rPr>
                <w:rFonts w:ascii="Consolas" w:hAnsi="Consolas" w:eastAsia="Consolas"/>
                <w:color w:val="172B3A"/>
                <w:sz w:val="13"/>
              </w:rPr>
              <w:t># Registry. Use REGISTRY_MODE=external for a customer enterprise registry.</w:t>
            </w:r>
            <w:r>
              <w:br/>
            </w:r>
            <w:r>
              <w:rPr>
                <w:rFonts w:ascii="Consolas" w:hAnsi="Consolas" w:eastAsia="Consolas"/>
                <w:color w:val="172B3A"/>
                <w:sz w:val="13"/>
              </w:rPr>
              <w:t># REGISTRY_MODE=harbor-on-bastion is supported by this kit as an optional reference design.</w:t>
            </w:r>
            <w:r>
              <w:br/>
            </w:r>
            <w:r>
              <w:rPr>
                <w:rFonts w:ascii="Consolas" w:hAnsi="Consolas" w:eastAsia="Consolas"/>
                <w:color w:val="172B3A"/>
                <w:sz w:val="13"/>
              </w:rPr>
              <w:t>REGISTRY_MODE="external"</w:t>
            </w:r>
            <w:r>
              <w:br/>
            </w:r>
            <w:r>
              <w:rPr>
                <w:rFonts w:ascii="Consolas" w:hAnsi="Consolas" w:eastAsia="Consolas"/>
                <w:color w:val="172B3A"/>
                <w:sz w:val="13"/>
              </w:rPr>
              <w:t>REGISTRY_FQDN="&lt;registry.customer.local&gt;"</w:t>
            </w:r>
            <w:r>
              <w:br/>
            </w:r>
            <w:r>
              <w:rPr>
                <w:rFonts w:ascii="Consolas" w:hAnsi="Consolas" w:eastAsia="Consolas"/>
                <w:color w:val="172B3A"/>
                <w:sz w:val="13"/>
              </w:rPr>
              <w:t>REGISTRY_PORT="443"</w:t>
            </w:r>
            <w:r>
              <w:br/>
            </w:r>
            <w:r>
              <w:rPr>
                <w:rFonts w:ascii="Consolas" w:hAnsi="Consolas" w:eastAsia="Consolas"/>
                <w:color w:val="172B3A"/>
                <w:sz w:val="13"/>
              </w:rPr>
              <w:t>REGISTRY_PROJECT="nkp"</w:t>
            </w:r>
            <w:r>
              <w:br/>
            </w:r>
            <w:r>
              <w:rPr>
                <w:rFonts w:ascii="Consolas" w:hAnsi="Consolas" w:eastAsia="Consolas"/>
                <w:color w:val="172B3A"/>
                <w:sz w:val="13"/>
              </w:rPr>
              <w:t>REGISTRY_CA_FILE="/opt/nkp/pki/registry-ca-chain.crt"</w:t>
            </w:r>
            <w:r>
              <w:br/>
            </w:r>
            <w:r>
              <w:rPr>
                <w:rFonts w:ascii="Consolas" w:hAnsi="Consolas" w:eastAsia="Consolas"/>
                <w:color w:val="172B3A"/>
                <w:sz w:val="13"/>
              </w:rPr>
              <w:t>REGISTRY_USERNAME="&lt;nkp-deployer&gt;"</w:t>
            </w:r>
            <w:r>
              <w:br/>
            </w:r>
            <w:r>
              <w:rPr>
                <w:rFonts w:ascii="Consolas" w:hAnsi="Consolas" w:eastAsia="Consolas"/>
                <w:color w:val="172B3A"/>
                <w:sz w:val="13"/>
              </w:rPr>
              <w:t>REGISTRY_HARBOR_API="https://&lt;registry.customer.local&gt;/api/v2.0"</w:t>
            </w:r>
            <w:r>
              <w:br/>
            </w:r>
            <w:r>
              <w:rPr>
                <w:rFonts w:ascii="Consolas" w:hAnsi="Consolas" w:eastAsia="Consolas"/>
                <w:color w:val="172B3A"/>
                <w:sz w:val="13"/>
              </w:rPr>
              <w:t>REGISTRY_DATA_DIR="/srv/registry"</w:t>
            </w:r>
            <w:r>
              <w:br/>
            </w:r>
            <w:r>
              <w:rPr>
                <w:rFonts w:ascii="Consolas" w:hAnsi="Consolas" w:eastAsia="Consolas"/>
                <w:color w:val="172B3A"/>
                <w:sz w:val="13"/>
              </w:rPr>
              <w:t>HARBOR_OFFLINE_INSTALLER="/opt/nkp/artifacts/&lt;harbor-offline-installer.tgz&gt;"</w:t>
            </w:r>
            <w:r>
              <w:br/>
            </w:r>
            <w:r>
              <w:rPr>
                <w:rFonts w:ascii="Consolas" w:hAnsi="Consolas" w:eastAsia="Consolas"/>
                <w:color w:val="172B3A"/>
                <w:sz w:val="13"/>
              </w:rPr>
              <w:t>HARBOR_SERVER_CERT="/opt/nkp/pki/registry-server.crt"</w:t>
            </w:r>
            <w:r>
              <w:br/>
            </w:r>
            <w:r>
              <w:rPr>
                <w:rFonts w:ascii="Consolas" w:hAnsi="Consolas" w:eastAsia="Consolas"/>
                <w:color w:val="172B3A"/>
                <w:sz w:val="13"/>
              </w:rPr>
              <w:t>HARBOR_SERVER_KEY="/opt/nkp/pki/registry-server.key"</w:t>
            </w:r>
            <w:r>
              <w:br/>
            </w:r>
            <w:r>
              <w:rPr>
                <w:rFonts w:ascii="Consolas" w:hAnsi="Consolas" w:eastAsia="Consolas"/>
                <w:color w:val="172B3A"/>
                <w:sz w:val="13"/>
              </w:rPr>
            </w:r>
            <w:r>
              <w:br/>
            </w:r>
            <w:r>
              <w:rPr>
                <w:rFonts w:ascii="Consolas" w:hAnsi="Consolas" w:eastAsia="Consolas"/>
                <w:color w:val="172B3A"/>
                <w:sz w:val="13"/>
              </w:rPr>
              <w:t># Nutanix platform</w:t>
            </w:r>
            <w:r>
              <w:br/>
            </w:r>
            <w:r>
              <w:rPr>
                <w:rFonts w:ascii="Consolas" w:hAnsi="Consolas" w:eastAsia="Consolas"/>
                <w:color w:val="172B3A"/>
                <w:sz w:val="13"/>
              </w:rPr>
              <w:t>PRISM_CENTRAL_FQDN="&lt;pc.customer.local&gt;"</w:t>
            </w:r>
            <w:r>
              <w:br/>
            </w:r>
            <w:r>
              <w:rPr>
                <w:rFonts w:ascii="Consolas" w:hAnsi="Consolas" w:eastAsia="Consolas"/>
                <w:color w:val="172B3A"/>
                <w:sz w:val="13"/>
              </w:rPr>
              <w:t>PRISM_CENTRAL_PORT="9440"</w:t>
            </w:r>
            <w:r>
              <w:br/>
            </w:r>
            <w:r>
              <w:rPr>
                <w:rFonts w:ascii="Consolas" w:hAnsi="Consolas" w:eastAsia="Consolas"/>
                <w:color w:val="172B3A"/>
                <w:sz w:val="13"/>
              </w:rPr>
              <w:t>PRISM_CENTRAL_ENDPOINT="https://&lt;pc.customer.local&gt;:9440"</w:t>
            </w:r>
            <w:r>
              <w:br/>
            </w:r>
            <w:r>
              <w:rPr>
                <w:rFonts w:ascii="Consolas" w:hAnsi="Consolas" w:eastAsia="Consolas"/>
                <w:color w:val="172B3A"/>
                <w:sz w:val="13"/>
              </w:rPr>
              <w:t>PRISM_CENTRAL_CA_FILE="/opt/nkp/pki/prism-ca-chain.crt"</w:t>
            </w:r>
            <w:r>
              <w:br/>
            </w:r>
            <w:r>
              <w:rPr>
                <w:rFonts w:ascii="Consolas" w:hAnsi="Consolas" w:eastAsia="Consolas"/>
                <w:color w:val="172B3A"/>
                <w:sz w:val="13"/>
              </w:rPr>
              <w:t>NUTANIX_INSECURE="false"</w:t>
            </w:r>
            <w:r>
              <w:br/>
            </w:r>
            <w:r>
              <w:rPr>
                <w:rFonts w:ascii="Consolas" w:hAnsi="Consolas" w:eastAsia="Consolas"/>
                <w:color w:val="172B3A"/>
                <w:sz w:val="13"/>
              </w:rPr>
              <w:t>PRISM_ELEMENT_CLUSTER_NAME="&lt;AHV_CLUSTER_NAME&gt;"</w:t>
            </w:r>
            <w:r>
              <w:br/>
            </w:r>
            <w:r>
              <w:rPr>
                <w:rFonts w:ascii="Consolas" w:hAnsi="Consolas" w:eastAsia="Consolas"/>
                <w:color w:val="172B3A"/>
                <w:sz w:val="13"/>
              </w:rPr>
              <w:t>PRISM_ELEMENT_FQDN="&lt;pe-or-cluster-vip.customer.local&gt;"</w:t>
            </w:r>
            <w:r>
              <w:br/>
            </w:r>
            <w:r>
              <w:rPr>
                <w:rFonts w:ascii="Consolas" w:hAnsi="Consolas" w:eastAsia="Consolas"/>
                <w:color w:val="172B3A"/>
                <w:sz w:val="13"/>
              </w:rPr>
              <w:t>NUTANIX_SUBNET_NAME="&lt;NKP_VM_NETWORK_NAME&gt;"</w:t>
            </w:r>
            <w:r>
              <w:br/>
            </w:r>
            <w:r>
              <w:rPr>
                <w:rFonts w:ascii="Consolas" w:hAnsi="Consolas" w:eastAsia="Consolas"/>
                <w:color w:val="172B3A"/>
                <w:sz w:val="13"/>
              </w:rPr>
              <w:t>NUTANIX_SUBNET_UUID="&lt;OPTIONAL_SUBNET_UUID&gt;"</w:t>
            </w:r>
            <w:r>
              <w:br/>
            </w:r>
            <w:r>
              <w:rPr>
                <w:rFonts w:ascii="Consolas" w:hAnsi="Consolas" w:eastAsia="Consolas"/>
                <w:color w:val="172B3A"/>
                <w:sz w:val="13"/>
              </w:rPr>
              <w:t>NUTANIX_STORAGE_CONTAINER="&lt;STORAGE_CONTAINER_NAME&gt;"</w:t>
            </w:r>
            <w:r>
              <w:br/>
            </w:r>
            <w:r>
              <w:rPr>
                <w:rFonts w:ascii="Consolas" w:hAnsi="Consolas" w:eastAsia="Consolas"/>
                <w:color w:val="172B3A"/>
                <w:sz w:val="13"/>
              </w:rPr>
              <w:t>NUTANIX_NODE_IMAGE_NAME="&lt;IMAGE_NAME_AS_SHOWN_IN_PRISM&gt;"</w:t>
            </w:r>
            <w:r>
              <w:br/>
            </w:r>
            <w:r>
              <w:rPr>
                <w:rFonts w:ascii="Consolas" w:hAnsi="Consolas" w:eastAsia="Consolas"/>
                <w:color w:val="172B3A"/>
                <w:sz w:val="13"/>
              </w:rPr>
              <w:t>NUTANIX_USER="&lt;service-account-or-deployment-user&gt;"</w:t>
            </w:r>
            <w:r>
              <w:br/>
            </w:r>
            <w:r>
              <w:rPr>
                <w:rFonts w:ascii="Consolas" w:hAnsi="Consolas" w:eastAsia="Consolas"/>
                <w:color w:val="172B3A"/>
                <w:sz w:val="13"/>
              </w:rPr>
            </w:r>
            <w:r>
              <w:br/>
            </w:r>
            <w:r>
              <w:rPr>
                <w:rFonts w:ascii="Consolas" w:hAnsi="Consolas" w:eastAsia="Consolas"/>
                <w:color w:val="172B3A"/>
                <w:sz w:val="13"/>
              </w:rPr>
              <w:t># NKP cluster</w:t>
            </w:r>
            <w:r>
              <w:br/>
            </w:r>
            <w:r>
              <w:rPr>
                <w:rFonts w:ascii="Consolas" w:hAnsi="Consolas" w:eastAsia="Consolas"/>
                <w:color w:val="172B3A"/>
                <w:sz w:val="13"/>
              </w:rPr>
              <w:t>CLUSTER_NAME="&lt;nkp-mgmt-01&gt;"</w:t>
            </w:r>
            <w:r>
              <w:br/>
            </w:r>
            <w:r>
              <w:rPr>
                <w:rFonts w:ascii="Consolas" w:hAnsi="Consolas" w:eastAsia="Consolas"/>
                <w:color w:val="172B3A"/>
                <w:sz w:val="13"/>
              </w:rPr>
              <w:t>KUBERNETES_VERSION="&lt;SUPPORTED_VERSION_FROM_NKP_RELEASE_GUIDE_OR_LEAVE_EMPTY&gt;"</w:t>
            </w:r>
            <w:r>
              <w:br/>
            </w:r>
            <w:r>
              <w:rPr>
                <w:rFonts w:ascii="Consolas" w:hAnsi="Consolas" w:eastAsia="Consolas"/>
                <w:color w:val="172B3A"/>
                <w:sz w:val="13"/>
              </w:rPr>
              <w:t>CONTROL_PLANE_REPLICAS="3"</w:t>
            </w:r>
            <w:r>
              <w:br/>
            </w:r>
            <w:r>
              <w:rPr>
                <w:rFonts w:ascii="Consolas" w:hAnsi="Consolas" w:eastAsia="Consolas"/>
                <w:color w:val="172B3A"/>
                <w:sz w:val="13"/>
              </w:rPr>
              <w:t>WORKER_REPLICAS="3"</w:t>
            </w:r>
            <w:r>
              <w:br/>
            </w:r>
            <w:r>
              <w:rPr>
                <w:rFonts w:ascii="Consolas" w:hAnsi="Consolas" w:eastAsia="Consolas"/>
                <w:color w:val="172B3A"/>
                <w:sz w:val="13"/>
              </w:rPr>
              <w:t>CONTROL_PLANE_VIP="&lt;10.20.30.40&gt;"</w:t>
            </w:r>
            <w:r>
              <w:br/>
            </w:r>
            <w:r>
              <w:rPr>
                <w:rFonts w:ascii="Consolas" w:hAnsi="Consolas" w:eastAsia="Consolas"/>
                <w:color w:val="172B3A"/>
                <w:sz w:val="13"/>
              </w:rPr>
              <w:t>SERVICE_LB_IP_RANGE="&lt;10.20.30.50-10.20.30.80&gt;"</w:t>
            </w:r>
            <w:r>
              <w:br/>
            </w:r>
            <w:r>
              <w:rPr>
                <w:rFonts w:ascii="Consolas" w:hAnsi="Consolas" w:eastAsia="Consolas"/>
                <w:color w:val="172B3A"/>
                <w:sz w:val="13"/>
              </w:rPr>
              <w:t>POD_CIDR="&lt;192.168.0.0/16&gt;"</w:t>
            </w:r>
            <w:r>
              <w:br/>
            </w:r>
            <w:r>
              <w:rPr>
                <w:rFonts w:ascii="Consolas" w:hAnsi="Consolas" w:eastAsia="Consolas"/>
                <w:color w:val="172B3A"/>
                <w:sz w:val="13"/>
              </w:rPr>
              <w:t>SERVICE_CIDR="&lt;10.96.0.0/12&gt;"</w:t>
            </w:r>
            <w:r>
              <w:br/>
            </w:r>
            <w:r>
              <w:rPr>
                <w:rFonts w:ascii="Consolas" w:hAnsi="Consolas" w:eastAsia="Consolas"/>
                <w:color w:val="172B3A"/>
                <w:sz w:val="13"/>
              </w:rPr>
              <w:t>CLUSTER_TIMEZONE="UTC"</w:t>
            </w:r>
            <w:r>
              <w:br/>
            </w:r>
            <w:r>
              <w:rPr>
                <w:rFonts w:ascii="Consolas" w:hAnsi="Consolas" w:eastAsia="Consolas"/>
                <w:color w:val="172B3A"/>
                <w:sz w:val="13"/>
              </w:rPr>
            </w:r>
            <w:r>
              <w:br/>
            </w:r>
            <w:r>
              <w:rPr>
                <w:rFonts w:ascii="Consolas" w:hAnsi="Consolas" w:eastAsia="Consolas"/>
                <w:color w:val="172B3A"/>
                <w:sz w:val="13"/>
              </w:rPr>
              <w:t># VM sizing. Use names or values accepted by the installed NKP CLI.</w:t>
            </w:r>
            <w:r>
              <w:br/>
            </w:r>
            <w:r>
              <w:rPr>
                <w:rFonts w:ascii="Consolas" w:hAnsi="Consolas" w:eastAsia="Consolas"/>
                <w:color w:val="172B3A"/>
                <w:sz w:val="13"/>
              </w:rPr>
              <w:t>CONTROL_PLANE_VCPUS="4"</w:t>
            </w:r>
            <w:r>
              <w:br/>
            </w:r>
            <w:r>
              <w:rPr>
                <w:rFonts w:ascii="Consolas" w:hAnsi="Consolas" w:eastAsia="Consolas"/>
                <w:color w:val="172B3A"/>
                <w:sz w:val="13"/>
              </w:rPr>
              <w:t>CONTROL_PLANE_MEMORY_MIB="16384"</w:t>
            </w:r>
            <w:r>
              <w:br/>
            </w:r>
            <w:r>
              <w:rPr>
                <w:rFonts w:ascii="Consolas" w:hAnsi="Consolas" w:eastAsia="Consolas"/>
                <w:color w:val="172B3A"/>
                <w:sz w:val="13"/>
              </w:rPr>
              <w:t>CONTROL_PLANE_DISK_GIB="80"</w:t>
            </w:r>
            <w:r>
              <w:br/>
            </w:r>
            <w:r>
              <w:rPr>
                <w:rFonts w:ascii="Consolas" w:hAnsi="Consolas" w:eastAsia="Consolas"/>
                <w:color w:val="172B3A"/>
                <w:sz w:val="13"/>
              </w:rPr>
              <w:t>WORKER_VCPUS="8"</w:t>
            </w:r>
            <w:r>
              <w:br/>
            </w:r>
            <w:r>
              <w:rPr>
                <w:rFonts w:ascii="Consolas" w:hAnsi="Consolas" w:eastAsia="Consolas"/>
                <w:color w:val="172B3A"/>
                <w:sz w:val="13"/>
              </w:rPr>
              <w:t>WORKER_MEMORY_MIB="32768"</w:t>
            </w:r>
            <w:r>
              <w:br/>
            </w:r>
            <w:r>
              <w:rPr>
                <w:rFonts w:ascii="Consolas" w:hAnsi="Consolas" w:eastAsia="Consolas"/>
                <w:color w:val="172B3A"/>
                <w:sz w:val="13"/>
              </w:rPr>
              <w:t>WORKER_DISK_GIB="120"</w:t>
            </w:r>
            <w:r>
              <w:br/>
            </w:r>
            <w:r>
              <w:rPr>
                <w:rFonts w:ascii="Consolas" w:hAnsi="Consolas" w:eastAsia="Consolas"/>
                <w:color w:val="172B3A"/>
                <w:sz w:val="13"/>
              </w:rPr>
            </w:r>
            <w:r>
              <w:br/>
            </w:r>
            <w:r>
              <w:rPr>
                <w:rFonts w:ascii="Consolas" w:hAnsi="Consolas" w:eastAsia="Consolas"/>
                <w:color w:val="172B3A"/>
                <w:sz w:val="13"/>
              </w:rPr>
              <w:t># Optional network test targets</w:t>
            </w:r>
            <w:r>
              <w:br/>
            </w:r>
            <w:r>
              <w:rPr>
                <w:rFonts w:ascii="Consolas" w:hAnsi="Consolas" w:eastAsia="Consolas"/>
                <w:color w:val="172B3A"/>
                <w:sz w:val="13"/>
              </w:rPr>
              <w:t>INTERNAL_TEST_HOSTS="${PRISM_CENTRAL_FQDN} ${REGISTRY_FQDN}"</w:t>
            </w:r>
            <w:r>
              <w:br/>
            </w:r>
            <w:r>
              <w:rPr>
                <w:rFonts w:ascii="Consolas" w:hAnsi="Consolas" w:eastAsia="Consolas"/>
                <w:color w:val="172B3A"/>
                <w:sz w:val="13"/>
              </w:rPr>
              <w:t>INTERNET_TEST_URLS="https://example.com https://1.1.1.1"</w:t>
            </w:r>
            <w:r>
              <w:br/>
            </w:r>
            <w:r>
              <w:rPr>
                <w:rFonts w:ascii="Consolas" w:hAnsi="Consolas" w:eastAsia="Consolas"/>
                <w:color w:val="172B3A"/>
                <w:sz w:val="13"/>
              </w:rPr>
              <w:t>TCP_TESTS="${PRISM_CENTRAL_FQDN}:9440 ${REGISTRY_FQDN}:443"</w:t>
            </w:r>
            <w:r>
              <w:br/>
            </w:r>
            <w:r>
              <w:rPr>
                <w:rFonts w:ascii="Consolas" w:hAnsi="Consolas" w:eastAsia="Consolas"/>
                <w:color w:val="172B3A"/>
                <w:sz w:val="13"/>
              </w:rPr>
            </w:r>
            <w:r>
              <w:br/>
            </w:r>
            <w:r>
              <w:rPr>
                <w:rFonts w:ascii="Consolas" w:hAnsi="Consolas" w:eastAsia="Consolas"/>
                <w:color w:val="172B3A"/>
                <w:sz w:val="13"/>
              </w:rPr>
              <w:t># Post-deployment validation images. These must be mirrored into the private registry before deployment.</w:t>
            </w:r>
            <w:r>
              <w:br/>
            </w:r>
            <w:r>
              <w:rPr>
                <w:rFonts w:ascii="Consolas" w:hAnsi="Consolas" w:eastAsia="Consolas"/>
                <w:color w:val="172B3A"/>
                <w:sz w:val="13"/>
              </w:rPr>
              <w:t>SMOKE_WEB_IMAGE="${REGISTRY_FQDN}/${REGISTRY_PROJECT}/validation/http-echo:&lt;PINNED_TAG_OR_DIGEST&gt;"</w:t>
            </w:r>
            <w:r>
              <w:br/>
            </w:r>
            <w:r>
              <w:rPr>
                <w:rFonts w:ascii="Consolas" w:hAnsi="Consolas" w:eastAsia="Consolas"/>
                <w:color w:val="172B3A"/>
                <w:sz w:val="13"/>
              </w:rPr>
              <w:t>SMOKE_TOOLBOX_IMAGE="${REGISTRY_FQDN}/${REGISTRY_PROJECT}/validation/busybox:&lt;PINNED_TAG_OR_DIGEST&gt;"</w:t>
            </w:r>
            <w:r>
              <w:br/>
            </w:r>
            <w:r>
              <w:rPr>
                <w:rFonts w:ascii="Consolas" w:hAnsi="Consolas" w:eastAsia="Consolas"/>
                <w:color w:val="172B3A"/>
                <w:sz w:val="13"/>
              </w:rPr>
              <w:t>TEST_STORAGE_CLASS="&lt;NKP_DEFAULT_STORAGE_CLASS&gt;"</w:t>
            </w:r>
          </w:p>
        </w:tc>
      </w:tr>
    </w:tbl>
    <w:p>
      <w:pPr>
        <w:spacing w:after="0"/>
      </w:pPr>
    </w:p>
    <w:p>
      <w:pPr>
        <w:pStyle w:val="Heading1"/>
        <w:keepNext/>
      </w:pPr>
      <w:r>
        <w:t>Appendix C – Bastion Ansible dry-run</w:t>
      </w:r>
    </w:p>
    <w:p>
      <w:pPr>
        <w:spacing w:after="120" w:line="259" w:lineRule="auto"/>
      </w:pPr>
      <w:r>
        <w:t>The Ansible playbook is an optional alternative for the OS preparation stage. It assumes Ansible and the required collections are already available offline. Always use `--check --diff` first and review the host limit.</w:t>
      </w:r>
    </w:p>
    <w:p>
      <w:pPr>
        <w:spacing w:after="40"/>
      </w:pPr>
      <w:r>
        <w:rPr>
          <w:b/>
          <w:color w:val="1F6E8C"/>
          <w:sz w:val="18"/>
        </w:rPr>
        <w:t>Ansible sequence</w:t>
      </w:r>
    </w:p>
    <w:tbl>
      <w:tblPr>
        <w:tblW w:type="auto" w:w="0"/>
        <w:jc w:val="center"/>
        <w:tblLayout w:type="autofit"/>
        <w:tblLook w:firstColumn="1" w:firstRow="1" w:lastColumn="0" w:lastRow="0" w:noHBand="0" w:noVBand="1" w:val="04A0"/>
      </w:tblPr>
      <w:tblGrid>
        <w:gridCol w:w="10036"/>
      </w:tblGrid>
      <w:tr>
        <w:tc>
          <w:tcPr>
            <w:tcW w:type="dxa" w:w="10036"/>
            <w:shd w:fill="F1F5F8"/>
            <w:tcMar>
              <w:top w:w="90" w:type="dxa"/>
              <w:start w:w="120" w:type="dxa"/>
              <w:bottom w:w="90" w:type="dxa"/>
              <w:end w:w="120" w:type="dxa"/>
            </w:tcMar>
          </w:tcPr>
          <w:p>
            <w:pPr>
              <w:spacing w:after="0" w:line="240" w:lineRule="auto"/>
            </w:pPr>
            <w:r/>
            <w:r>
              <w:rPr>
                <w:rFonts w:ascii="Consolas" w:hAnsi="Consolas" w:eastAsia="Consolas"/>
                <w:color w:val="172B3A"/>
                <w:sz w:val="16"/>
              </w:rPr>
              <w:t>cp templates/inventory.ini.example inventory.ini</w:t>
            </w:r>
            <w:r>
              <w:br/>
            </w:r>
            <w:r>
              <w:rPr>
                <w:rFonts w:ascii="Consolas" w:hAnsi="Consolas" w:eastAsia="Consolas"/>
                <w:color w:val="172B3A"/>
                <w:sz w:val="16"/>
              </w:rPr>
              <w:t># Edit and validate the single intended host.</w:t>
            </w:r>
            <w:r>
              <w:br/>
            </w:r>
            <w:r>
              <w:rPr>
                <w:rFonts w:ascii="Consolas" w:hAnsi="Consolas" w:eastAsia="Consolas"/>
                <w:color w:val="172B3A"/>
                <w:sz w:val="16"/>
              </w:rPr>
              <w:t>ansible-inventory -i inventory.ini --graph</w:t>
            </w:r>
            <w:r>
              <w:br/>
            </w:r>
            <w:r>
              <w:rPr>
                <w:rFonts w:ascii="Consolas" w:hAnsi="Consolas" w:eastAsia="Consolas"/>
                <w:color w:val="172B3A"/>
                <w:sz w:val="16"/>
              </w:rPr>
              <w:t>ansible -i inventory.ini bastion -m ping</w:t>
            </w:r>
            <w:r>
              <w:br/>
            </w:r>
            <w:r>
              <w:rPr>
                <w:rFonts w:ascii="Consolas" w:hAnsi="Consolas" w:eastAsia="Consolas"/>
                <w:color w:val="172B3A"/>
                <w:sz w:val="16"/>
              </w:rPr>
            </w:r>
            <w:r>
              <w:br/>
            </w:r>
            <w:r>
              <w:rPr>
                <w:rFonts w:ascii="Consolas" w:hAnsi="Consolas" w:eastAsia="Consolas"/>
                <w:color w:val="172B3A"/>
                <w:sz w:val="16"/>
              </w:rPr>
              <w:t>ansible-playbook -i inventory.ini templates/bastion_prepare.yml   --limit bastion --check --diff</w:t>
            </w:r>
            <w:r>
              <w:br/>
            </w:r>
            <w:r>
              <w:rPr>
                <w:rFonts w:ascii="Consolas" w:hAnsi="Consolas" w:eastAsia="Consolas"/>
                <w:color w:val="172B3A"/>
                <w:sz w:val="16"/>
              </w:rPr>
            </w:r>
            <w:r>
              <w:br/>
            </w:r>
            <w:r>
              <w:rPr>
                <w:rFonts w:ascii="Consolas" w:hAnsi="Consolas" w:eastAsia="Consolas"/>
                <w:color w:val="172B3A"/>
                <w:sz w:val="16"/>
              </w:rPr>
              <w:t># Apply only after approval:</w:t>
            </w:r>
            <w:r>
              <w:br/>
            </w:r>
            <w:r>
              <w:rPr>
                <w:rFonts w:ascii="Consolas" w:hAnsi="Consolas" w:eastAsia="Consolas"/>
                <w:color w:val="172B3A"/>
                <w:sz w:val="16"/>
              </w:rPr>
              <w:t>ansible-playbook -i inventory.ini templates/bastion_prepare.yml   --limit bastion --diff</w:t>
            </w:r>
          </w:p>
        </w:tc>
      </w:tr>
    </w:tbl>
    <w:p>
      <w:pPr>
        <w:spacing w:after="0"/>
      </w:pPr>
    </w:p>
    <w:p>
      <w:pPr>
        <w:pStyle w:val="Heading1"/>
        <w:keepNext/>
      </w:pPr>
      <w:r>
        <w:t>Appendix D – Pre-visit packing list</w:t>
      </w:r>
    </w:p>
    <w:p>
      <w:pPr>
        <w:ind w:left="312" w:hanging="142"/>
      </w:pPr>
      <w:r>
        <w:t xml:space="preserve">☐ </w:t>
      </w:r>
      <w:r>
        <w:t>Encrypted approved media with two verified copies when policy permits</w:t>
      </w:r>
    </w:p>
    <w:p>
      <w:pPr>
        <w:ind w:left="312" w:hanging="142"/>
      </w:pPr>
      <w:r>
        <w:t xml:space="preserve">☐ </w:t>
      </w:r>
      <w:r>
        <w:t>NKP CLI, air-gap bundle, node image, release guide, release notes, and checksums</w:t>
      </w:r>
    </w:p>
    <w:p>
      <w:pPr>
        <w:ind w:left="312" w:hanging="142"/>
      </w:pPr>
      <w:r>
        <w:t xml:space="preserve">☐ </w:t>
      </w:r>
      <w:r>
        <w:t>RHEL ISO/offline RPM repository and container runtime packages</w:t>
      </w:r>
    </w:p>
    <w:p>
      <w:pPr>
        <w:ind w:left="312" w:hanging="142"/>
      </w:pPr>
      <w:r>
        <w:t xml:space="preserve">☐ </w:t>
      </w:r>
      <w:r>
        <w:t>Harbor offline installer when required</w:t>
      </w:r>
    </w:p>
    <w:p>
      <w:pPr>
        <w:ind w:left="312" w:hanging="142"/>
      </w:pPr>
      <w:r>
        <w:t xml:space="preserve">☐ </w:t>
      </w:r>
      <w:r>
        <w:t>Pinned kubectl/Helm/yq and validation image archives</w:t>
      </w:r>
    </w:p>
    <w:p>
      <w:pPr>
        <w:ind w:left="312" w:hanging="142"/>
      </w:pPr>
      <w:r>
        <w:t xml:space="preserve">☐ </w:t>
      </w:r>
      <w:r>
        <w:t>Customer root/intermediate CA certificates; CSR template; no unapproved private keys</w:t>
      </w:r>
    </w:p>
    <w:p>
      <w:pPr>
        <w:ind w:left="312" w:hanging="142"/>
      </w:pPr>
      <w:r>
        <w:t xml:space="preserve">☐ </w:t>
      </w:r>
      <w:r>
        <w:t>Printed or offline copy of this runbook, scripts, parameter templates, and source research log</w:t>
      </w:r>
    </w:p>
    <w:p>
      <w:pPr>
        <w:ind w:left="312" w:hanging="142"/>
      </w:pPr>
      <w:r>
        <w:t xml:space="preserve">☐ </w:t>
      </w:r>
      <w:r>
        <w:t>License/entitlement details and Nutanix support contact/escalation path</w:t>
      </w:r>
    </w:p>
    <w:p>
      <w:pPr>
        <w:ind w:left="312" w:hanging="142"/>
      </w:pPr>
      <w:r>
        <w:t xml:space="preserve">☐ </w:t>
      </w:r>
      <w:r>
        <w:t>Customer network/IP/port matrix and approved change/rollback plan</w:t>
      </w:r>
    </w:p>
    <w:p>
      <w:pPr>
        <w:ind w:left="312" w:hanging="142"/>
      </w:pPr>
      <w:r>
        <w:t xml:space="preserve">☐ </w:t>
      </w:r>
      <w:r>
        <w:t>Known-good SSH public key, terminal emulator, and secure password-vault access method</w:t>
      </w:r>
    </w:p>
    <w:p>
      <w:pPr>
        <w:pStyle w:val="Heading1"/>
        <w:keepNext/>
      </w:pPr>
      <w:r>
        <w:t>Appendix E – Source and research register</w:t>
      </w:r>
    </w:p>
    <w:p>
      <w:pPr>
        <w:spacing w:after="120" w:line="259" w:lineRule="auto"/>
      </w:pPr>
      <w:r>
        <w:t>Source priority: (1) exact installed NKP CLI help and exact release notes; (2) supplied Nutanix v2.18 guide; (3) current official Nutanix product documentation and support portal; (4) official Kubernetes, Harbor, Docker, Red Hat, and Nutanix Cloud Native project documentation; (5) blogs only for explanatory context, never as the sole source for executable commands.</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850"/>
            <w:tcMar>
              <w:top w:w="70" w:type="dxa"/>
              <w:start w:w="90" w:type="dxa"/>
              <w:bottom w:w="70" w:type="dxa"/>
              <w:end w:w="90" w:type="dxa"/>
            </w:tcMar>
            <w:vAlign w:val="center"/>
            <w:shd w:fill="17324D"/>
          </w:tcPr>
          <w:p>
            <w:pPr>
              <w:spacing w:after="0" w:before="0"/>
            </w:pPr>
            <w:r/>
            <w:r>
              <w:rPr>
                <w:rFonts w:ascii="Aptos" w:hAnsi="Aptos"/>
                <w:b/>
                <w:color w:val="FFFFFF"/>
                <w:sz w:val="16"/>
              </w:rPr>
              <w:t>ID</w:t>
            </w:r>
          </w:p>
        </w:tc>
        <w:tc>
          <w:tcPr>
            <w:tcW w:type="dxa" w:w="4535"/>
            <w:tcMar>
              <w:top w:w="70" w:type="dxa"/>
              <w:start w:w="90" w:type="dxa"/>
              <w:bottom w:w="70" w:type="dxa"/>
              <w:end w:w="90" w:type="dxa"/>
            </w:tcMar>
            <w:vAlign w:val="center"/>
            <w:shd w:fill="17324D"/>
          </w:tcPr>
          <w:p>
            <w:pPr>
              <w:spacing w:after="0" w:before="0"/>
            </w:pPr>
            <w:r/>
            <w:r>
              <w:rPr>
                <w:rFonts w:ascii="Aptos" w:hAnsi="Aptos"/>
                <w:b/>
                <w:color w:val="FFFFFF"/>
                <w:sz w:val="16"/>
              </w:rPr>
              <w:t>Source</w:t>
            </w:r>
          </w:p>
        </w:tc>
        <w:tc>
          <w:tcPr>
            <w:tcW w:type="dxa" w:w="4535"/>
            <w:tcMar>
              <w:top w:w="70" w:type="dxa"/>
              <w:start w:w="90" w:type="dxa"/>
              <w:bottom w:w="70" w:type="dxa"/>
              <w:end w:w="90" w:type="dxa"/>
            </w:tcMar>
            <w:vAlign w:val="center"/>
            <w:shd w:fill="17324D"/>
          </w:tcPr>
          <w:p>
            <w:pPr>
              <w:spacing w:after="0" w:before="0"/>
            </w:pPr>
            <w:r/>
            <w:r>
              <w:rPr>
                <w:rFonts w:ascii="Aptos" w:hAnsi="Aptos"/>
                <w:b/>
                <w:color w:val="FFFFFF"/>
                <w:sz w:val="16"/>
              </w:rPr>
              <w:t>Role</w:t>
            </w:r>
          </w:p>
        </w:tc>
      </w:tr>
      <w:tr>
        <w:trPr>
          <w:cantSplit/>
        </w:trPr>
        <w:tc>
          <w:tcPr>
            <w:tcW w:type="dxa" w:w="850"/>
            <w:tcMar>
              <w:top w:w="70" w:type="dxa"/>
              <w:start w:w="90" w:type="dxa"/>
              <w:bottom w:w="70" w:type="dxa"/>
              <w:end w:w="90" w:type="dxa"/>
            </w:tcMar>
            <w:vAlign w:val="center"/>
          </w:tcPr>
          <w:p>
            <w:pPr>
              <w:spacing w:after="0" w:before="0"/>
            </w:pPr>
            <w:r/>
            <w:r>
              <w:rPr>
                <w:rFonts w:ascii="Aptos" w:hAnsi="Aptos"/>
                <w:b w:val="0"/>
                <w:color w:val="172B3A"/>
                <w:sz w:val="16"/>
              </w:rPr>
              <w:t>[A1]</w:t>
            </w:r>
          </w:p>
        </w:tc>
        <w:tc>
          <w:tcPr>
            <w:tcW w:type="dxa" w:w="4535"/>
            <w:tcMar>
              <w:top w:w="70" w:type="dxa"/>
              <w:start w:w="90" w:type="dxa"/>
              <w:bottom w:w="70" w:type="dxa"/>
              <w:end w:w="90" w:type="dxa"/>
            </w:tcMar>
            <w:vAlign w:val="center"/>
          </w:tcPr>
          <w:p>
            <w:pPr>
              <w:spacing w:after="0" w:before="0"/>
            </w:pPr>
            <w:r/>
            <w:r>
              <w:rPr>
                <w:rFonts w:ascii="Aptos" w:hAnsi="Aptos"/>
                <w:b w:val="0"/>
                <w:color w:val="172B3A"/>
                <w:sz w:val="16"/>
              </w:rPr>
              <w:t>Nutanix-Kubernetes-Platform-v2_18 (1).pdf</w:t>
            </w:r>
          </w:p>
        </w:tc>
        <w:tc>
          <w:tcPr>
            <w:tcW w:type="dxa" w:w="4535"/>
            <w:tcMar>
              <w:top w:w="70" w:type="dxa"/>
              <w:start w:w="90" w:type="dxa"/>
              <w:bottom w:w="70" w:type="dxa"/>
              <w:end w:w="90" w:type="dxa"/>
            </w:tcMar>
            <w:vAlign w:val="center"/>
          </w:tcPr>
          <w:p>
            <w:pPr>
              <w:spacing w:after="0" w:before="0"/>
            </w:pPr>
            <w:r/>
            <w:r>
              <w:rPr>
                <w:rFonts w:ascii="Aptos" w:hAnsi="Aptos"/>
                <w:b w:val="0"/>
                <w:color w:val="172B3A"/>
                <w:sz w:val="16"/>
              </w:rPr>
              <w:t>Supplied local vendor guide.</w:t>
            </w:r>
          </w:p>
        </w:tc>
      </w:tr>
      <w:tr>
        <w:trPr>
          <w:cantSplit/>
        </w:trPr>
        <w:tc>
          <w:tcPr>
            <w:tcW w:type="dxa" w:w="850"/>
            <w:tcMar>
              <w:top w:w="70" w:type="dxa"/>
              <w:start w:w="90" w:type="dxa"/>
              <w:bottom w:w="70" w:type="dxa"/>
              <w:end w:w="90" w:type="dxa"/>
            </w:tcMar>
            <w:vAlign w:val="center"/>
            <w:shd w:fill="F8FAFC"/>
          </w:tcPr>
          <w:p>
            <w:pPr>
              <w:spacing w:after="0" w:before="0"/>
            </w:pPr>
            <w:r/>
            <w:r>
              <w:rPr>
                <w:rFonts w:ascii="Aptos" w:hAnsi="Aptos"/>
                <w:b w:val="0"/>
                <w:color w:val="172B3A"/>
                <w:sz w:val="16"/>
              </w:rPr>
              <w:t>[A2]</w:t>
            </w:r>
          </w:p>
        </w:tc>
        <w:tc>
          <w:tcPr>
            <w:tcW w:type="dxa" w:w="4535"/>
            <w:tcMar>
              <w:top w:w="70" w:type="dxa"/>
              <w:start w:w="90" w:type="dxa"/>
              <w:bottom w:w="70" w:type="dxa"/>
              <w:end w:w="90" w:type="dxa"/>
            </w:tcMar>
            <w:vAlign w:val="center"/>
            <w:shd w:fill="F8FAFC"/>
          </w:tcPr>
          <w:p>
            <w:pPr>
              <w:spacing w:after="0" w:before="0"/>
            </w:pPr>
            <w:r/>
            <w:r>
              <w:rPr>
                <w:rFonts w:ascii="Aptos" w:hAnsi="Aptos"/>
                <w:b w:val="0"/>
                <w:color w:val="172B3A"/>
                <w:sz w:val="16"/>
              </w:rPr>
              <w:t>NKP_Non_Airgapped_Cluster_Creation_Guide.docx</w:t>
            </w:r>
          </w:p>
        </w:tc>
        <w:tc>
          <w:tcPr>
            <w:tcW w:type="dxa" w:w="4535"/>
            <w:tcMar>
              <w:top w:w="70" w:type="dxa"/>
              <w:start w:w="90" w:type="dxa"/>
              <w:bottom w:w="70" w:type="dxa"/>
              <w:end w:w="90" w:type="dxa"/>
            </w:tcMar>
            <w:vAlign w:val="center"/>
            <w:shd w:fill="F8FAFC"/>
          </w:tcPr>
          <w:p>
            <w:pPr>
              <w:spacing w:after="0" w:before="0"/>
            </w:pPr>
            <w:r/>
            <w:r>
              <w:rPr>
                <w:rFonts w:ascii="Aptos" w:hAnsi="Aptos"/>
                <w:b w:val="0"/>
                <w:color w:val="172B3A"/>
                <w:sz w:val="16"/>
              </w:rPr>
              <w:t>Supplied local baseline cluster-creation guide.</w:t>
            </w:r>
          </w:p>
        </w:tc>
      </w:tr>
    </w:tbl>
    <w:p>
      <w:pPr>
        <w:spacing w:after="0"/>
      </w:pPr>
    </w:p>
    <w:p>
      <w:pPr>
        <w:spacing w:after="60"/>
      </w:pPr>
      <w:r>
        <w:rPr>
          <w:b/>
        </w:rPr>
        <w:t xml:space="preserve">[R1] Nutanix product documentation portal: </w:t>
      </w:r>
      <w:hyperlink r:id="rId14">
        <w:r>
          <w:rPr>
            <w:color w:val="0563C1"/>
            <w:u w:val="single"/>
          </w:rPr>
          <w:t>https://portal.nutanix.com/page/documents/list</w:t>
        </w:r>
      </w:hyperlink>
    </w:p>
    <w:p>
      <w:pPr>
        <w:spacing w:after="60"/>
      </w:pPr>
      <w:r>
        <w:rPr>
          <w:b/>
        </w:rPr>
        <w:t xml:space="preserve">[R2] Nutanix support portal and software downloads: </w:t>
      </w:r>
      <w:hyperlink r:id="rId15">
        <w:r>
          <w:rPr>
            <w:color w:val="0563C1"/>
            <w:u w:val="single"/>
          </w:rPr>
          <w:t>https://portal.nutanix.com/</w:t>
        </w:r>
      </w:hyperlink>
    </w:p>
    <w:p>
      <w:pPr>
        <w:spacing w:after="60"/>
      </w:pPr>
      <w:r>
        <w:rPr>
          <w:b/>
        </w:rPr>
        <w:t xml:space="preserve">[R3] Cluster API Provider Nutanix source and release information: </w:t>
      </w:r>
      <w:hyperlink r:id="rId16">
        <w:r>
          <w:rPr>
            <w:color w:val="0563C1"/>
            <w:u w:val="single"/>
          </w:rPr>
          <w:t>https://github.com/nutanix-cloud-native/cluster-api-provider-nutanix</w:t>
        </w:r>
      </w:hyperlink>
    </w:p>
    <w:p>
      <w:pPr>
        <w:spacing w:after="60"/>
      </w:pPr>
      <w:r>
        <w:rPr>
          <w:b/>
        </w:rPr>
        <w:t xml:space="preserve">[R4] Kubernetes required ports and protocols: </w:t>
      </w:r>
      <w:hyperlink r:id="rId17">
        <w:r>
          <w:rPr>
            <w:color w:val="0563C1"/>
            <w:u w:val="single"/>
          </w:rPr>
          <w:t>https://kubernetes.io/docs/reference/networking/ports-and-protocols/</w:t>
        </w:r>
      </w:hyperlink>
    </w:p>
    <w:p>
      <w:pPr>
        <w:spacing w:after="60"/>
      </w:pPr>
      <w:r>
        <w:rPr>
          <w:b/>
        </w:rPr>
        <w:t xml:space="preserve">[R5] Harbor installation documentation: </w:t>
      </w:r>
      <w:hyperlink r:id="rId18">
        <w:r>
          <w:rPr>
            <w:color w:val="0563C1"/>
            <w:u w:val="single"/>
          </w:rPr>
          <w:t>https://goharbor.io/docs/</w:t>
        </w:r>
      </w:hyperlink>
    </w:p>
    <w:p>
      <w:pPr>
        <w:spacing w:after="60"/>
      </w:pPr>
      <w:r>
        <w:rPr>
          <w:b/>
        </w:rPr>
        <w:t xml:space="preserve">[R6] Docker Engine daemon certificate and registry configuration: </w:t>
      </w:r>
      <w:hyperlink r:id="rId19">
        <w:r>
          <w:rPr>
            <w:color w:val="0563C1"/>
            <w:u w:val="single"/>
          </w:rPr>
          <w:t>https://docs.docker.com/engine/</w:t>
        </w:r>
      </w:hyperlink>
    </w:p>
    <w:p>
      <w:pPr>
        <w:spacing w:after="60"/>
      </w:pPr>
      <w:r>
        <w:rPr>
          <w:b/>
        </w:rPr>
        <w:t xml:space="preserve">[R7] Red Hat Enterprise Linux package and repository management: </w:t>
      </w:r>
      <w:hyperlink r:id="rId20">
        <w:r>
          <w:rPr>
            <w:color w:val="0563C1"/>
            <w:u w:val="single"/>
          </w:rPr>
          <w:t>https://docs.redhat.com/en/documentation/red_hat_enterprise_linux/9/</w:t>
        </w:r>
      </w:hyperlink>
    </w:p>
    <w:p>
      <w:pPr>
        <w:spacing w:after="120" w:line="259" w:lineRule="auto"/>
      </w:pPr>
      <w:r>
        <w:t>A machine-readable public-web research log is included separately as `sources.csv`. Some Nutanix downloads and exact patch information require authenticated portal access; the release-freeze gate therefore remains mandatory even when a public search indicates the 2.18 family.</w:t>
      </w:r>
    </w:p>
    <w:p>
      <w:pPr>
        <w:pStyle w:val="Heading1"/>
        <w:keepNext/>
      </w:pPr>
      <w:r>
        <w:t>Appendix F – Final sign-off</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551"/>
            <w:tcMar>
              <w:top w:w="70" w:type="dxa"/>
              <w:start w:w="90" w:type="dxa"/>
              <w:bottom w:w="70" w:type="dxa"/>
              <w:end w:w="90" w:type="dxa"/>
            </w:tcMar>
            <w:vAlign w:val="center"/>
            <w:shd w:fill="17324D"/>
          </w:tcPr>
          <w:p>
            <w:pPr>
              <w:spacing w:after="0" w:before="0"/>
            </w:pPr>
            <w:r/>
            <w:r>
              <w:rPr>
                <w:rFonts w:ascii="Aptos" w:hAnsi="Aptos"/>
                <w:b/>
                <w:color w:val="FFFFFF"/>
                <w:sz w:val="16"/>
              </w:rPr>
              <w:t>Role</w:t>
            </w:r>
          </w:p>
        </w:tc>
        <w:tc>
          <w:tcPr>
            <w:tcW w:type="dxa" w:w="2551"/>
            <w:tcMar>
              <w:top w:w="70" w:type="dxa"/>
              <w:start w:w="90" w:type="dxa"/>
              <w:bottom w:w="70" w:type="dxa"/>
              <w:end w:w="90" w:type="dxa"/>
            </w:tcMar>
            <w:vAlign w:val="center"/>
            <w:shd w:fill="17324D"/>
          </w:tcPr>
          <w:p>
            <w:pPr>
              <w:spacing w:after="0" w:before="0"/>
            </w:pPr>
            <w:r/>
            <w:r>
              <w:rPr>
                <w:rFonts w:ascii="Aptos" w:hAnsi="Aptos"/>
                <w:b/>
                <w:color w:val="FFFFFF"/>
                <w:sz w:val="16"/>
              </w:rPr>
              <w:t>Name</w:t>
            </w:r>
          </w:p>
        </w:tc>
        <w:tc>
          <w:tcPr>
            <w:tcW w:type="dxa" w:w="2381"/>
            <w:tcMar>
              <w:top w:w="70" w:type="dxa"/>
              <w:start w:w="90" w:type="dxa"/>
              <w:bottom w:w="70" w:type="dxa"/>
              <w:end w:w="90" w:type="dxa"/>
            </w:tcMar>
            <w:vAlign w:val="center"/>
            <w:shd w:fill="17324D"/>
          </w:tcPr>
          <w:p>
            <w:pPr>
              <w:spacing w:after="0" w:before="0"/>
            </w:pPr>
            <w:r/>
            <w:r>
              <w:rPr>
                <w:rFonts w:ascii="Aptos" w:hAnsi="Aptos"/>
                <w:b/>
                <w:color w:val="FFFFFF"/>
                <w:sz w:val="16"/>
              </w:rPr>
              <w:t>Decision</w:t>
            </w:r>
          </w:p>
        </w:tc>
        <w:tc>
          <w:tcPr>
            <w:tcW w:type="dxa" w:w="2438"/>
            <w:tcMar>
              <w:top w:w="70" w:type="dxa"/>
              <w:start w:w="90" w:type="dxa"/>
              <w:bottom w:w="70" w:type="dxa"/>
              <w:end w:w="90" w:type="dxa"/>
            </w:tcMar>
            <w:vAlign w:val="center"/>
            <w:shd w:fill="17324D"/>
          </w:tcPr>
          <w:p>
            <w:pPr>
              <w:spacing w:after="0" w:before="0"/>
            </w:pPr>
            <w:r/>
            <w:r>
              <w:rPr>
                <w:rFonts w:ascii="Aptos" w:hAnsi="Aptos"/>
                <w:b/>
                <w:color w:val="FFFFFF"/>
                <w:sz w:val="16"/>
              </w:rPr>
              <w:t>Signature/date</w:t>
            </w:r>
          </w:p>
        </w:tc>
      </w:tr>
      <w:tr>
        <w:trPr>
          <w:cantSplit/>
        </w:trPr>
        <w:tc>
          <w:tcPr>
            <w:tcW w:type="dxa" w:w="2551"/>
            <w:tcMar>
              <w:top w:w="70" w:type="dxa"/>
              <w:start w:w="90" w:type="dxa"/>
              <w:bottom w:w="70" w:type="dxa"/>
              <w:end w:w="90" w:type="dxa"/>
            </w:tcMar>
            <w:vAlign w:val="center"/>
          </w:tcPr>
          <w:p>
            <w:pPr>
              <w:spacing w:after="0" w:before="0"/>
            </w:pPr>
            <w:r/>
            <w:r>
              <w:rPr>
                <w:rFonts w:ascii="Aptos" w:hAnsi="Aptos"/>
                <w:b w:val="0"/>
                <w:color w:val="172B3A"/>
                <w:sz w:val="16"/>
              </w:rPr>
              <w:t>Deployment architect</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6"/>
              </w:rPr>
            </w:r>
          </w:p>
        </w:tc>
        <w:tc>
          <w:tcPr>
            <w:tcW w:type="dxa" w:w="2381"/>
            <w:tcMar>
              <w:top w:w="70" w:type="dxa"/>
              <w:start w:w="90" w:type="dxa"/>
              <w:bottom w:w="70" w:type="dxa"/>
              <w:end w:w="90" w:type="dxa"/>
            </w:tcMar>
            <w:vAlign w:val="center"/>
          </w:tcPr>
          <w:p>
            <w:pPr>
              <w:spacing w:after="0" w:before="0"/>
            </w:pPr>
            <w:r/>
            <w:r>
              <w:rPr>
                <w:rFonts w:ascii="Aptos" w:hAnsi="Aptos"/>
                <w:b w:val="0"/>
                <w:color w:val="172B3A"/>
                <w:sz w:val="16"/>
              </w:rPr>
              <w:t>Go / No-Go</w:t>
            </w:r>
          </w:p>
        </w:tc>
        <w:tc>
          <w:tcPr>
            <w:tcW w:type="dxa" w:w="2438"/>
            <w:tcMar>
              <w:top w:w="70" w:type="dxa"/>
              <w:start w:w="90" w:type="dxa"/>
              <w:bottom w:w="70" w:type="dxa"/>
              <w:end w:w="90" w:type="dxa"/>
            </w:tcMar>
            <w:vAlign w:val="center"/>
          </w:tcPr>
          <w:p>
            <w:pPr>
              <w:spacing w:after="0" w:before="0"/>
            </w:pPr>
            <w:r/>
            <w:r>
              <w:rPr>
                <w:rFonts w:ascii="Aptos" w:hAnsi="Aptos"/>
                <w:b w:val="0"/>
                <w:color w:val="172B3A"/>
                <w:sz w:val="16"/>
              </w:rPr>
            </w:r>
          </w:p>
        </w:tc>
      </w:tr>
      <w:tr>
        <w:trPr>
          <w:cantSplit/>
        </w:trPr>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6"/>
              </w:rPr>
              <w:t>Nutanix platform owner</w:t>
            </w:r>
          </w:p>
        </w:tc>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6"/>
              </w:rPr>
            </w:r>
          </w:p>
        </w:tc>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6"/>
              </w:rPr>
              <w:t>Go / No-Go</w:t>
            </w:r>
          </w:p>
        </w:tc>
        <w:tc>
          <w:tcPr>
            <w:tcW w:type="dxa" w:w="2438"/>
            <w:tcMar>
              <w:top w:w="70" w:type="dxa"/>
              <w:start w:w="90" w:type="dxa"/>
              <w:bottom w:w="70" w:type="dxa"/>
              <w:end w:w="90" w:type="dxa"/>
            </w:tcMar>
            <w:vAlign w:val="center"/>
            <w:shd w:fill="F8FAFC"/>
          </w:tcPr>
          <w:p>
            <w:pPr>
              <w:spacing w:after="0" w:before="0"/>
            </w:pPr>
            <w:r/>
            <w:r>
              <w:rPr>
                <w:rFonts w:ascii="Aptos" w:hAnsi="Aptos"/>
                <w:b w:val="0"/>
                <w:color w:val="172B3A"/>
                <w:sz w:val="16"/>
              </w:rPr>
            </w:r>
          </w:p>
        </w:tc>
      </w:tr>
      <w:tr>
        <w:trPr>
          <w:cantSplit/>
        </w:trPr>
        <w:tc>
          <w:tcPr>
            <w:tcW w:type="dxa" w:w="2551"/>
            <w:tcMar>
              <w:top w:w="70" w:type="dxa"/>
              <w:start w:w="90" w:type="dxa"/>
              <w:bottom w:w="70" w:type="dxa"/>
              <w:end w:w="90" w:type="dxa"/>
            </w:tcMar>
            <w:vAlign w:val="center"/>
          </w:tcPr>
          <w:p>
            <w:pPr>
              <w:spacing w:after="0" w:before="0"/>
            </w:pPr>
            <w:r/>
            <w:r>
              <w:rPr>
                <w:rFonts w:ascii="Aptos" w:hAnsi="Aptos"/>
                <w:b w:val="0"/>
                <w:color w:val="172B3A"/>
                <w:sz w:val="16"/>
              </w:rPr>
              <w:t>Network/security owner</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6"/>
              </w:rPr>
            </w:r>
          </w:p>
        </w:tc>
        <w:tc>
          <w:tcPr>
            <w:tcW w:type="dxa" w:w="2381"/>
            <w:tcMar>
              <w:top w:w="70" w:type="dxa"/>
              <w:start w:w="90" w:type="dxa"/>
              <w:bottom w:w="70" w:type="dxa"/>
              <w:end w:w="90" w:type="dxa"/>
            </w:tcMar>
            <w:vAlign w:val="center"/>
          </w:tcPr>
          <w:p>
            <w:pPr>
              <w:spacing w:after="0" w:before="0"/>
            </w:pPr>
            <w:r/>
            <w:r>
              <w:rPr>
                <w:rFonts w:ascii="Aptos" w:hAnsi="Aptos"/>
                <w:b w:val="0"/>
                <w:color w:val="172B3A"/>
                <w:sz w:val="16"/>
              </w:rPr>
              <w:t>Go / No-Go</w:t>
            </w:r>
          </w:p>
        </w:tc>
        <w:tc>
          <w:tcPr>
            <w:tcW w:type="dxa" w:w="2438"/>
            <w:tcMar>
              <w:top w:w="70" w:type="dxa"/>
              <w:start w:w="90" w:type="dxa"/>
              <w:bottom w:w="70" w:type="dxa"/>
              <w:end w:w="90" w:type="dxa"/>
            </w:tcMar>
            <w:vAlign w:val="center"/>
          </w:tcPr>
          <w:p>
            <w:pPr>
              <w:spacing w:after="0" w:before="0"/>
            </w:pPr>
            <w:r/>
            <w:r>
              <w:rPr>
                <w:rFonts w:ascii="Aptos" w:hAnsi="Aptos"/>
                <w:b w:val="0"/>
                <w:color w:val="172B3A"/>
                <w:sz w:val="16"/>
              </w:rPr>
            </w:r>
          </w:p>
        </w:tc>
      </w:tr>
      <w:tr>
        <w:trPr>
          <w:cantSplit/>
        </w:trPr>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6"/>
              </w:rPr>
              <w:t>Registry/PKI owner</w:t>
            </w:r>
          </w:p>
        </w:tc>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6"/>
              </w:rPr>
            </w:r>
          </w:p>
        </w:tc>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6"/>
              </w:rPr>
              <w:t>Go / No-Go</w:t>
            </w:r>
          </w:p>
        </w:tc>
        <w:tc>
          <w:tcPr>
            <w:tcW w:type="dxa" w:w="2438"/>
            <w:tcMar>
              <w:top w:w="70" w:type="dxa"/>
              <w:start w:w="90" w:type="dxa"/>
              <w:bottom w:w="70" w:type="dxa"/>
              <w:end w:w="90" w:type="dxa"/>
            </w:tcMar>
            <w:vAlign w:val="center"/>
            <w:shd w:fill="F8FAFC"/>
          </w:tcPr>
          <w:p>
            <w:pPr>
              <w:spacing w:after="0" w:before="0"/>
            </w:pPr>
            <w:r/>
            <w:r>
              <w:rPr>
                <w:rFonts w:ascii="Aptos" w:hAnsi="Aptos"/>
                <w:b w:val="0"/>
                <w:color w:val="172B3A"/>
                <w:sz w:val="16"/>
              </w:rPr>
            </w:r>
          </w:p>
        </w:tc>
      </w:tr>
      <w:tr>
        <w:trPr>
          <w:cantSplit/>
        </w:trPr>
        <w:tc>
          <w:tcPr>
            <w:tcW w:type="dxa" w:w="2551"/>
            <w:tcMar>
              <w:top w:w="70" w:type="dxa"/>
              <w:start w:w="90" w:type="dxa"/>
              <w:bottom w:w="70" w:type="dxa"/>
              <w:end w:w="90" w:type="dxa"/>
            </w:tcMar>
            <w:vAlign w:val="center"/>
          </w:tcPr>
          <w:p>
            <w:pPr>
              <w:spacing w:after="0" w:before="0"/>
            </w:pPr>
            <w:r/>
            <w:r>
              <w:rPr>
                <w:rFonts w:ascii="Aptos" w:hAnsi="Aptos"/>
                <w:b w:val="0"/>
                <w:color w:val="172B3A"/>
                <w:sz w:val="16"/>
              </w:rPr>
              <w:t>Customer change owner</w:t>
            </w:r>
          </w:p>
        </w:tc>
        <w:tc>
          <w:tcPr>
            <w:tcW w:type="dxa" w:w="2551"/>
            <w:tcMar>
              <w:top w:w="70" w:type="dxa"/>
              <w:start w:w="90" w:type="dxa"/>
              <w:bottom w:w="70" w:type="dxa"/>
              <w:end w:w="90" w:type="dxa"/>
            </w:tcMar>
            <w:vAlign w:val="center"/>
          </w:tcPr>
          <w:p>
            <w:pPr>
              <w:spacing w:after="0" w:before="0"/>
            </w:pPr>
            <w:r/>
            <w:r>
              <w:rPr>
                <w:rFonts w:ascii="Aptos" w:hAnsi="Aptos"/>
                <w:b w:val="0"/>
                <w:color w:val="172B3A"/>
                <w:sz w:val="16"/>
              </w:rPr>
            </w:r>
          </w:p>
        </w:tc>
        <w:tc>
          <w:tcPr>
            <w:tcW w:type="dxa" w:w="2381"/>
            <w:tcMar>
              <w:top w:w="70" w:type="dxa"/>
              <w:start w:w="90" w:type="dxa"/>
              <w:bottom w:w="70" w:type="dxa"/>
              <w:end w:w="90" w:type="dxa"/>
            </w:tcMar>
            <w:vAlign w:val="center"/>
          </w:tcPr>
          <w:p>
            <w:pPr>
              <w:spacing w:after="0" w:before="0"/>
            </w:pPr>
            <w:r/>
            <w:r>
              <w:rPr>
                <w:rFonts w:ascii="Aptos" w:hAnsi="Aptos"/>
                <w:b w:val="0"/>
                <w:color w:val="172B3A"/>
                <w:sz w:val="16"/>
              </w:rPr>
              <w:t>Go / No-Go</w:t>
            </w:r>
          </w:p>
        </w:tc>
        <w:tc>
          <w:tcPr>
            <w:tcW w:type="dxa" w:w="2438"/>
            <w:tcMar>
              <w:top w:w="70" w:type="dxa"/>
              <w:start w:w="90" w:type="dxa"/>
              <w:bottom w:w="70" w:type="dxa"/>
              <w:end w:w="90" w:type="dxa"/>
            </w:tcMar>
            <w:vAlign w:val="center"/>
          </w:tcPr>
          <w:p>
            <w:pPr>
              <w:spacing w:after="0" w:before="0"/>
            </w:pPr>
            <w:r/>
            <w:r>
              <w:rPr>
                <w:rFonts w:ascii="Aptos" w:hAnsi="Aptos"/>
                <w:b w:val="0"/>
                <w:color w:val="172B3A"/>
                <w:sz w:val="16"/>
              </w:rPr>
            </w:r>
          </w:p>
        </w:tc>
      </w:tr>
      <w:tr>
        <w:trPr>
          <w:cantSplit/>
        </w:trPr>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6"/>
              </w:rPr>
              <w:t>Application/operations owner</w:t>
            </w:r>
          </w:p>
        </w:tc>
        <w:tc>
          <w:tcPr>
            <w:tcW w:type="dxa" w:w="2551"/>
            <w:tcMar>
              <w:top w:w="70" w:type="dxa"/>
              <w:start w:w="90" w:type="dxa"/>
              <w:bottom w:w="70" w:type="dxa"/>
              <w:end w:w="90" w:type="dxa"/>
            </w:tcMar>
            <w:vAlign w:val="center"/>
            <w:shd w:fill="F8FAFC"/>
          </w:tcPr>
          <w:p>
            <w:pPr>
              <w:spacing w:after="0" w:before="0"/>
            </w:pPr>
            <w:r/>
            <w:r>
              <w:rPr>
                <w:rFonts w:ascii="Aptos" w:hAnsi="Aptos"/>
                <w:b w:val="0"/>
                <w:color w:val="172B3A"/>
                <w:sz w:val="16"/>
              </w:rPr>
            </w:r>
          </w:p>
        </w:tc>
        <w:tc>
          <w:tcPr>
            <w:tcW w:type="dxa" w:w="2381"/>
            <w:tcMar>
              <w:top w:w="70" w:type="dxa"/>
              <w:start w:w="90" w:type="dxa"/>
              <w:bottom w:w="70" w:type="dxa"/>
              <w:end w:w="90" w:type="dxa"/>
            </w:tcMar>
            <w:vAlign w:val="center"/>
            <w:shd w:fill="F8FAFC"/>
          </w:tcPr>
          <w:p>
            <w:pPr>
              <w:spacing w:after="0" w:before="0"/>
            </w:pPr>
            <w:r/>
            <w:r>
              <w:rPr>
                <w:rFonts w:ascii="Aptos" w:hAnsi="Aptos"/>
                <w:b w:val="0"/>
                <w:color w:val="172B3A"/>
                <w:sz w:val="16"/>
              </w:rPr>
              <w:t>Accepted / Conditional / Rejected</w:t>
            </w:r>
          </w:p>
        </w:tc>
        <w:tc>
          <w:tcPr>
            <w:tcW w:type="dxa" w:w="2438"/>
            <w:tcMar>
              <w:top w:w="70" w:type="dxa"/>
              <w:start w:w="90" w:type="dxa"/>
              <w:bottom w:w="70" w:type="dxa"/>
              <w:end w:w="90" w:type="dxa"/>
            </w:tcMar>
            <w:vAlign w:val="center"/>
            <w:shd w:fill="F8FAFC"/>
          </w:tcPr>
          <w:p>
            <w:pPr>
              <w:spacing w:after="0" w:before="0"/>
            </w:pPr>
            <w:r/>
            <w:r>
              <w:rPr>
                <w:rFonts w:ascii="Aptos" w:hAnsi="Aptos"/>
                <w:b w:val="0"/>
                <w:color w:val="172B3A"/>
                <w:sz w:val="16"/>
              </w:rPr>
            </w:r>
          </w:p>
        </w:tc>
      </w:tr>
    </w:tbl>
    <w:p>
      <w:pPr>
        <w:spacing w:after="0"/>
      </w:pPr>
    </w:p>
    <w:tbl>
      <w:tblPr>
        <w:tblW w:type="auto" w:w="0"/>
        <w:tblLayout w:type="autofit"/>
        <w:tblLook w:firstColumn="1" w:firstRow="1" w:lastColumn="0" w:lastRow="0" w:noHBand="0" w:noVBand="1" w:val="04A0"/>
      </w:tblPr>
      <w:tblGrid>
        <w:gridCol w:w="198"/>
        <w:gridCol w:w="9921"/>
      </w:tblGrid>
      <w:tr>
        <w:tc>
          <w:tcPr>
            <w:tcW w:type="dxa" w:w="5018"/>
            <w:shd w:fill="B83232"/>
          </w:tcPr>
          <w:p>
            <w:r/>
          </w:p>
        </w:tc>
        <w:tc>
          <w:tcPr>
            <w:tcW w:type="dxa" w:w="5018"/>
            <w:shd w:fill="FDECEC"/>
            <w:tcMar>
              <w:top w:w="100" w:type="dxa"/>
              <w:start w:w="120" w:type="dxa"/>
              <w:bottom w:w="100" w:type="dxa"/>
              <w:end w:w="120" w:type="dxa"/>
            </w:tcMar>
          </w:tcPr>
          <w:p>
            <w:pPr>
              <w:spacing w:after="40"/>
            </w:pPr>
            <w:r/>
            <w:r>
              <w:rPr>
                <w:b/>
                <w:color w:val="B83232"/>
                <w:sz w:val="20"/>
              </w:rPr>
              <w:t>Final release reminder</w:t>
            </w:r>
          </w:p>
          <w:p>
            <w:pPr>
              <w:spacing w:after="0" w:line="252" w:lineRule="auto"/>
            </w:pPr>
            <w:r>
              <w:rPr>
                <w:color w:val="172B3A"/>
                <w:sz w:val="18"/>
              </w:rPr>
              <w:t>This runbook is aligned to the NKP v2.18 guide supplied with the request. Before the customer visit, replace every generic or 2.18-family reference with the exact entitled patch/build and re-run the source, checksum, compatibility, and CLI-contract gates.</w:t>
            </w:r>
          </w:p>
        </w:tc>
      </w:tr>
    </w:tbl>
    <w:p>
      <w:pPr>
        <w:spacing w:after="0"/>
      </w:pPr>
    </w:p>
    <w:sectPr w:rsidR="00FC693F" w:rsidRPr="0006063C" w:rsidSect="00034616">
      <w:headerReference w:type="default" r:id="rId9"/>
      <w:footerReference w:type="default" r:id="rId10"/>
      <w:pgSz w:w="11906" w:h="16838"/>
      <w:pgMar w:top="992"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770"/>
        <w:sz w:val="15"/>
      </w:rPr>
      <w:t xml:space="preserve">Customer Confidential  |  Prepared for Varun Selvaraj  |  </w:t>
    </w:r>
    <w:r>
      <w:rPr>
        <w:color w:val="5B6770"/>
        <w:sz w:val="15"/>
      </w:rPr>
      <w:t xml:space="preserve">Page </w:t>
    </w:r>
    <w:r>
      <w:rPr>
        <w:color w:val="5B6770"/>
        <w:sz w:val="15"/>
      </w:rPr>
      <w:fldChar w:fldCharType="begin"/>
      <w:instrText xml:space="preserve">PAGE</w:instrText>
      <w:fldChar w:fldCharType="separate"/>
      <w:fldChar w:fldCharType="end"/>
    </w:r>
    <w:r>
      <w:rPr>
        <w:color w:val="5B6770"/>
        <w:sz w:val="15"/>
      </w:rPr>
      <w:t xml:space="preserve"> of </w:t>
    </w:r>
    <w:r>
      <w:rPr>
        <w:color w:val="5B6770"/>
        <w:sz w:val="15"/>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770"/>
        <w:sz w:val="15"/>
      </w:rPr>
      <w:t>NKP 2.18 AIR-GAPPED DEPLOYMENT &amp; BASTION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B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Display" w:hAnsi="Aptos Display" w:eastAsia="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F6E8C"/>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2AA7C9"/>
      <w:sz w:val="24"/>
    </w:rPr>
  </w:style>
  <w:style w:type="paragraph" w:styleId="Heading4">
    <w:name w:val="heading 4"/>
    <w:basedOn w:val="Normal"/>
    <w:next w:val="Normal"/>
    <w:link w:val="Heading4Char"/>
    <w:uiPriority w:val="9"/>
    <w:semiHidden/>
    <w:unhideWhenUsed/>
    <w:qFormat/>
    <w:rsid w:val="00FC693F"/>
    <w:pPr>
      <w:keepNext/>
      <w:keepLines/>
      <w:spacing w:before="240" w:after="100"/>
      <w:outlineLvl w:val="3"/>
    </w:pPr>
    <w:rPr>
      <w:rFonts w:asciiTheme="majorHAnsi" w:eastAsiaTheme="majorEastAsia" w:hAnsiTheme="majorHAnsi" w:cstheme="majorBidi" w:ascii="Aptos Display" w:hAnsi="Aptos Display" w:eastAsia="Aptos Display"/>
      <w:b/>
      <w:bCs/>
      <w:i/>
      <w:iCs/>
      <w:color w:val="5B67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F6E8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B67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ortal.nutanix.com/page/documents/list" TargetMode="External"/><Relationship Id="rId15" Type="http://schemas.openxmlformats.org/officeDocument/2006/relationships/hyperlink" Target="https://portal.nutanix.com/" TargetMode="External"/><Relationship Id="rId16" Type="http://schemas.openxmlformats.org/officeDocument/2006/relationships/hyperlink" Target="https://github.com/nutanix-cloud-native/cluster-api-provider-nutanix" TargetMode="External"/><Relationship Id="rId17" Type="http://schemas.openxmlformats.org/officeDocument/2006/relationships/hyperlink" Target="https://kubernetes.io/docs/reference/networking/ports-and-protocols/" TargetMode="External"/><Relationship Id="rId18" Type="http://schemas.openxmlformats.org/officeDocument/2006/relationships/hyperlink" Target="https://goharbor.io/docs/" TargetMode="External"/><Relationship Id="rId19" Type="http://schemas.openxmlformats.org/officeDocument/2006/relationships/hyperlink" Target="https://docs.docker.com/engine/" TargetMode="External"/><Relationship Id="rId20" Type="http://schemas.openxmlformats.org/officeDocument/2006/relationships/hyperlink" Target="https://docs.redhat.com/en/documentation/red_hat_enterprise_linux/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NKP 2.18 Air-Gapped Deployment and Bastion VM Preparation Runbook</dc:title>
  <dc:subject>Nutanix Kubernetes Platform air-gapped deployment on AHV</dc:subject>
  <dc:creator>OpenAI – prepared for Varun Selvaraj</dc:creator>
  <cp:keywords>NKP, Nutanix Kubernetes Platform, air-gapped, bastion, AHV, Prism Central, Harbor, private registry</cp:keywords>
  <dc:description>Generated from supplied NKP v2.18 and non-air-gapped baseline documents, with primary-source research and operational safety controls.</dc:description>
  <cp:lastModifiedBy/>
  <cp:revision>1</cp:revision>
  <dcterms:created xsi:type="dcterms:W3CDTF">2013-12-23T23:15:00Z</dcterms:created>
  <dcterms:modified xsi:type="dcterms:W3CDTF">2013-12-23T23:15:00Z</dcterms:modified>
  <cp:category/>
</cp:coreProperties>
</file>