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0D918" w14:textId="77777777" w:rsidR="00303469" w:rsidRPr="00F866F8" w:rsidRDefault="00303469" w:rsidP="004F3F43">
      <w:pPr>
        <w:jc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 xml:space="preserve">Week of </w:t>
      </w:r>
      <w:r w:rsidR="004F3F43"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>March 29</w:t>
      </w:r>
      <w:r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>-</w:t>
      </w:r>
      <w:r w:rsidR="004F3F43"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 xml:space="preserve"> April</w:t>
      </w:r>
      <w:r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>11 progress</w:t>
      </w:r>
    </w:p>
    <w:p w14:paraId="6A353BDE" w14:textId="77777777" w:rsidR="004F3F43" w:rsidRPr="00F866F8" w:rsidRDefault="00303469" w:rsidP="004F3F43">
      <w:p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br/>
      </w:r>
      <w:r w:rsidR="004F3F43" w:rsidRPr="00F866F8"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  <w:t>Lessons learned from Chapter 5: Mathematics</w:t>
      </w:r>
    </w:p>
    <w:p w14:paraId="17469ECC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Always try to use the standard mathematical notations to avoid ambiguity.</w:t>
      </w:r>
    </w:p>
    <w:p w14:paraId="0B46C836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Always verify that the proofs given are correct.</w:t>
      </w:r>
    </w:p>
    <w:p w14:paraId="357B79C3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All the mathematics should be presented in italics, to distinguish it from the other text.</w:t>
      </w:r>
    </w:p>
    <w:p w14:paraId="5CFB05E1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Always number all the theorems, propositions, definitions, lemmas, diagrams etc. for ease of reference.</w:t>
      </w:r>
    </w:p>
    <w:p w14:paraId="251D72FD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Ranges should be written as </w:t>
      </w:r>
      <w:proofErr w:type="spellStart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i</w:t>
      </w:r>
      <w:proofErr w:type="spellEnd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=</w:t>
      </w:r>
      <w:proofErr w:type="gramStart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1…..10</w:t>
      </w:r>
      <w:proofErr w:type="gramEnd"/>
    </w:p>
    <w:p w14:paraId="75D11D1D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Greek alphabets could be useful.</w:t>
      </w:r>
    </w:p>
    <w:p w14:paraId="7256CD21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It is easier to understand percentage than probability.</w:t>
      </w:r>
    </w:p>
    <w:p w14:paraId="070864E7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All abbreviations should be explained </w:t>
      </w:r>
      <w:proofErr w:type="spellStart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atleast</w:t>
      </w:r>
      <w:proofErr w:type="spellEnd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once, like for units.</w:t>
      </w:r>
    </w:p>
    <w:p w14:paraId="68139369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There should be space between units and numbers.</w:t>
      </w:r>
    </w:p>
    <w:p w14:paraId="520B0467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Subscripts and superscripts should be used carefully.</w:t>
      </w:r>
    </w:p>
    <w:p w14:paraId="0BB4B46B" w14:textId="77777777" w:rsidR="004F3F43" w:rsidRPr="00F866F8" w:rsidRDefault="004F3F43" w:rsidP="004F3F43">
      <w:pPr>
        <w:pStyle w:val="ListParagraph"/>
        <w:numPr>
          <w:ilvl w:val="0"/>
          <w:numId w:val="7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Do not reuse same notation to explain different concepts.</w:t>
      </w:r>
    </w:p>
    <w:p w14:paraId="2E7A2DE9" w14:textId="77777777" w:rsidR="004F3F43" w:rsidRPr="00F866F8" w:rsidRDefault="004F3F43" w:rsidP="004F3F43">
      <w:p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</w:pPr>
    </w:p>
    <w:p w14:paraId="20401099" w14:textId="77777777" w:rsidR="004F3F43" w:rsidRPr="00F866F8" w:rsidRDefault="004F3F43" w:rsidP="004F3F43">
      <w:p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  <w:u w:val="single"/>
        </w:rPr>
        <w:t>Lessons learned from Chapter 11: Experimentation, part 1</w:t>
      </w:r>
    </w:p>
    <w:p w14:paraId="54C985F6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Tests </w:t>
      </w:r>
      <w:proofErr w:type="gramStart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should not be designed to be biased</w:t>
      </w:r>
      <w:proofErr w:type="gramEnd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to prove the hypothesis.</w:t>
      </w:r>
    </w:p>
    <w:p w14:paraId="52251A0A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Always test the hypothesis on the points where they might fail.</w:t>
      </w:r>
    </w:p>
    <w:p w14:paraId="7464CC25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Experiments should also be conducted on the data </w:t>
      </w:r>
      <w:proofErr w:type="gramStart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set which</w:t>
      </w:r>
      <w:proofErr w:type="gramEnd"/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was not used in the training phase.</w:t>
      </w:r>
    </w:p>
    <w:p w14:paraId="59F89177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Results should be understood and explained properly.</w:t>
      </w:r>
    </w:p>
    <w:p w14:paraId="2FF15CF8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Anomalies of the experiments / results should be explained and not hidden.</w:t>
      </w:r>
    </w:p>
    <w:p w14:paraId="59886EA8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Wherever possible use standard resources.</w:t>
      </w:r>
    </w:p>
    <w:p w14:paraId="620A17B1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color w:val="000000"/>
          <w:sz w:val="22"/>
          <w:szCs w:val="22"/>
        </w:rPr>
        <w:t>The readers should be motivated by carefully explaining the problems that were encountered.</w:t>
      </w:r>
    </w:p>
    <w:p w14:paraId="383BDA63" w14:textId="77777777" w:rsidR="004F3F43" w:rsidRPr="00F866F8" w:rsidRDefault="004F3F43" w:rsidP="004F3F43">
      <w:pPr>
        <w:pStyle w:val="ListParagraph"/>
        <w:numPr>
          <w:ilvl w:val="0"/>
          <w:numId w:val="10"/>
        </w:numPr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The observations made should be verifiable and reproducible by other researchers, else the results are valueless.</w:t>
      </w:r>
    </w:p>
    <w:p w14:paraId="6B35CFD2" w14:textId="77777777" w:rsidR="004F3F43" w:rsidRPr="00F866F8" w:rsidRDefault="004F3F43" w:rsidP="004F3F43">
      <w:pPr>
        <w:pStyle w:val="ListParagraph"/>
        <w:outlineLvl w:val="2"/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A728C8D" w14:textId="77777777" w:rsidR="004F3F43" w:rsidRPr="00F866F8" w:rsidRDefault="004F3F43" w:rsidP="004F3F43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6786A801" w14:textId="77777777" w:rsidR="00303469" w:rsidRPr="00F866F8" w:rsidRDefault="00303469" w:rsidP="004F3F43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  <w:u w:val="single"/>
        </w:rPr>
        <w:t>Lessons Learned from Chapter 11: Experimentation, part 2:</w:t>
      </w:r>
    </w:p>
    <w:p w14:paraId="33E823B4" w14:textId="77777777" w:rsidR="00303469" w:rsidRPr="00F866F8" w:rsidRDefault="0030346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Statistics in an experimental research is a good source of knowledge. Thus statistical approach should be followed.</w:t>
      </w:r>
    </w:p>
    <w:p w14:paraId="6BAE7519" w14:textId="77777777" w:rsidR="00303469" w:rsidRPr="00F866F8" w:rsidRDefault="0030346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One needs to understand the population of a sample.</w:t>
      </w:r>
    </w:p>
    <w:p w14:paraId="1ECF2F94" w14:textId="77777777" w:rsidR="00303469" w:rsidRPr="00F866F8" w:rsidRDefault="0030346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 xml:space="preserve">Those </w:t>
      </w:r>
      <w:proofErr w:type="gramStart"/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results which are not sensible</w:t>
      </w:r>
      <w:proofErr w:type="gramEnd"/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 xml:space="preserve"> should not be included in the paper.</w:t>
      </w:r>
    </w:p>
    <w:p w14:paraId="0D60FF09" w14:textId="77777777" w:rsidR="00303469" w:rsidRPr="00F866F8" w:rsidRDefault="00AA3590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It is unethical not to report the failed test results.</w:t>
      </w:r>
    </w:p>
    <w:p w14:paraId="5D24AD92" w14:textId="77777777" w:rsidR="00AA3590" w:rsidRPr="00F866F8" w:rsidRDefault="00AA3590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Hypothesis should have the same inputs as that of the test.</w:t>
      </w:r>
    </w:p>
    <w:p w14:paraId="6323A7CF" w14:textId="77777777" w:rsidR="00303469" w:rsidRPr="00F866F8" w:rsidRDefault="00AA3590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For experiments, use standard data wherever possible.</w:t>
      </w:r>
    </w:p>
    <w:p w14:paraId="69E98E02" w14:textId="77777777" w:rsidR="00AA3590" w:rsidRPr="00F866F8" w:rsidRDefault="00AA3590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Conclusions should not be dra</w:t>
      </w:r>
      <w:r w:rsidR="00EF2FB9" w:rsidRPr="00F866F8">
        <w:rPr>
          <w:rFonts w:ascii="Calibri" w:eastAsia="Times New Roman" w:hAnsi="Calibri" w:cs="Times New Roman"/>
          <w:color w:val="000000"/>
          <w:sz w:val="22"/>
          <w:szCs w:val="22"/>
        </w:rPr>
        <w:t>wn from a small set of samples.</w:t>
      </w:r>
    </w:p>
    <w:p w14:paraId="3FF9CC73" w14:textId="77777777" w:rsidR="00EF2FB9" w:rsidRPr="00F866F8" w:rsidRDefault="00EF2FB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Measures of correlation can be used to determine if two variables depend on each other.</w:t>
      </w:r>
    </w:p>
    <w:p w14:paraId="6D253CEE" w14:textId="77777777" w:rsidR="00EF2FB9" w:rsidRPr="00F866F8" w:rsidRDefault="00EF2FB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There are tools available to perform complex mathematical analysis.</w:t>
      </w:r>
    </w:p>
    <w:p w14:paraId="489F588B" w14:textId="77777777" w:rsidR="00EF2FB9" w:rsidRPr="00F866F8" w:rsidRDefault="00EF2FB9" w:rsidP="004F3F4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 xml:space="preserve">Always attempt to prove that your hypothesis is incorrect. Once you are unable to prove </w:t>
      </w:r>
      <w:proofErr w:type="gramStart"/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>its</w:t>
      </w:r>
      <w:proofErr w:type="gramEnd"/>
      <w:r w:rsidRPr="00F866F8">
        <w:rPr>
          <w:rFonts w:ascii="Calibri" w:eastAsia="Times New Roman" w:hAnsi="Calibri" w:cs="Times New Roman"/>
          <w:color w:val="000000"/>
          <w:sz w:val="22"/>
          <w:szCs w:val="22"/>
        </w:rPr>
        <w:t xml:space="preserve"> incorrect you have reached your goal.</w:t>
      </w:r>
    </w:p>
    <w:p w14:paraId="715CD5E9" w14:textId="77777777" w:rsidR="0076021E" w:rsidRPr="00F866F8" w:rsidRDefault="0076021E" w:rsidP="0076021E">
      <w:pPr>
        <w:rPr>
          <w:rFonts w:ascii="Calibri" w:hAnsi="Calibri"/>
          <w:sz w:val="22"/>
          <w:szCs w:val="22"/>
        </w:rPr>
      </w:pPr>
    </w:p>
    <w:p w14:paraId="54B9A787" w14:textId="09CCAB2E" w:rsidR="0076021E" w:rsidRPr="00F866F8" w:rsidRDefault="0076021E" w:rsidP="0076021E">
      <w:pPr>
        <w:rPr>
          <w:rFonts w:ascii="Calibri" w:eastAsia="Times New Roman" w:hAnsi="Calibri" w:cs="Times New Roman"/>
          <w:sz w:val="22"/>
          <w:szCs w:val="22"/>
          <w:u w:val="single"/>
        </w:rPr>
      </w:pPr>
      <w:r w:rsidRPr="00F866F8">
        <w:rPr>
          <w:rFonts w:ascii="Calibri" w:eastAsia="Times New Roman" w:hAnsi="Calibri" w:cs="Times New Roman"/>
          <w:sz w:val="22"/>
          <w:szCs w:val="22"/>
          <w:u w:val="single"/>
        </w:rPr>
        <w:t>Latest pre-proposal progress</w:t>
      </w:r>
    </w:p>
    <w:p w14:paraId="5C8DD54C" w14:textId="77777777" w:rsidR="00E8436D" w:rsidRPr="00F866F8" w:rsidRDefault="00E8436D" w:rsidP="004F3F43">
      <w:pPr>
        <w:outlineLvl w:val="2"/>
        <w:rPr>
          <w:rFonts w:ascii="Calibri" w:eastAsia="Times New Roman" w:hAnsi="Calibri" w:cs="Times New Roman"/>
          <w:bCs/>
          <w:sz w:val="22"/>
          <w:szCs w:val="22"/>
          <w:u w:val="single"/>
        </w:rPr>
      </w:pPr>
    </w:p>
    <w:p w14:paraId="483CB35A" w14:textId="09880A1F" w:rsidR="00EF2FB9" w:rsidRPr="00F866F8" w:rsidRDefault="0076021E" w:rsidP="0076021E">
      <w:pPr>
        <w:outlineLvl w:val="2"/>
        <w:rPr>
          <w:rFonts w:ascii="Calibri" w:eastAsia="Times New Roman" w:hAnsi="Calibri" w:cs="Times New Roman"/>
          <w:bCs/>
          <w:sz w:val="22"/>
          <w:szCs w:val="22"/>
        </w:rPr>
      </w:pPr>
      <w:r w:rsidRPr="00F866F8">
        <w:rPr>
          <w:rFonts w:ascii="Calibri" w:eastAsia="Times New Roman" w:hAnsi="Calibri" w:cs="Times New Roman"/>
          <w:bCs/>
          <w:sz w:val="22"/>
          <w:szCs w:val="22"/>
        </w:rPr>
        <w:t>Quite close to finalizing the project topic. Read the following research papers:</w:t>
      </w:r>
    </w:p>
    <w:p w14:paraId="05488E76" w14:textId="77777777" w:rsidR="00F866F8" w:rsidRPr="004B3927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r w:rsidRPr="004B3927">
        <w:rPr>
          <w:rFonts w:ascii="Calibri" w:eastAsia="Times New Roman" w:hAnsi="Calibri" w:cs="Times New Roman"/>
          <w:sz w:val="22"/>
          <w:szCs w:val="22"/>
        </w:rPr>
        <w:lastRenderedPageBreak/>
        <w:fldChar w:fldCharType="begin"/>
      </w:r>
      <w:r w:rsidRPr="004B3927">
        <w:rPr>
          <w:rFonts w:ascii="Calibri" w:eastAsia="Times New Roman" w:hAnsi="Calibri" w:cs="Times New Roman"/>
          <w:sz w:val="22"/>
          <w:szCs w:val="22"/>
        </w:rPr>
        <w:instrText xml:space="preserve"> HYPERLINK "http://dl.acm.org/citation.cfm?id=775178&amp;CFID=77089999&amp;CFTOKEN=29102160" </w:instrText>
      </w:r>
      <w:r w:rsidRPr="004B3927">
        <w:rPr>
          <w:rFonts w:ascii="Calibri" w:hAnsi="Calibri"/>
          <w:sz w:val="22"/>
          <w:szCs w:val="22"/>
        </w:rPr>
      </w:r>
      <w:r w:rsidRPr="004B3927">
        <w:rPr>
          <w:rFonts w:ascii="Calibri" w:eastAsia="Times New Roman" w:hAnsi="Calibri" w:cs="Times New Roman"/>
          <w:sz w:val="22"/>
          <w:szCs w:val="22"/>
        </w:rPr>
        <w:fldChar w:fldCharType="separate"/>
      </w:r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Stephen </w:t>
      </w:r>
      <w:proofErr w:type="gram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Dill ,</w:t>
      </w:r>
      <w:proofErr w:type="gram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Nadav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Eiron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David Gibson , Daniel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Gruhl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R.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Guha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Anant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Jhingran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Tapas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Kanungo</w:t>
      </w:r>
      <w:bookmarkStart w:id="0" w:name="_GoBack"/>
      <w:bookmarkEnd w:id="0"/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Sridhar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Rajagopalan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, Andrew Tomkins , John A. Tomlin , Jason Y.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Zien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, 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SemTag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seeker: bootstrapping the semantic web via automated semantic annotation, Proceedings of the 12th international conference on World Wide Web, May 20-24, 2003, Budapest, Hungary </w:t>
      </w:r>
      <w:r w:rsidRPr="004B3927">
        <w:rPr>
          <w:rFonts w:ascii="Calibri" w:eastAsia="Times New Roman" w:hAnsi="Calibri" w:cs="Times New Roman"/>
          <w:sz w:val="22"/>
          <w:szCs w:val="22"/>
        </w:rPr>
        <w:fldChar w:fldCharType="end"/>
      </w:r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 [</w:t>
      </w:r>
      <w:proofErr w:type="spellStart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doi</w:t>
      </w:r>
      <w:proofErr w:type="spellEnd"/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&gt;</w:t>
      </w:r>
      <w:hyperlink r:id="rId6" w:history="1">
        <w:r w:rsidRPr="004B3927">
          <w:rPr>
            <w:rFonts w:ascii="Calibri" w:eastAsia="Times New Roman" w:hAnsi="Calibri" w:cs="Times New Roman"/>
            <w:sz w:val="22"/>
            <w:szCs w:val="22"/>
            <w:shd w:val="clear" w:color="auto" w:fill="FFFFFF"/>
          </w:rPr>
          <w:t>10.1145/775152.775178</w:t>
        </w:r>
      </w:hyperlink>
      <w:r w:rsidRPr="004B3927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]</w:t>
      </w:r>
    </w:p>
    <w:p w14:paraId="37AAE91A" w14:textId="77777777" w:rsidR="00F866F8" w:rsidRPr="00F866F8" w:rsidRDefault="00F866F8" w:rsidP="00F866F8">
      <w:pPr>
        <w:pStyle w:val="ListParagraph"/>
        <w:rPr>
          <w:rFonts w:ascii="Calibri" w:eastAsia="Times New Roman" w:hAnsi="Calibri" w:cs="Times New Roman"/>
          <w:sz w:val="22"/>
          <w:szCs w:val="22"/>
        </w:rPr>
      </w:pPr>
    </w:p>
    <w:p w14:paraId="56FFBE6B" w14:textId="77777777" w:rsidR="00F866F8" w:rsidRPr="00F866F8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r w:rsidRPr="00F866F8">
        <w:rPr>
          <w:rFonts w:ascii="Calibri" w:hAnsi="Calibri" w:cs="Times"/>
          <w:sz w:val="22"/>
          <w:szCs w:val="22"/>
        </w:rPr>
        <w:t xml:space="preserve">A. </w:t>
      </w:r>
      <w:proofErr w:type="spellStart"/>
      <w:r w:rsidRPr="00F866F8">
        <w:rPr>
          <w:rFonts w:ascii="Calibri" w:hAnsi="Calibri" w:cs="Times"/>
          <w:sz w:val="22"/>
          <w:szCs w:val="22"/>
        </w:rPr>
        <w:t>Maedche</w:t>
      </w:r>
      <w:proofErr w:type="spellEnd"/>
      <w:r w:rsidRPr="00F866F8">
        <w:rPr>
          <w:rFonts w:ascii="Calibri" w:hAnsi="Calibri" w:cs="Times"/>
          <w:sz w:val="22"/>
          <w:szCs w:val="22"/>
        </w:rPr>
        <w:t xml:space="preserve"> and S. </w:t>
      </w:r>
      <w:proofErr w:type="spellStart"/>
      <w:r w:rsidRPr="00F866F8">
        <w:rPr>
          <w:rFonts w:ascii="Calibri" w:hAnsi="Calibri" w:cs="Times"/>
          <w:sz w:val="22"/>
          <w:szCs w:val="22"/>
        </w:rPr>
        <w:t>Staab</w:t>
      </w:r>
      <w:proofErr w:type="spellEnd"/>
      <w:r w:rsidRPr="00F866F8">
        <w:rPr>
          <w:rFonts w:ascii="Calibri" w:hAnsi="Calibri" w:cs="Times"/>
          <w:sz w:val="22"/>
          <w:szCs w:val="22"/>
        </w:rPr>
        <w:t>, Ontology learning for the Semantic Web, IEEE Intelligent Systems: Special Issue on the Semantic Web 16 (2001) 72–79.</w:t>
      </w:r>
    </w:p>
    <w:p w14:paraId="32BD52AD" w14:textId="77777777" w:rsidR="00F866F8" w:rsidRPr="00F866F8" w:rsidRDefault="00F866F8" w:rsidP="00F866F8">
      <w:pPr>
        <w:rPr>
          <w:rFonts w:ascii="Calibri" w:eastAsia="Times New Roman" w:hAnsi="Calibri" w:cs="Times New Roman"/>
          <w:sz w:val="22"/>
          <w:szCs w:val="22"/>
        </w:rPr>
      </w:pPr>
    </w:p>
    <w:p w14:paraId="23905A4D" w14:textId="2C38E20B" w:rsidR="00F866F8" w:rsidRPr="00F866F8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r w:rsidRPr="00F866F8">
        <w:rPr>
          <w:rFonts w:ascii="Calibri" w:hAnsi="Calibri" w:cs="Times"/>
          <w:sz w:val="22"/>
          <w:szCs w:val="22"/>
        </w:rPr>
        <w:t xml:space="preserve">G. </w:t>
      </w:r>
      <w:proofErr w:type="spellStart"/>
      <w:r w:rsidRPr="00F866F8">
        <w:rPr>
          <w:rFonts w:ascii="Calibri" w:hAnsi="Calibri" w:cs="Times"/>
          <w:sz w:val="22"/>
          <w:szCs w:val="22"/>
        </w:rPr>
        <w:t>Bisson</w:t>
      </w:r>
      <w:proofErr w:type="spellEnd"/>
      <w:r w:rsidRPr="00F866F8">
        <w:rPr>
          <w:rFonts w:ascii="Calibri" w:hAnsi="Calibri" w:cs="Times"/>
          <w:sz w:val="22"/>
          <w:szCs w:val="22"/>
        </w:rPr>
        <w:t xml:space="preserve">, C. </w:t>
      </w:r>
      <w:proofErr w:type="spellStart"/>
      <w:r w:rsidRPr="00F866F8">
        <w:rPr>
          <w:rFonts w:ascii="Calibri" w:hAnsi="Calibri" w:cs="Times"/>
          <w:sz w:val="22"/>
          <w:szCs w:val="22"/>
        </w:rPr>
        <w:t>Nedellec</w:t>
      </w:r>
      <w:proofErr w:type="spellEnd"/>
      <w:r w:rsidRPr="00F866F8">
        <w:rPr>
          <w:rFonts w:ascii="Calibri" w:hAnsi="Calibri" w:cs="Times"/>
          <w:sz w:val="22"/>
          <w:szCs w:val="22"/>
        </w:rPr>
        <w:t xml:space="preserve"> and L. </w:t>
      </w:r>
      <w:proofErr w:type="spellStart"/>
      <w:r w:rsidRPr="00F866F8">
        <w:rPr>
          <w:rFonts w:ascii="Calibri" w:hAnsi="Calibri" w:cs="Times"/>
          <w:sz w:val="22"/>
          <w:szCs w:val="22"/>
        </w:rPr>
        <w:t>Canamero</w:t>
      </w:r>
      <w:proofErr w:type="spellEnd"/>
      <w:r w:rsidRPr="00F866F8">
        <w:rPr>
          <w:rFonts w:ascii="Calibri" w:hAnsi="Calibri" w:cs="Times"/>
          <w:sz w:val="22"/>
          <w:szCs w:val="22"/>
        </w:rPr>
        <w:t xml:space="preserve">, Designing clustering methods for ontology building – The </w:t>
      </w:r>
      <w:proofErr w:type="spellStart"/>
      <w:r w:rsidRPr="00F866F8">
        <w:rPr>
          <w:rFonts w:ascii="Calibri" w:hAnsi="Calibri" w:cs="Times"/>
          <w:sz w:val="22"/>
          <w:szCs w:val="22"/>
        </w:rPr>
        <w:t>Mo’K</w:t>
      </w:r>
      <w:proofErr w:type="spellEnd"/>
      <w:r w:rsidRPr="00F866F8">
        <w:rPr>
          <w:rFonts w:ascii="Calibri" w:hAnsi="Calibri" w:cs="Times"/>
          <w:sz w:val="22"/>
          <w:szCs w:val="22"/>
        </w:rPr>
        <w:t xml:space="preserve"> workbench, presented at ECAI Ontology Learning Workshop, Seattle, WA, 2000.</w:t>
      </w:r>
    </w:p>
    <w:p w14:paraId="0986BB2E" w14:textId="77777777" w:rsidR="00F866F8" w:rsidRPr="00F866F8" w:rsidRDefault="00F866F8" w:rsidP="00F866F8">
      <w:pPr>
        <w:rPr>
          <w:rFonts w:ascii="Calibri" w:eastAsia="Times New Roman" w:hAnsi="Calibri" w:cs="Times New Roman"/>
          <w:sz w:val="22"/>
          <w:szCs w:val="22"/>
        </w:rPr>
      </w:pPr>
    </w:p>
    <w:p w14:paraId="19BF1276" w14:textId="52746FBB" w:rsidR="00F866F8" w:rsidRPr="00F866F8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r w:rsidRPr="00F866F8">
        <w:rPr>
          <w:rFonts w:ascii="Calibri" w:hAnsi="Calibri" w:cs="Helvetica"/>
          <w:sz w:val="22"/>
          <w:szCs w:val="22"/>
        </w:rPr>
        <w:t>Zhou, L. (2007), Ontology Learning: State of the Art and Open Issues, Information Technolog</w:t>
      </w:r>
      <w:r>
        <w:rPr>
          <w:rFonts w:ascii="Calibri" w:hAnsi="Calibri" w:cs="Helvetica"/>
          <w:sz w:val="22"/>
          <w:szCs w:val="22"/>
        </w:rPr>
        <w:t>y and Management, 8(3), 241-252.</w:t>
      </w:r>
    </w:p>
    <w:p w14:paraId="7E45AFC1" w14:textId="77777777" w:rsidR="00F866F8" w:rsidRPr="00F866F8" w:rsidRDefault="00F866F8" w:rsidP="00F866F8">
      <w:pPr>
        <w:rPr>
          <w:rFonts w:ascii="Calibri" w:eastAsia="Times New Roman" w:hAnsi="Calibri" w:cs="Times New Roman"/>
          <w:sz w:val="22"/>
          <w:szCs w:val="22"/>
        </w:rPr>
      </w:pPr>
    </w:p>
    <w:p w14:paraId="2283339B" w14:textId="77777777" w:rsidR="00F866F8" w:rsidRPr="00F866F8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F866F8">
        <w:rPr>
          <w:rFonts w:ascii="Calibri" w:hAnsi="Calibri" w:cs="Helvetica"/>
          <w:sz w:val="22"/>
          <w:szCs w:val="22"/>
        </w:rPr>
        <w:t>Noy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N.F.; </w:t>
      </w:r>
      <w:proofErr w:type="spellStart"/>
      <w:r w:rsidRPr="00F866F8">
        <w:rPr>
          <w:rFonts w:ascii="Calibri" w:hAnsi="Calibri" w:cs="Helvetica"/>
          <w:sz w:val="22"/>
          <w:szCs w:val="22"/>
        </w:rPr>
        <w:t>Sintek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M.; Decker, S.; </w:t>
      </w:r>
      <w:proofErr w:type="spellStart"/>
      <w:r w:rsidRPr="00F866F8">
        <w:rPr>
          <w:rFonts w:ascii="Calibri" w:hAnsi="Calibri" w:cs="Helvetica"/>
          <w:sz w:val="22"/>
          <w:szCs w:val="22"/>
        </w:rPr>
        <w:t>Crubezy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M.; </w:t>
      </w:r>
      <w:proofErr w:type="spellStart"/>
      <w:r w:rsidRPr="00F866F8">
        <w:rPr>
          <w:rFonts w:ascii="Calibri" w:hAnsi="Calibri" w:cs="Helvetica"/>
          <w:sz w:val="22"/>
          <w:szCs w:val="22"/>
        </w:rPr>
        <w:t>Fergerson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R.W.; </w:t>
      </w:r>
      <w:proofErr w:type="spellStart"/>
      <w:r w:rsidRPr="00F866F8">
        <w:rPr>
          <w:rFonts w:ascii="Calibri" w:hAnsi="Calibri" w:cs="Helvetica"/>
          <w:sz w:val="22"/>
          <w:szCs w:val="22"/>
        </w:rPr>
        <w:t>Musen</w:t>
      </w:r>
      <w:proofErr w:type="spellEnd"/>
      <w:r w:rsidRPr="00F866F8">
        <w:rPr>
          <w:rFonts w:ascii="Calibri" w:hAnsi="Calibri" w:cs="Helvetica"/>
          <w:sz w:val="22"/>
          <w:szCs w:val="22"/>
        </w:rPr>
        <w:t>, M.A.</w:t>
      </w:r>
      <w:proofErr w:type="gramStart"/>
      <w:r w:rsidRPr="00F866F8">
        <w:rPr>
          <w:rFonts w:ascii="Calibri" w:hAnsi="Calibri" w:cs="Helvetica"/>
          <w:sz w:val="22"/>
          <w:szCs w:val="22"/>
        </w:rPr>
        <w:t>; ,</w:t>
      </w:r>
      <w:proofErr w:type="gramEnd"/>
      <w:r w:rsidRPr="00F866F8">
        <w:rPr>
          <w:rFonts w:ascii="Calibri" w:hAnsi="Calibri" w:cs="Helvetica"/>
          <w:sz w:val="22"/>
          <w:szCs w:val="22"/>
        </w:rPr>
        <w:t xml:space="preserve"> "Creating Semantic Web contents with Protege-2000," </w:t>
      </w:r>
      <w:r w:rsidRPr="00F866F8">
        <w:rPr>
          <w:rFonts w:ascii="Calibri" w:hAnsi="Calibri" w:cs="Helvetica"/>
          <w:i/>
          <w:iCs/>
          <w:sz w:val="22"/>
          <w:szCs w:val="22"/>
        </w:rPr>
        <w:t>Intelligent Systems, IEEE</w:t>
      </w:r>
      <w:r w:rsidRPr="00F866F8">
        <w:rPr>
          <w:rFonts w:ascii="Calibri" w:hAnsi="Calibri" w:cs="Helvetica"/>
          <w:sz w:val="22"/>
          <w:szCs w:val="22"/>
        </w:rPr>
        <w:t> , vol.16, no.2, pp. 60- 71, Mar-Apr 2001</w:t>
      </w:r>
      <w:r w:rsidRPr="00F866F8">
        <w:rPr>
          <w:rFonts w:ascii="Calibri" w:hAnsi="Calibri" w:cs="Helvetica"/>
          <w:sz w:val="22"/>
          <w:szCs w:val="22"/>
        </w:rPr>
        <w:t xml:space="preserve"> </w:t>
      </w:r>
      <w:proofErr w:type="spellStart"/>
      <w:r w:rsidRPr="00F866F8">
        <w:rPr>
          <w:rFonts w:ascii="Calibri" w:hAnsi="Calibri" w:cs="Helvetica"/>
          <w:sz w:val="22"/>
          <w:szCs w:val="22"/>
        </w:rPr>
        <w:t>doi</w:t>
      </w:r>
      <w:proofErr w:type="spellEnd"/>
      <w:r w:rsidRPr="00F866F8">
        <w:rPr>
          <w:rFonts w:ascii="Calibri" w:hAnsi="Calibri" w:cs="Helvetica"/>
          <w:sz w:val="22"/>
          <w:szCs w:val="22"/>
        </w:rPr>
        <w:t>: 10.1109/5254.920601</w:t>
      </w:r>
      <w:r w:rsidRPr="00F866F8">
        <w:rPr>
          <w:rFonts w:ascii="Calibri" w:hAnsi="Calibri" w:cs="Helvetica"/>
          <w:sz w:val="22"/>
          <w:szCs w:val="22"/>
        </w:rPr>
        <w:t xml:space="preserve"> </w:t>
      </w:r>
      <w:r w:rsidRPr="00F866F8">
        <w:rPr>
          <w:rFonts w:ascii="Calibri" w:hAnsi="Calibri" w:cs="Helvetica"/>
          <w:sz w:val="22"/>
          <w:szCs w:val="22"/>
        </w:rPr>
        <w:t>URL: </w:t>
      </w:r>
      <w:hyperlink r:id="rId7" w:history="1">
        <w:r w:rsidRPr="00F866F8">
          <w:rPr>
            <w:rFonts w:ascii="Calibri" w:hAnsi="Calibri" w:cs="Helvetica"/>
            <w:sz w:val="22"/>
            <w:szCs w:val="22"/>
            <w:u w:val="single" w:color="074EE6"/>
          </w:rPr>
          <w:t>http://ieeexplore.ieee.org/stamp/stamp.jsp?tp=&amp;arnumber=920601&amp;isnumber=19905</w:t>
        </w:r>
      </w:hyperlink>
    </w:p>
    <w:p w14:paraId="27C7C13D" w14:textId="77777777" w:rsidR="00F866F8" w:rsidRPr="00F866F8" w:rsidRDefault="00F866F8" w:rsidP="00F866F8">
      <w:pPr>
        <w:rPr>
          <w:rFonts w:ascii="Calibri" w:eastAsia="Times New Roman" w:hAnsi="Calibri" w:cs="Times New Roman"/>
          <w:sz w:val="22"/>
          <w:szCs w:val="22"/>
        </w:rPr>
      </w:pPr>
    </w:p>
    <w:p w14:paraId="4F17CAD3" w14:textId="2AAFDC80" w:rsidR="00F866F8" w:rsidRPr="00F866F8" w:rsidRDefault="00F866F8" w:rsidP="00F866F8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sz w:val="22"/>
          <w:szCs w:val="22"/>
        </w:rPr>
      </w:pPr>
      <w:r w:rsidRPr="00F866F8">
        <w:rPr>
          <w:rFonts w:ascii="Calibri" w:hAnsi="Calibri" w:cs="Helvetica"/>
          <w:sz w:val="22"/>
          <w:szCs w:val="22"/>
        </w:rPr>
        <w:t xml:space="preserve">Decker, S.; </w:t>
      </w:r>
      <w:proofErr w:type="spellStart"/>
      <w:r w:rsidRPr="00F866F8">
        <w:rPr>
          <w:rFonts w:ascii="Calibri" w:hAnsi="Calibri" w:cs="Helvetica"/>
          <w:sz w:val="22"/>
          <w:szCs w:val="22"/>
        </w:rPr>
        <w:t>Melnik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S.; van </w:t>
      </w:r>
      <w:proofErr w:type="spellStart"/>
      <w:r w:rsidRPr="00F866F8">
        <w:rPr>
          <w:rFonts w:ascii="Calibri" w:hAnsi="Calibri" w:cs="Helvetica"/>
          <w:sz w:val="22"/>
          <w:szCs w:val="22"/>
        </w:rPr>
        <w:t>Harmelen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F.; </w:t>
      </w:r>
      <w:proofErr w:type="spellStart"/>
      <w:r w:rsidRPr="00F866F8">
        <w:rPr>
          <w:rFonts w:ascii="Calibri" w:hAnsi="Calibri" w:cs="Helvetica"/>
          <w:sz w:val="22"/>
          <w:szCs w:val="22"/>
        </w:rPr>
        <w:t>Fensel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D.; Klein, M.; </w:t>
      </w:r>
      <w:proofErr w:type="spellStart"/>
      <w:r w:rsidRPr="00F866F8">
        <w:rPr>
          <w:rFonts w:ascii="Calibri" w:hAnsi="Calibri" w:cs="Helvetica"/>
          <w:sz w:val="22"/>
          <w:szCs w:val="22"/>
        </w:rPr>
        <w:t>Broekstra</w:t>
      </w:r>
      <w:proofErr w:type="spellEnd"/>
      <w:r w:rsidRPr="00F866F8">
        <w:rPr>
          <w:rFonts w:ascii="Calibri" w:hAnsi="Calibri" w:cs="Helvetica"/>
          <w:sz w:val="22"/>
          <w:szCs w:val="22"/>
        </w:rPr>
        <w:t xml:space="preserve">, J.; Erdmann, M.; </w:t>
      </w:r>
      <w:proofErr w:type="spellStart"/>
      <w:r w:rsidRPr="00F866F8">
        <w:rPr>
          <w:rFonts w:ascii="Calibri" w:hAnsi="Calibri" w:cs="Helvetica"/>
          <w:sz w:val="22"/>
          <w:szCs w:val="22"/>
        </w:rPr>
        <w:t>Horrocks</w:t>
      </w:r>
      <w:proofErr w:type="spellEnd"/>
      <w:r w:rsidRPr="00F866F8">
        <w:rPr>
          <w:rFonts w:ascii="Calibri" w:hAnsi="Calibri" w:cs="Helvetica"/>
          <w:sz w:val="22"/>
          <w:szCs w:val="22"/>
        </w:rPr>
        <w:t>, I.</w:t>
      </w:r>
      <w:proofErr w:type="gramStart"/>
      <w:r w:rsidRPr="00F866F8">
        <w:rPr>
          <w:rFonts w:ascii="Calibri" w:hAnsi="Calibri" w:cs="Helvetica"/>
          <w:sz w:val="22"/>
          <w:szCs w:val="22"/>
        </w:rPr>
        <w:t>; ,</w:t>
      </w:r>
      <w:proofErr w:type="gramEnd"/>
      <w:r w:rsidRPr="00F866F8">
        <w:rPr>
          <w:rFonts w:ascii="Calibri" w:hAnsi="Calibri" w:cs="Helvetica"/>
          <w:sz w:val="22"/>
          <w:szCs w:val="22"/>
        </w:rPr>
        <w:t xml:space="preserve"> "The Semantic Web: the roles of XML and RDF," </w:t>
      </w:r>
      <w:r w:rsidRPr="00F866F8">
        <w:rPr>
          <w:rFonts w:ascii="Calibri" w:hAnsi="Calibri" w:cs="Helvetica"/>
          <w:i/>
          <w:iCs/>
          <w:sz w:val="22"/>
          <w:szCs w:val="22"/>
        </w:rPr>
        <w:t>Internet Computing, IEEE</w:t>
      </w:r>
      <w:r w:rsidRPr="00F866F8">
        <w:rPr>
          <w:rFonts w:ascii="Calibri" w:hAnsi="Calibri" w:cs="Helvetica"/>
          <w:sz w:val="22"/>
          <w:szCs w:val="22"/>
        </w:rPr>
        <w:t> , vol.4, no.5, pp.63-73, Sep/Oct 2000</w:t>
      </w:r>
      <w:r w:rsidRPr="00F866F8">
        <w:rPr>
          <w:rFonts w:ascii="Calibri" w:hAnsi="Calibri" w:cs="Helvetica"/>
          <w:sz w:val="22"/>
          <w:szCs w:val="22"/>
        </w:rPr>
        <w:t xml:space="preserve"> </w:t>
      </w:r>
      <w:proofErr w:type="spellStart"/>
      <w:r w:rsidRPr="00F866F8">
        <w:rPr>
          <w:rFonts w:ascii="Calibri" w:hAnsi="Calibri" w:cs="Helvetica"/>
          <w:sz w:val="22"/>
          <w:szCs w:val="22"/>
        </w:rPr>
        <w:t>doi</w:t>
      </w:r>
      <w:proofErr w:type="spellEnd"/>
      <w:r w:rsidRPr="00F866F8">
        <w:rPr>
          <w:rFonts w:ascii="Calibri" w:hAnsi="Calibri" w:cs="Helvetica"/>
          <w:sz w:val="22"/>
          <w:szCs w:val="22"/>
        </w:rPr>
        <w:t>: 10.1109/4236.877487</w:t>
      </w:r>
      <w:r w:rsidRPr="00F866F8">
        <w:rPr>
          <w:rFonts w:ascii="Calibri" w:hAnsi="Calibri" w:cs="Helvetica"/>
          <w:sz w:val="22"/>
          <w:szCs w:val="22"/>
        </w:rPr>
        <w:t xml:space="preserve"> </w:t>
      </w:r>
      <w:r w:rsidRPr="00F866F8">
        <w:rPr>
          <w:rFonts w:ascii="Calibri" w:hAnsi="Calibri" w:cs="Helvetica"/>
          <w:sz w:val="22"/>
          <w:szCs w:val="22"/>
        </w:rPr>
        <w:t>URL: </w:t>
      </w:r>
      <w:hyperlink r:id="rId8" w:history="1">
        <w:r w:rsidRPr="00F866F8">
          <w:rPr>
            <w:rFonts w:ascii="Calibri" w:hAnsi="Calibri" w:cs="Helvetica"/>
            <w:sz w:val="22"/>
            <w:szCs w:val="22"/>
            <w:u w:val="single" w:color="074EE6"/>
          </w:rPr>
          <w:t>http://ieeexplore.ieee.org/stamp/stamp.jsp?tp=&amp;arnumber=877487&amp;isnumber=18994</w:t>
        </w:r>
      </w:hyperlink>
    </w:p>
    <w:sectPr w:rsidR="00F866F8" w:rsidRPr="00F866F8" w:rsidSect="00703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8A9"/>
    <w:multiLevelType w:val="multilevel"/>
    <w:tmpl w:val="8232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464EE"/>
    <w:multiLevelType w:val="multilevel"/>
    <w:tmpl w:val="76F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742A1"/>
    <w:multiLevelType w:val="multilevel"/>
    <w:tmpl w:val="C23A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85EC7"/>
    <w:multiLevelType w:val="multilevel"/>
    <w:tmpl w:val="698A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E488D"/>
    <w:multiLevelType w:val="hybridMultilevel"/>
    <w:tmpl w:val="9404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E5CF4"/>
    <w:multiLevelType w:val="hybridMultilevel"/>
    <w:tmpl w:val="9404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11CF2"/>
    <w:multiLevelType w:val="multilevel"/>
    <w:tmpl w:val="29E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343AB"/>
    <w:multiLevelType w:val="hybridMultilevel"/>
    <w:tmpl w:val="7FEE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A2BA6"/>
    <w:multiLevelType w:val="multilevel"/>
    <w:tmpl w:val="62F0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716E36"/>
    <w:multiLevelType w:val="hybridMultilevel"/>
    <w:tmpl w:val="C5CE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B75D7"/>
    <w:multiLevelType w:val="multilevel"/>
    <w:tmpl w:val="11DE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C3995"/>
    <w:multiLevelType w:val="hybridMultilevel"/>
    <w:tmpl w:val="792C1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69"/>
    <w:rsid w:val="00034D29"/>
    <w:rsid w:val="00303469"/>
    <w:rsid w:val="004B3927"/>
    <w:rsid w:val="004F3F43"/>
    <w:rsid w:val="00703F0C"/>
    <w:rsid w:val="0076021E"/>
    <w:rsid w:val="00AA3590"/>
    <w:rsid w:val="00B540C2"/>
    <w:rsid w:val="00E8436D"/>
    <w:rsid w:val="00ED30E8"/>
    <w:rsid w:val="00EF2FB9"/>
    <w:rsid w:val="00F8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24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FB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2FB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6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6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FB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2FB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66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i.acm.org/10.1145/775152.775178" TargetMode="External"/><Relationship Id="rId7" Type="http://schemas.openxmlformats.org/officeDocument/2006/relationships/hyperlink" Target="http://ieeexplore.ieee.org/stamp/stamp.jsp?tp=&amp;arnumber=920601&amp;isnumber=19905" TargetMode="External"/><Relationship Id="rId8" Type="http://schemas.openxmlformats.org/officeDocument/2006/relationships/hyperlink" Target="http://ieeexplore.ieee.org/stamp/stamp.jsp?tp=&amp;arnumber=877487&amp;isnumber=1899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620</Words>
  <Characters>3534</Characters>
  <Application>Microsoft Macintosh Word</Application>
  <DocSecurity>0</DocSecurity>
  <Lines>29</Lines>
  <Paragraphs>8</Paragraphs>
  <ScaleCrop>false</ScaleCrop>
  <Company>Rochester Institute Of Technology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Goyal</dc:creator>
  <cp:keywords/>
  <dc:description/>
  <cp:lastModifiedBy>Varun Goyal</cp:lastModifiedBy>
  <cp:revision>4</cp:revision>
  <dcterms:created xsi:type="dcterms:W3CDTF">2012-04-12T18:44:00Z</dcterms:created>
  <dcterms:modified xsi:type="dcterms:W3CDTF">2012-04-12T19:50:00Z</dcterms:modified>
</cp:coreProperties>
</file>