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1F3864"/>
          <w:sz w:val="48"/>
          <w:szCs w:val="48"/>
        </w:rPr>
        <w:t xml:space="preserve">Mutual Fund Review Guide</w:t>
      </w:r>
    </w:p>
    <w:p>
      <w:pPr>
        <w:pBdr>
          <w:bottom w:val="single" w:color="1F3864" w:sz="8" w:space="6"/>
        </w:pBdr>
        <w:spacing w:after="240"/>
      </w:pPr>
      <w:r>
        <w:rPr>
          <w:color w:val="404040"/>
          <w:sz w:val="26"/>
          <w:szCs w:val="26"/>
        </w:rPr>
        <w:t xml:space="preserve">A research-backed reference for evaluating Indian mutual fund schemes</w:t>
      </w:r>
    </w:p>
    <w:p>
      <w:pPr>
        <w:spacing w:after="120" w:line="276"/>
      </w:pPr>
      <w:r>
        <w:rPr>
          <w:b/>
          <w:bCs/>
        </w:rPr>
        <w:t xml:space="preserve">Prepared:</w:t>
      </w:r>
      <w:r>
        <w:t xml:space="preserve"> October 2026. </w:t>
      </w:r>
      <w:r>
        <w:rPr>
          <w:b/>
          <w:bCs/>
        </w:rPr>
        <w:t xml:space="preserve">Regulatory position:</w:t>
      </w:r>
      <w:r>
        <w:t xml:space="preserve"> reflects the SEBI (Mutual Funds) Regulations, 2026 (in force 1 April 2026) [5] and the SEBI categorisation circular of 26 February 2026 [4].</w:t>
      </w:r>
    </w:p>
    <w:p>
      <w:pPr>
        <w:spacing w:after="120" w:line="276"/>
      </w:pPr>
      <w:r>
        <w:rPr>
          <w:b/>
          <w:bCs/>
        </w:rPr>
        <w:t xml:space="preserve">How to use this guide.</w:t>
      </w:r>
      <w:r>
        <w:t xml:space="preserve"> Section 1 lists every parameter to check, with where to find it and what a good or bad reading looks like. Section 2 shows how to pick the right benchmark, because every relative metric (alpha, beta, capture ratios, R-squared) is only as good as the benchmark behind it. Section 3 covers the blind spots that most fund reviews miss. The companion workbook, mutual-fund-scorecard.xlsx, turns Section 1 into a fill-in scorecard with Pass / Watch / Fail verdicts, a benchmark map and a four-fund comparison sheet.</w:t>
      </w:r>
    </w:p>
    <w:p>
      <w:pPr>
        <w:spacing w:after="120" w:line="276"/>
      </w:pPr>
      <w:r>
        <w:rPr>
          <w:b/>
          <w:bCs/>
        </w:rPr>
        <w:t xml:space="preserve">Citations.</w:t>
      </w:r>
      <w:r>
        <w:t xml:space="preserve"> Numbers in square brackets refer to the source list at the end. Primary sources are SEBI circulars and regulations, AMFI, Zerodha Varsity and Value Research. Where a primary document was summarised by a secondary publisher, the source list says so. Thresholds marked "rule of thumb" are analyst conventions, not regulatory limits.</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864" w:sz="24"/>
              <w:bottom w:val="none" w:color="FFFFFF" w:sz="0"/>
              <w:right w:val="none" w:color="FFFFFF" w:sz="0"/>
            </w:tcBorders>
            <w:shd w:fill="F2F6FB" w:color="auto" w:val="clear"/>
            <w:tcMar>
              <w:top w:type="dxa" w:w="100"/>
              <w:left w:type="dxa" w:w="160"/>
              <w:bottom w:type="dxa" w:w="100"/>
              <w:right w:type="dxa" w:w="160"/>
            </w:tcMar>
          </w:tcPr>
          <w:p>
            <w:pPr>
              <w:spacing w:after="60"/>
            </w:pPr>
            <w:r>
              <w:rPr>
                <w:b/>
                <w:bCs/>
                <w:color w:val="1F3864"/>
              </w:rPr>
              <w:t xml:space="preserve">Regulatory changes in 2026 that affect fund analysis</w:t>
            </w:r>
          </w:p>
          <w:p>
            <w:pPr>
              <w:spacing w:after="0" w:line="264"/>
            </w:pPr>
            <w:r>
              <w:rPr>
                <w:sz w:val="19"/>
                <w:szCs w:val="19"/>
              </w:rPr>
              <w:t xml:space="preserve">From 1 April 2026, the expense ratio is split into a base expense ratio (BER), brokerage, and statutory levies charged at actuals. The ceiling for open-ended equity schemes under Rs 500 crore fell from 2.25% to 2.10%, and the extra 5 basis points linked to exit loads was removed [5][6][22]. The 26 February 2026 categorisation circular revised the scheme categories, renamed ELSS as "ELSS Tax Saver Fund", discontinued solution-oriented schemes, and capped portfolio overlap between sectoral or thematic schemes and an AMC's other equity schemes at 50% [4]. When you compare expense data across 2025 and 2026, check that you are comparing like with like.</w:t>
            </w:r>
          </w:p>
        </w:tc>
      </w:tr>
    </w:tbl>
    <w:p>
      <w:pPr>
        <w:pStyle w:val="Heading1"/>
        <w:pageBreakBefore/>
      </w:pPr>
      <w:r>
        <w:t xml:space="preserve">1. Full review checklist</w:t>
      </w:r>
    </w:p>
    <w:p>
      <w:pPr>
        <w:spacing w:after="120" w:line="276"/>
      </w:pPr>
      <w:r>
        <w:t xml:space="preserve">Work through the groups in order. Basic information and cost tell you whether the fund is eligible at all. Returns, risk and consistency tell you whether it has been good. Portfolio, valuation and management tell you whether that record is likely to persist. Zerodha Varsity's step-by-step template for analysing an equity fund follows a similar order [17][26].</w:t>
      </w:r>
    </w:p>
    <w:p>
      <w:pPr>
        <w:spacing w:after="120" w:line="276"/>
      </w:pPr>
      <w:r>
        <w:t xml:space="preserve">Each table below has four columns. </w:t>
      </w:r>
      <w:r>
        <w:rPr>
          <w:b/>
          <w:bCs/>
        </w:rPr>
        <w:t xml:space="preserve">What it tells you</w:t>
      </w:r>
      <w:r>
        <w:t xml:space="preserve"> explains the parameter. </w:t>
      </w:r>
      <w:r>
        <w:rPr>
          <w:b/>
          <w:bCs/>
        </w:rPr>
        <w:t xml:space="preserve">Where to find it</w:t>
      </w:r>
      <w:r>
        <w:t xml:space="preserve"> names the usual source (SID means Scheme Information Document, KIM means Key Information Memorandum). </w:t>
      </w:r>
      <w:r>
        <w:rPr>
          <w:b/>
          <w:bCs/>
        </w:rPr>
        <w:t xml:space="preserve">Good sign / red flag</w:t>
      </w:r>
      <w:r>
        <w:t xml:space="preserve"> gives the test to apply.</w:t>
      </w:r>
    </w:p>
    <w:p>
      <w:pPr>
        <w:pStyle w:val="Heading2"/>
      </w:pPr>
      <w:r>
        <w:t xml:space="preserve">Basic information</w:t>
      </w:r>
    </w:p>
    <w:p>
      <w:pPr>
        <w:spacing w:after="120" w:line="276"/>
      </w:pPr>
      <w:r>
        <w:t xml:space="preserve">These establish identity, mandate and scale. Get them wrong and every later comparison is against the wrong peers.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1"/>
        <w:gridCol w:w="3180"/>
        <w:gridCol w:w="1734"/>
        <w:gridCol w:w="2893"/>
      </w:tblGrid>
      <w:tr>
        <w:trPr>
          <w:tblHeader/>
        </w:trPr>
        <w:tc>
          <w:tcPr>
            <w:tcW w:type="dxa" w:w="1831"/>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Parameter</w:t>
            </w:r>
          </w:p>
        </w:tc>
        <w:tc>
          <w:tcPr>
            <w:tcW w:type="dxa" w:w="318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What it tells you</w:t>
            </w:r>
          </w:p>
        </w:tc>
        <w:tc>
          <w:tcPr>
            <w:tcW w:type="dxa" w:w="1734"/>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Where to find it</w:t>
            </w:r>
          </w:p>
        </w:tc>
        <w:tc>
          <w:tcPr>
            <w:tcW w:type="dxa" w:w="2893"/>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Good sign / red flag</w:t>
            </w:r>
          </w:p>
        </w:tc>
      </w:tr>
      <w:tr>
        <w:trPr>
          <w:cantSplit/>
        </w:trPr>
        <w:tc>
          <w:tcPr>
            <w:tcW w:type="dxa" w:w="183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Scheme name, plan and option</w:t>
            </w:r>
          </w:p>
        </w:tc>
        <w:tc>
          <w:tcPr>
            <w:tcW w:type="dxa" w:w="318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Pins down exactly what you are analysing. Direct and regular plans of the same scheme have different NAVs, and the IDCW option NAV falls after every payout.</w:t>
            </w:r>
          </w:p>
        </w:tc>
        <w:tc>
          <w:tcPr>
            <w:tcW w:type="dxa" w:w="1734"/>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SID, AMC website, AMFI NAV file</w:t>
            </w:r>
          </w:p>
        </w:tc>
        <w:tc>
          <w:tcPr>
            <w:tcW w:type="dxa" w:w="289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Analyse the growth option of the direct plan. Comparing an IDCW NAV with a growth NAV gives misleading returns.</w:t>
            </w:r>
          </w:p>
        </w:tc>
      </w:tr>
      <w:tr>
        <w:trPr>
          <w:cantSplit/>
        </w:trPr>
        <w:tc>
          <w:tcPr>
            <w:tcW w:type="dxa" w:w="183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SEBI category</w:t>
            </w:r>
          </w:p>
        </w:tc>
        <w:tc>
          <w:tcPr>
            <w:tcW w:type="dxa" w:w="318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Sets the mandate, the peer group and the Tier 1 benchmark. The categories were revised by the SEBI circular of 26 Feb 2026 [4].</w:t>
            </w:r>
          </w:p>
        </w:tc>
        <w:tc>
          <w:tcPr>
            <w:tcW w:type="dxa" w:w="1734"/>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SID, factsheet</w:t>
            </w:r>
          </w:p>
        </w:tc>
        <w:tc>
          <w:tcPr>
            <w:tcW w:type="dxa" w:w="2893"/>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Category fits the role the fund plays in your portfolio. Check whether the scheme was renamed or merged under the 2026 framework.</w:t>
            </w:r>
          </w:p>
        </w:tc>
      </w:tr>
      <w:tr>
        <w:trPr>
          <w:cantSplit/>
        </w:trPr>
        <w:tc>
          <w:tcPr>
            <w:tcW w:type="dxa" w:w="183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AMC</w:t>
            </w:r>
          </w:p>
        </w:tc>
        <w:tc>
          <w:tcPr>
            <w:tcW w:type="dxa" w:w="318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The fund house's governance, compliance and risk systems sit behind every scheme it runs (see Section 3).</w:t>
            </w:r>
          </w:p>
        </w:tc>
        <w:tc>
          <w:tcPr>
            <w:tcW w:type="dxa" w:w="1734"/>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AMFI AUM data, AMC annual report, SEBI enforcement orders</w:t>
            </w:r>
          </w:p>
        </w:tc>
        <w:tc>
          <w:tcPr>
            <w:tcW w:type="dxa" w:w="289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Look for an AMC with a clean regulatory record and a deep research team. Recent SEBI orders on front running or valuation are a red flag.</w:t>
            </w:r>
          </w:p>
        </w:tc>
      </w:tr>
      <w:tr>
        <w:trPr>
          <w:cantSplit/>
        </w:trPr>
        <w:tc>
          <w:tcPr>
            <w:tcW w:type="dxa" w:w="183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Launch date and track record length</w:t>
            </w:r>
          </w:p>
        </w:tc>
        <w:tc>
          <w:tcPr>
            <w:tcW w:type="dxa" w:w="318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Shows how much history you have. Rolling returns and drawdown analysis need at least one full market cycle.</w:t>
            </w:r>
          </w:p>
        </w:tc>
        <w:tc>
          <w:tcPr>
            <w:tcW w:type="dxa" w:w="1734"/>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Factsheet, SID</w:t>
            </w:r>
          </w:p>
        </w:tc>
        <w:tc>
          <w:tcPr>
            <w:tcW w:type="dxa" w:w="2893"/>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Prefer at least 5 years of history. A new fund offer (NFO) has no track record, only a strategy note.</w:t>
            </w:r>
          </w:p>
        </w:tc>
      </w:tr>
      <w:tr>
        <w:trPr>
          <w:cantSplit/>
        </w:trPr>
        <w:tc>
          <w:tcPr>
            <w:tcW w:type="dxa" w:w="183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AUM (scheme)</w:t>
            </w:r>
          </w:p>
        </w:tc>
        <w:tc>
          <w:tcPr>
            <w:tcW w:type="dxa" w:w="318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Size affects cost and liquidity. Under the slab structure, larger schemes have lower expense ceilings [5]. In small and mid cap funds, size limits how quickly the fund can exit positions [12].</w:t>
            </w:r>
          </w:p>
        </w:tc>
        <w:tc>
          <w:tcPr>
            <w:tcW w:type="dxa" w:w="1734"/>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Monthly factsheet, AMFI</w:t>
            </w:r>
          </w:p>
        </w:tc>
        <w:tc>
          <w:tcPr>
            <w:tcW w:type="dxa" w:w="289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Size suits the category. A very small scheme may carry a higher TER. A very large small cap scheme may need many days to liquidate (check the stress test disclosure).</w:t>
            </w:r>
          </w:p>
        </w:tc>
      </w:tr>
      <w:tr>
        <w:trPr>
          <w:cantSplit/>
        </w:trPr>
        <w:tc>
          <w:tcPr>
            <w:tcW w:type="dxa" w:w="183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Investment objective</w:t>
            </w:r>
          </w:p>
        </w:tc>
        <w:tc>
          <w:tcPr>
            <w:tcW w:type="dxa" w:w="318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The SID's statement of what the scheme is trying to achieve. It is one of the three inputs for choosing the right benchmark (Section 2).</w:t>
            </w:r>
          </w:p>
        </w:tc>
        <w:tc>
          <w:tcPr>
            <w:tcW w:type="dxa" w:w="1734"/>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SID, KIM</w:t>
            </w:r>
          </w:p>
        </w:tc>
        <w:tc>
          <w:tcPr>
            <w:tcW w:type="dxa" w:w="2893"/>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Look for a specific, testable objective. A vague objective makes any benchmark comparison weak.</w:t>
            </w:r>
          </w:p>
        </w:tc>
      </w:tr>
      <w:tr>
        <w:trPr>
          <w:cantSplit/>
        </w:trPr>
        <w:tc>
          <w:tcPr>
            <w:tcW w:type="dxa" w:w="183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SEBI riskometer level</w:t>
            </w:r>
          </w:p>
        </w:tc>
        <w:tc>
          <w:tcPr>
            <w:tcW w:type="dxa" w:w="318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Six levels from Low to Very High, reassessed every month from portfolio data [7].</w:t>
            </w:r>
          </w:p>
        </w:tc>
        <w:tc>
          <w:tcPr>
            <w:tcW w:type="dxa" w:w="1734"/>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Factsheet, AMC website (updated monthly)</w:t>
            </w:r>
          </w:p>
        </w:tc>
        <w:tc>
          <w:tcPr>
            <w:tcW w:type="dxa" w:w="289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The level matches your risk capacity. Frequent jumps between levels point to an unstable portfolio.</w:t>
            </w:r>
          </w:p>
        </w:tc>
      </w:tr>
    </w:tbl>
    <w:p>
      <w:pPr>
        <w:spacing w:after="60"/>
      </w:pPr>
    </w:p>
    <w:p>
      <w:pPr>
        <w:pStyle w:val="Heading2"/>
      </w:pPr>
      <w:r>
        <w:t xml:space="preserve">Cost</w:t>
      </w:r>
    </w:p>
    <w:p>
      <w:pPr>
        <w:spacing w:after="120" w:line="276"/>
      </w:pPr>
      <w:r>
        <w:t xml:space="preserve">Costs are the one input you know in advance, and they compound against you every year. SEBI publishes the expense ceilings; the AMC publishes the actual TER every 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1"/>
        <w:gridCol w:w="3180"/>
        <w:gridCol w:w="1734"/>
        <w:gridCol w:w="2893"/>
      </w:tblGrid>
      <w:tr>
        <w:trPr>
          <w:tblHeader/>
        </w:trPr>
        <w:tc>
          <w:tcPr>
            <w:tcW w:type="dxa" w:w="1831"/>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Parameter</w:t>
            </w:r>
          </w:p>
        </w:tc>
        <w:tc>
          <w:tcPr>
            <w:tcW w:type="dxa" w:w="318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What it tells you</w:t>
            </w:r>
          </w:p>
        </w:tc>
        <w:tc>
          <w:tcPr>
            <w:tcW w:type="dxa" w:w="1734"/>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Where to find it</w:t>
            </w:r>
          </w:p>
        </w:tc>
        <w:tc>
          <w:tcPr>
            <w:tcW w:type="dxa" w:w="2893"/>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Good sign / red flag</w:t>
            </w:r>
          </w:p>
        </w:tc>
      </w:tr>
      <w:tr>
        <w:trPr>
          <w:cantSplit/>
        </w:trPr>
        <w:tc>
          <w:tcPr>
            <w:tcW w:type="dxa" w:w="183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Total expense ratio (TER)</w:t>
            </w:r>
          </w:p>
        </w:tc>
        <w:tc>
          <w:tcPr>
            <w:tcW w:type="dxa" w:w="318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The annual cost deducted from NAV. From 1 Apr 2026 it has three parts: the base expense ratio (BER), brokerage, and statutory levies charged at actuals [5][6].</w:t>
            </w:r>
          </w:p>
        </w:tc>
        <w:tc>
          <w:tcPr>
            <w:tcW w:type="dxa" w:w="1734"/>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AMC TER disclosure page, factsheet</w:t>
            </w:r>
          </w:p>
        </w:tc>
        <w:tc>
          <w:tcPr>
            <w:tcW w:type="dxa" w:w="289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Below the category median. Compare BER with BER and TER with TER, because statutory levies are now shown separately.</w:t>
            </w:r>
          </w:p>
        </w:tc>
      </w:tr>
      <w:tr>
        <w:trPr>
          <w:cantSplit/>
        </w:trPr>
        <w:tc>
          <w:tcPr>
            <w:tcW w:type="dxa" w:w="183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TER vs category average</w:t>
            </w:r>
          </w:p>
        </w:tc>
        <w:tc>
          <w:tcPr>
            <w:tcW w:type="dxa" w:w="318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Shows whether you pay more than peers for the same mandate.</w:t>
            </w:r>
          </w:p>
        </w:tc>
        <w:tc>
          <w:tcPr>
            <w:tcW w:type="dxa" w:w="1734"/>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Value Research category listing, AMFI</w:t>
            </w:r>
          </w:p>
        </w:tc>
        <w:tc>
          <w:tcPr>
            <w:tcW w:type="dxa" w:w="2893"/>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At or below the category average. A premium of more than about 0.25% a year needs a clear return or risk justification.</w:t>
            </w:r>
          </w:p>
        </w:tc>
      </w:tr>
      <w:tr>
        <w:trPr>
          <w:cantSplit/>
        </w:trPr>
        <w:tc>
          <w:tcPr>
            <w:tcW w:type="dxa" w:w="183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Expense trend</w:t>
            </w:r>
          </w:p>
        </w:tc>
        <w:tc>
          <w:tcPr>
            <w:tcW w:type="dxa" w:w="318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Under the slab structure, TER should fall as AUM grows [5].</w:t>
            </w:r>
          </w:p>
        </w:tc>
        <w:tc>
          <w:tcPr>
            <w:tcW w:type="dxa" w:w="1734"/>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AMC historical TER disclosures</w:t>
            </w:r>
          </w:p>
        </w:tc>
        <w:tc>
          <w:tcPr>
            <w:tcW w:type="dxa" w:w="289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TER stable or falling as AUM rises. A TER that rises while AUM grows is a red flag.</w:t>
            </w:r>
          </w:p>
        </w:tc>
      </w:tr>
      <w:tr>
        <w:trPr>
          <w:cantSplit/>
        </w:trPr>
        <w:tc>
          <w:tcPr>
            <w:tcW w:type="dxa" w:w="183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Exit load</w:t>
            </w:r>
          </w:p>
        </w:tc>
        <w:tc>
          <w:tcPr>
            <w:tcW w:type="dxa" w:w="318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A redemption charge if you exit before a set period. It is paid back into the scheme, not kept by the AMC.</w:t>
            </w:r>
          </w:p>
        </w:tc>
        <w:tc>
          <w:tcPr>
            <w:tcW w:type="dxa" w:w="1734"/>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SID, KIM, factsheet</w:t>
            </w:r>
          </w:p>
        </w:tc>
        <w:tc>
          <w:tcPr>
            <w:tcW w:type="dxa" w:w="2893"/>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The exit load period is shorter than your planned holding period. Many equity schemes charge about 1% within 12 months, but this varies by scheme.</w:t>
            </w:r>
          </w:p>
        </w:tc>
      </w:tr>
      <w:tr>
        <w:trPr>
          <w:cantSplit/>
        </w:trPr>
        <w:tc>
          <w:tcPr>
            <w:tcW w:type="dxa" w:w="183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Lock-in</w:t>
            </w:r>
          </w:p>
        </w:tc>
        <w:tc>
          <w:tcPr>
            <w:tcW w:type="dxa" w:w="318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Mandatory holding period. For example, ELSS Tax Saver funds have a 3-year lock-in on each investment.</w:t>
            </w:r>
          </w:p>
        </w:tc>
        <w:tc>
          <w:tcPr>
            <w:tcW w:type="dxa" w:w="1734"/>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SID</w:t>
            </w:r>
          </w:p>
        </w:tc>
        <w:tc>
          <w:tcPr>
            <w:tcW w:type="dxa" w:w="289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The lock-in fits your liquidity needs. In a SIP, each instalment has its own lock-in.</w:t>
            </w:r>
          </w:p>
        </w:tc>
      </w:tr>
      <w:tr>
        <w:trPr>
          <w:cantSplit/>
        </w:trPr>
        <w:tc>
          <w:tcPr>
            <w:tcW w:type="dxa" w:w="183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Direct vs regular plan</w:t>
            </w:r>
          </w:p>
        </w:tc>
        <w:tc>
          <w:tcPr>
            <w:tcW w:type="dxa" w:w="318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Direct plans exist since 1 Jan 2013, carry no distributor commission and have a separate, lower expense ratio [8].</w:t>
            </w:r>
          </w:p>
        </w:tc>
        <w:tc>
          <w:tcPr>
            <w:tcW w:type="dxa" w:w="1734"/>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AMC TER disclosure (both plans side by side)</w:t>
            </w:r>
          </w:p>
        </w:tc>
        <w:tc>
          <w:tcPr>
            <w:tcW w:type="dxa" w:w="2893"/>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Know the gap in percentage points and what you get for it if you use the regular plan (advice, rebalancing).</w:t>
            </w:r>
          </w:p>
        </w:tc>
      </w:tr>
    </w:tbl>
    <w:p>
      <w:pPr>
        <w:spacing w:after="60"/>
      </w:pPr>
    </w:p>
    <w:p>
      <w:pPr>
        <w:pStyle w:val="Heading2"/>
      </w:pPr>
      <w:r>
        <w:t xml:space="preserve">Returns</w:t>
      </w:r>
    </w:p>
    <w:p>
      <w:pPr>
        <w:spacing w:after="120" w:line="276"/>
      </w:pPr>
      <w:r>
        <w:t xml:space="preserve">Always compare returns over the same dates, against the TRI version of the benchmark, and across rolling windows rather than a single end date [18][19].</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1"/>
        <w:gridCol w:w="3180"/>
        <w:gridCol w:w="1734"/>
        <w:gridCol w:w="2893"/>
      </w:tblGrid>
      <w:tr>
        <w:trPr>
          <w:tblHeader/>
        </w:trPr>
        <w:tc>
          <w:tcPr>
            <w:tcW w:type="dxa" w:w="1831"/>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Parameter</w:t>
            </w:r>
          </w:p>
        </w:tc>
        <w:tc>
          <w:tcPr>
            <w:tcW w:type="dxa" w:w="318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What it tells you</w:t>
            </w:r>
          </w:p>
        </w:tc>
        <w:tc>
          <w:tcPr>
            <w:tcW w:type="dxa" w:w="1734"/>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Where to find it</w:t>
            </w:r>
          </w:p>
        </w:tc>
        <w:tc>
          <w:tcPr>
            <w:tcW w:type="dxa" w:w="2893"/>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Good sign / red flag</w:t>
            </w:r>
          </w:p>
        </w:tc>
      </w:tr>
      <w:tr>
        <w:trPr>
          <w:cantSplit/>
        </w:trPr>
        <w:tc>
          <w:tcPr>
            <w:tcW w:type="dxa" w:w="183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1Y / 3Y / 5Y / 10Y trailing returns (CAGR)</w:t>
            </w:r>
          </w:p>
        </w:tc>
        <w:tc>
          <w:tcPr>
            <w:tcW w:type="dxa" w:w="318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Point-to-point annualised returns ending on one date [15].</w:t>
            </w:r>
          </w:p>
        </w:tc>
        <w:tc>
          <w:tcPr>
            <w:tcW w:type="dxa" w:w="1734"/>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Factsheet, Value Research, AMFI</w:t>
            </w:r>
          </w:p>
        </w:tc>
        <w:tc>
          <w:tcPr>
            <w:tcW w:type="dxa" w:w="289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Compare only with the benchmark TRI and category over identical dates. A 1-year return is mostly noise for equity funds.</w:t>
            </w:r>
          </w:p>
        </w:tc>
      </w:tr>
      <w:tr>
        <w:trPr>
          <w:cantSplit/>
        </w:trPr>
        <w:tc>
          <w:tcPr>
            <w:tcW w:type="dxa" w:w="183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Since inception return</w:t>
            </w:r>
          </w:p>
        </w:tc>
        <w:tc>
          <w:tcPr>
            <w:tcW w:type="dxa" w:w="318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Return from launch to date.</w:t>
            </w:r>
          </w:p>
        </w:tc>
        <w:tc>
          <w:tcPr>
            <w:tcW w:type="dxa" w:w="1734"/>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Factsheet</w:t>
            </w:r>
          </w:p>
        </w:tc>
        <w:tc>
          <w:tcPr>
            <w:tcW w:type="dxa" w:w="2893"/>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Give it low weight. It depends heavily on the launch date and is hard to compare across funds.</w:t>
            </w:r>
          </w:p>
        </w:tc>
      </w:tr>
      <w:tr>
        <w:trPr>
          <w:cantSplit/>
        </w:trPr>
        <w:tc>
          <w:tcPr>
            <w:tcW w:type="dxa" w:w="183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Rolling returns (3Y and 5Y)</w:t>
            </w:r>
          </w:p>
        </w:tc>
        <w:tc>
          <w:tcPr>
            <w:tcW w:type="dxa" w:w="318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Every 3-year or 5-year return starting on each day or month of history. Shows how often and by how much the fund delivered [18][19][13].</w:t>
            </w:r>
          </w:p>
        </w:tc>
        <w:tc>
          <w:tcPr>
            <w:tcW w:type="dxa" w:w="1734"/>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Value Research, AMC tools, or compute from NAV history</w:t>
            </w:r>
          </w:p>
        </w:tc>
        <w:tc>
          <w:tcPr>
            <w:tcW w:type="dxa" w:w="289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A high share of rolling periods ahead of the benchmark, plus a narrow gap between the minimum and median return.</w:t>
            </w:r>
          </w:p>
        </w:tc>
      </w:tr>
      <w:tr>
        <w:trPr>
          <w:cantSplit/>
        </w:trPr>
        <w:tc>
          <w:tcPr>
            <w:tcW w:type="dxa" w:w="183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Calendar year returns</w:t>
            </w:r>
          </w:p>
        </w:tc>
        <w:tc>
          <w:tcPr>
            <w:tcW w:type="dxa" w:w="318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Return in each calendar year, which shows behaviour in boom and bust years separately.</w:t>
            </w:r>
          </w:p>
        </w:tc>
        <w:tc>
          <w:tcPr>
            <w:tcW w:type="dxa" w:w="1734"/>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Factsheet, Value Research</w:t>
            </w:r>
          </w:p>
        </w:tc>
        <w:tc>
          <w:tcPr>
            <w:tcW w:type="dxa" w:w="2893"/>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No catastrophic year relative to peers, and sensible behaviour in bad years such as 2008, 2011, 2018 and 2020.</w:t>
            </w:r>
          </w:p>
        </w:tc>
      </w:tr>
      <w:tr>
        <w:trPr>
          <w:cantSplit/>
        </w:trPr>
        <w:tc>
          <w:tcPr>
            <w:tcW w:type="dxa" w:w="183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SIP return vs lumpsum return</w:t>
            </w:r>
          </w:p>
        </w:tc>
        <w:tc>
          <w:tcPr>
            <w:tcW w:type="dxa" w:w="318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SIP returns, measured as XIRR, reflect the experience of a regular investor. Lumpsum returns reflect a single entry date [15].</w:t>
            </w:r>
          </w:p>
        </w:tc>
        <w:tc>
          <w:tcPr>
            <w:tcW w:type="dxa" w:w="1734"/>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SIP performance table in AMC factsheet</w:t>
            </w:r>
          </w:p>
        </w:tc>
        <w:tc>
          <w:tcPr>
            <w:tcW w:type="dxa" w:w="289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SIP XIRR at or above the benchmark SIP XIRR over 5 years or more.</w:t>
            </w:r>
          </w:p>
        </w:tc>
      </w:tr>
      <w:tr>
        <w:trPr>
          <w:cantSplit/>
        </w:trPr>
        <w:tc>
          <w:tcPr>
            <w:tcW w:type="dxa" w:w="183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Return vs benchmark TRI</w:t>
            </w:r>
          </w:p>
        </w:tc>
        <w:tc>
          <w:tcPr>
            <w:tcW w:type="dxa" w:w="318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The core test of active management. The benchmark must be a TRI [1].</w:t>
            </w:r>
          </w:p>
        </w:tc>
        <w:tc>
          <w:tcPr>
            <w:tcW w:type="dxa" w:w="1734"/>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Factsheet (mandatory disclosure), Value Research</w:t>
            </w:r>
          </w:p>
        </w:tc>
        <w:tc>
          <w:tcPr>
            <w:tcW w:type="dxa" w:w="2893"/>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Positive excess return after costs across rolling 3-year and 5-year windows, not only on the latest trailing date.</w:t>
            </w:r>
          </w:p>
        </w:tc>
      </w:tr>
      <w:tr>
        <w:trPr>
          <w:cantSplit/>
        </w:trPr>
        <w:tc>
          <w:tcPr>
            <w:tcW w:type="dxa" w:w="183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Return vs category average</w:t>
            </w:r>
          </w:p>
        </w:tc>
        <w:tc>
          <w:tcPr>
            <w:tcW w:type="dxa" w:w="318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Shows performance against the funds you could have bought instead.</w:t>
            </w:r>
          </w:p>
        </w:tc>
        <w:tc>
          <w:tcPr>
            <w:tcW w:type="dxa" w:w="1734"/>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Value Research category rank and quartile</w:t>
            </w:r>
          </w:p>
        </w:tc>
        <w:tc>
          <w:tcPr>
            <w:tcW w:type="dxa" w:w="289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Consistently in the top half of the category.</w:t>
            </w:r>
          </w:p>
        </w:tc>
      </w:tr>
    </w:tbl>
    <w:p>
      <w:pPr>
        <w:spacing w:after="60"/>
      </w:pPr>
    </w:p>
    <w:p>
      <w:pPr>
        <w:pStyle w:val="Heading2"/>
      </w:pPr>
      <w:r>
        <w:t xml:space="preserve">Risk</w:t>
      </w:r>
    </w:p>
    <w:p>
      <w:pPr>
        <w:spacing w:after="120" w:line="276"/>
      </w:pPr>
      <w:r>
        <w:t xml:space="preserve">Risk metrics are usually computed over the last 3 years of monthly returns. Compare them only within a category, and only against the correct benchmark [14][16].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1"/>
        <w:gridCol w:w="3180"/>
        <w:gridCol w:w="1734"/>
        <w:gridCol w:w="2893"/>
      </w:tblGrid>
      <w:tr>
        <w:trPr>
          <w:tblHeader/>
        </w:trPr>
        <w:tc>
          <w:tcPr>
            <w:tcW w:type="dxa" w:w="1831"/>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Parameter</w:t>
            </w:r>
          </w:p>
        </w:tc>
        <w:tc>
          <w:tcPr>
            <w:tcW w:type="dxa" w:w="318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What it tells you</w:t>
            </w:r>
          </w:p>
        </w:tc>
        <w:tc>
          <w:tcPr>
            <w:tcW w:type="dxa" w:w="1734"/>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Where to find it</w:t>
            </w:r>
          </w:p>
        </w:tc>
        <w:tc>
          <w:tcPr>
            <w:tcW w:type="dxa" w:w="2893"/>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Good sign / red flag</w:t>
            </w:r>
          </w:p>
        </w:tc>
      </w:tr>
      <w:tr>
        <w:trPr>
          <w:cantSplit/>
        </w:trPr>
        <w:tc>
          <w:tcPr>
            <w:tcW w:type="dxa" w:w="183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Standard deviation</w:t>
            </w:r>
          </w:p>
        </w:tc>
        <w:tc>
          <w:tcPr>
            <w:tcW w:type="dxa" w:w="318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Total volatility of returns [14].</w:t>
            </w:r>
          </w:p>
        </w:tc>
        <w:tc>
          <w:tcPr>
            <w:tcW w:type="dxa" w:w="1734"/>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Factsheet, Value Research</w:t>
            </w:r>
          </w:p>
        </w:tc>
        <w:tc>
          <w:tcPr>
            <w:tcW w:type="dxa" w:w="289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At or below the category average for a similar return.</w:t>
            </w:r>
          </w:p>
        </w:tc>
      </w:tr>
      <w:tr>
        <w:trPr>
          <w:cantSplit/>
        </w:trPr>
        <w:tc>
          <w:tcPr>
            <w:tcW w:type="dxa" w:w="183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Downside deviation</w:t>
            </w:r>
          </w:p>
        </w:tc>
        <w:tc>
          <w:tcPr>
            <w:tcW w:type="dxa" w:w="318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Volatility of negative returns only. It is the denominator of the Sortino ratio [16].</w:t>
            </w:r>
          </w:p>
        </w:tc>
        <w:tc>
          <w:tcPr>
            <w:tcW w:type="dxa" w:w="1734"/>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Value Research, or compute from monthly returns</w:t>
            </w:r>
          </w:p>
        </w:tc>
        <w:tc>
          <w:tcPr>
            <w:tcW w:type="dxa" w:w="2893"/>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Below both the benchmark and the category.</w:t>
            </w:r>
          </w:p>
        </w:tc>
      </w:tr>
      <w:tr>
        <w:trPr>
          <w:cantSplit/>
        </w:trPr>
        <w:tc>
          <w:tcPr>
            <w:tcW w:type="dxa" w:w="183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Sharpe ratio</w:t>
            </w:r>
          </w:p>
        </w:tc>
        <w:tc>
          <w:tcPr>
            <w:tcW w:type="dxa" w:w="318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(Return minus risk-free rate) divided by standard deviation. Measures return per unit of total risk [14].</w:t>
            </w:r>
          </w:p>
        </w:tc>
        <w:tc>
          <w:tcPr>
            <w:tcW w:type="dxa" w:w="1734"/>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Factsheet, Value Research</w:t>
            </w:r>
          </w:p>
        </w:tc>
        <w:tc>
          <w:tcPr>
            <w:tcW w:type="dxa" w:w="289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Above the category average and the benchmark. Compare only within a category.</w:t>
            </w:r>
          </w:p>
        </w:tc>
      </w:tr>
      <w:tr>
        <w:trPr>
          <w:cantSplit/>
        </w:trPr>
        <w:tc>
          <w:tcPr>
            <w:tcW w:type="dxa" w:w="183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Sortino ratio</w:t>
            </w:r>
          </w:p>
        </w:tc>
        <w:tc>
          <w:tcPr>
            <w:tcW w:type="dxa" w:w="318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(Return minus risk-free rate) divided by downside deviation. Penalises only harmful volatility [16].</w:t>
            </w:r>
          </w:p>
        </w:tc>
        <w:tc>
          <w:tcPr>
            <w:tcW w:type="dxa" w:w="1734"/>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Value Research, or compute</w:t>
            </w:r>
          </w:p>
        </w:tc>
        <w:tc>
          <w:tcPr>
            <w:tcW w:type="dxa" w:w="2893"/>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Above the category average and the benchmark.</w:t>
            </w:r>
          </w:p>
        </w:tc>
      </w:tr>
      <w:tr>
        <w:trPr>
          <w:cantSplit/>
        </w:trPr>
        <w:tc>
          <w:tcPr>
            <w:tcW w:type="dxa" w:w="183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Treynor ratio</w:t>
            </w:r>
          </w:p>
        </w:tc>
        <w:tc>
          <w:tcPr>
            <w:tcW w:type="dxa" w:w="318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(Return minus risk-free rate) divided by beta. Return per unit of market risk, useful for a fund that sits inside a diversified portfolio.</w:t>
            </w:r>
          </w:p>
        </w:tc>
        <w:tc>
          <w:tcPr>
            <w:tcW w:type="dxa" w:w="1734"/>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Compute</w:t>
            </w:r>
          </w:p>
        </w:tc>
        <w:tc>
          <w:tcPr>
            <w:tcW w:type="dxa" w:w="289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Above the benchmark Treynor ratio, which equals the benchmark return minus the risk-free rate, since beta = 1.</w:t>
            </w:r>
          </w:p>
        </w:tc>
      </w:tr>
      <w:tr>
        <w:trPr>
          <w:cantSplit/>
        </w:trPr>
        <w:tc>
          <w:tcPr>
            <w:tcW w:type="dxa" w:w="183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Jensen's alpha</w:t>
            </w:r>
          </w:p>
        </w:tc>
        <w:tc>
          <w:tcPr>
            <w:tcW w:type="dxa" w:w="318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Fund return minus [risk-free rate + beta x (benchmark return minus risk-free rate)]. Return beyond what the fund's beta explains.</w:t>
            </w:r>
          </w:p>
        </w:tc>
        <w:tc>
          <w:tcPr>
            <w:tcW w:type="dxa" w:w="1734"/>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Compute, some data platforms</w:t>
            </w:r>
          </w:p>
        </w:tc>
        <w:tc>
          <w:tcPr>
            <w:tcW w:type="dxa" w:w="2893"/>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Positive and persistent across rolling windows.</w:t>
            </w:r>
          </w:p>
        </w:tc>
      </w:tr>
      <w:tr>
        <w:trPr>
          <w:cantSplit/>
        </w:trPr>
        <w:tc>
          <w:tcPr>
            <w:tcW w:type="dxa" w:w="183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Alpha (as reported)</w:t>
            </w:r>
          </w:p>
        </w:tc>
        <w:tc>
          <w:tcPr>
            <w:tcW w:type="dxa" w:w="318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Excess return over the benchmark. Platforms define it differently: some use simple excess return, others use regression alpha [14].</w:t>
            </w:r>
          </w:p>
        </w:tc>
        <w:tc>
          <w:tcPr>
            <w:tcW w:type="dxa" w:w="1734"/>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Factsheet, Value Research</w:t>
            </w:r>
          </w:p>
        </w:tc>
        <w:tc>
          <w:tcPr>
            <w:tcW w:type="dxa" w:w="289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Positive. Check which definition the source uses before comparing two numbers.</w:t>
            </w:r>
          </w:p>
        </w:tc>
      </w:tr>
      <w:tr>
        <w:trPr>
          <w:cantSplit/>
        </w:trPr>
        <w:tc>
          <w:tcPr>
            <w:tcW w:type="dxa" w:w="183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Beta</w:t>
            </w:r>
          </w:p>
        </w:tc>
        <w:tc>
          <w:tcPr>
            <w:tcW w:type="dxa" w:w="318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Sensitivity to benchmark moves. A beta of 1 moves in line with the market; 1.2 moves 20% more [14].</w:t>
            </w:r>
          </w:p>
        </w:tc>
        <w:tc>
          <w:tcPr>
            <w:tcW w:type="dxa" w:w="1734"/>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Factsheet, Value Research</w:t>
            </w:r>
          </w:p>
        </w:tc>
        <w:tc>
          <w:tcPr>
            <w:tcW w:type="dxa" w:w="2893"/>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Consistent with the fund's stated style. Beta below 1 with competitive returns is attractive.</w:t>
            </w:r>
          </w:p>
        </w:tc>
      </w:tr>
      <w:tr>
        <w:trPr>
          <w:cantSplit/>
        </w:trPr>
        <w:tc>
          <w:tcPr>
            <w:tcW w:type="dxa" w:w="183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Beta stability</w:t>
            </w:r>
          </w:p>
        </w:tc>
        <w:tc>
          <w:tcPr>
            <w:tcW w:type="dxa" w:w="318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Whether beta stays steady over time. A shifting beta points to a changing process or rising risk taking.</w:t>
            </w:r>
          </w:p>
        </w:tc>
        <w:tc>
          <w:tcPr>
            <w:tcW w:type="dxa" w:w="1734"/>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Compute rolling 36-month beta from monthly returns</w:t>
            </w:r>
          </w:p>
        </w:tc>
        <w:tc>
          <w:tcPr>
            <w:tcW w:type="dxa" w:w="289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Beta stays in a narrow band, for example +/- 0.15 across rolling windows (rule of thumb).</w:t>
            </w:r>
          </w:p>
        </w:tc>
      </w:tr>
      <w:tr>
        <w:trPr>
          <w:cantSplit/>
        </w:trPr>
        <w:tc>
          <w:tcPr>
            <w:tcW w:type="dxa" w:w="183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Maximum drawdown</w:t>
            </w:r>
          </w:p>
        </w:tc>
        <w:tc>
          <w:tcPr>
            <w:tcW w:type="dxa" w:w="318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Largest fall from a NAV peak to a later trough.</w:t>
            </w:r>
          </w:p>
        </w:tc>
        <w:tc>
          <w:tcPr>
            <w:tcW w:type="dxa" w:w="1734"/>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Value Research, or compute from NAV history</w:t>
            </w:r>
          </w:p>
        </w:tc>
        <w:tc>
          <w:tcPr>
            <w:tcW w:type="dxa" w:w="2893"/>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Smaller than the benchmark drawdown over the same window (for example, the Feb to Mar 2020 fall).</w:t>
            </w:r>
          </w:p>
        </w:tc>
      </w:tr>
      <w:tr>
        <w:trPr>
          <w:cantSplit/>
        </w:trPr>
        <w:tc>
          <w:tcPr>
            <w:tcW w:type="dxa" w:w="183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Recovery time</w:t>
            </w:r>
          </w:p>
        </w:tc>
        <w:tc>
          <w:tcPr>
            <w:tcW w:type="dxa" w:w="318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Time taken to get back to the previous peak after the maximum drawdown.</w:t>
            </w:r>
          </w:p>
        </w:tc>
        <w:tc>
          <w:tcPr>
            <w:tcW w:type="dxa" w:w="1734"/>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Compute from NAV history</w:t>
            </w:r>
          </w:p>
        </w:tc>
        <w:tc>
          <w:tcPr>
            <w:tcW w:type="dxa" w:w="289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Recovers faster than the benchmark.</w:t>
            </w:r>
          </w:p>
        </w:tc>
      </w:tr>
      <w:tr>
        <w:trPr>
          <w:cantSplit/>
        </w:trPr>
        <w:tc>
          <w:tcPr>
            <w:tcW w:type="dxa" w:w="183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Upside / downside capture ratio</w:t>
            </w:r>
          </w:p>
        </w:tc>
        <w:tc>
          <w:tcPr>
            <w:tcW w:type="dxa" w:w="318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Share of benchmark gains (upside) and losses (downside) the fund captures [16].</w:t>
            </w:r>
          </w:p>
        </w:tc>
        <w:tc>
          <w:tcPr>
            <w:tcW w:type="dxa" w:w="1734"/>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Value Research, or compute</w:t>
            </w:r>
          </w:p>
        </w:tc>
        <w:tc>
          <w:tcPr>
            <w:tcW w:type="dxa" w:w="2893"/>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Downside capture below 100 with upside capture near or above 90 is a favourable asymmetry.</w:t>
            </w:r>
          </w:p>
        </w:tc>
      </w:tr>
      <w:tr>
        <w:trPr>
          <w:cantSplit/>
        </w:trPr>
        <w:tc>
          <w:tcPr>
            <w:tcW w:type="dxa" w:w="183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R-squared</w:t>
            </w:r>
          </w:p>
        </w:tc>
        <w:tc>
          <w:tcPr>
            <w:tcW w:type="dxa" w:w="318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Share of the fund's return movement that the benchmark explains, from 0 to 1 (or 0 to 100).</w:t>
            </w:r>
          </w:p>
        </w:tc>
        <w:tc>
          <w:tcPr>
            <w:tcW w:type="dxa" w:w="1734"/>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Value Research, or compute</w:t>
            </w:r>
          </w:p>
        </w:tc>
        <w:tc>
          <w:tcPr>
            <w:tcW w:type="dxa" w:w="289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Above about 0.85 for a diversified fund against its correct benchmark. A low value may mean the benchmark is wrong (see the style drift check in Section 2).</w:t>
            </w:r>
          </w:p>
        </w:tc>
      </w:tr>
    </w:tbl>
    <w:p>
      <w:pPr>
        <w:spacing w:after="60"/>
      </w:pPr>
    </w:p>
    <w:p>
      <w:pPr>
        <w:pStyle w:val="Heading2"/>
      </w:pPr>
      <w:r>
        <w:t xml:space="preserve">Portfolio</w:t>
      </w:r>
    </w:p>
    <w:p>
      <w:pPr>
        <w:spacing w:after="120" w:line="276"/>
      </w:pPr>
      <w:r>
        <w:t xml:space="preserve">Monthly portfolio disclosures show what the manager actually owns, which can differ from the name and category on the label.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1"/>
        <w:gridCol w:w="3180"/>
        <w:gridCol w:w="1734"/>
        <w:gridCol w:w="2893"/>
      </w:tblGrid>
      <w:tr>
        <w:trPr>
          <w:tblHeader/>
        </w:trPr>
        <w:tc>
          <w:tcPr>
            <w:tcW w:type="dxa" w:w="1831"/>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Parameter</w:t>
            </w:r>
          </w:p>
        </w:tc>
        <w:tc>
          <w:tcPr>
            <w:tcW w:type="dxa" w:w="318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What it tells you</w:t>
            </w:r>
          </w:p>
        </w:tc>
        <w:tc>
          <w:tcPr>
            <w:tcW w:type="dxa" w:w="1734"/>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Where to find it</w:t>
            </w:r>
          </w:p>
        </w:tc>
        <w:tc>
          <w:tcPr>
            <w:tcW w:type="dxa" w:w="2893"/>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Good sign / red flag</w:t>
            </w:r>
          </w:p>
        </w:tc>
      </w:tr>
      <w:tr>
        <w:trPr>
          <w:cantSplit/>
        </w:trPr>
        <w:tc>
          <w:tcPr>
            <w:tcW w:type="dxa" w:w="183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Top holdings</w:t>
            </w:r>
          </w:p>
        </w:tc>
        <w:tc>
          <w:tcPr>
            <w:tcW w:type="dxa" w:w="318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The largest positions, which show the fund's main bets.</w:t>
            </w:r>
          </w:p>
        </w:tc>
        <w:tc>
          <w:tcPr>
            <w:tcW w:type="dxa" w:w="1734"/>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Monthly portfolio disclosure, factsheet</w:t>
            </w:r>
          </w:p>
        </w:tc>
        <w:tc>
          <w:tcPr>
            <w:tcW w:type="dxa" w:w="289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Understand the bets without second-guessing each stock (see Section 3, Blind spot 3).</w:t>
            </w:r>
          </w:p>
        </w:tc>
      </w:tr>
      <w:tr>
        <w:trPr>
          <w:cantSplit/>
        </w:trPr>
        <w:tc>
          <w:tcPr>
            <w:tcW w:type="dxa" w:w="183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Top-10 concentration</w:t>
            </w:r>
          </w:p>
        </w:tc>
        <w:tc>
          <w:tcPr>
            <w:tcW w:type="dxa" w:w="318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Combined weight of the ten largest holdings.</w:t>
            </w:r>
          </w:p>
        </w:tc>
        <w:tc>
          <w:tcPr>
            <w:tcW w:type="dxa" w:w="1734"/>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Factsheet</w:t>
            </w:r>
          </w:p>
        </w:tc>
        <w:tc>
          <w:tcPr>
            <w:tcW w:type="dxa" w:w="2893"/>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Concentration consistent with the stated style. Compare with the benchmark's top-10 weight.</w:t>
            </w:r>
          </w:p>
        </w:tc>
      </w:tr>
      <w:tr>
        <w:trPr>
          <w:cantSplit/>
        </w:trPr>
        <w:tc>
          <w:tcPr>
            <w:tcW w:type="dxa" w:w="183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Sector allocation</w:t>
            </w:r>
          </w:p>
        </w:tc>
        <w:tc>
          <w:tcPr>
            <w:tcW w:type="dxa" w:w="318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Sector weights compared with the benchmark.</w:t>
            </w:r>
          </w:p>
        </w:tc>
        <w:tc>
          <w:tcPr>
            <w:tcW w:type="dxa" w:w="1734"/>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Factsheet, Value Research</w:t>
            </w:r>
          </w:p>
        </w:tc>
        <w:tc>
          <w:tcPr>
            <w:tcW w:type="dxa" w:w="289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Active sector bets are reasonable in size. Very large overweights make a diversified fund behave like a thematic fund.</w:t>
            </w:r>
          </w:p>
        </w:tc>
      </w:tr>
      <w:tr>
        <w:trPr>
          <w:cantSplit/>
        </w:trPr>
        <w:tc>
          <w:tcPr>
            <w:tcW w:type="dxa" w:w="183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Market cap breakup</w:t>
            </w:r>
          </w:p>
        </w:tc>
        <w:tc>
          <w:tcPr>
            <w:tcW w:type="dxa" w:w="318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Split across large, mid and small caps (top 100, 101 to 250, 251 onwards) [4].</w:t>
            </w:r>
          </w:p>
        </w:tc>
        <w:tc>
          <w:tcPr>
            <w:tcW w:type="dxa" w:w="1734"/>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Factsheet, Value Research</w:t>
            </w:r>
          </w:p>
        </w:tc>
        <w:tc>
          <w:tcPr>
            <w:tcW w:type="dxa" w:w="2893"/>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Within the category mandate, for example at least 80% large cap for a large cap fund [4].</w:t>
            </w:r>
          </w:p>
        </w:tc>
      </w:tr>
      <w:tr>
        <w:trPr>
          <w:cantSplit/>
        </w:trPr>
        <w:tc>
          <w:tcPr>
            <w:tcW w:type="dxa" w:w="183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Number of stocks</w:t>
            </w:r>
          </w:p>
        </w:tc>
        <w:tc>
          <w:tcPr>
            <w:tcW w:type="dxa" w:w="318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Breadth of the portfolio.</w:t>
            </w:r>
          </w:p>
        </w:tc>
        <w:tc>
          <w:tcPr>
            <w:tcW w:type="dxa" w:w="1734"/>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Factsheet</w:t>
            </w:r>
          </w:p>
        </w:tc>
        <w:tc>
          <w:tcPr>
            <w:tcW w:type="dxa" w:w="289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Fits the style. Very few stocks means concentration risk. A very long list that mirrors the index raises closet indexing risk.</w:t>
            </w:r>
          </w:p>
        </w:tc>
      </w:tr>
      <w:tr>
        <w:trPr>
          <w:cantSplit/>
        </w:trPr>
        <w:tc>
          <w:tcPr>
            <w:tcW w:type="dxa" w:w="183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Portfolio turnover ratio</w:t>
            </w:r>
          </w:p>
        </w:tc>
        <w:tc>
          <w:tcPr>
            <w:tcW w:type="dxa" w:w="318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How much of the portfolio is traded in a year. High turnover means higher trading costs that sit outside the BER.</w:t>
            </w:r>
          </w:p>
        </w:tc>
        <w:tc>
          <w:tcPr>
            <w:tcW w:type="dxa" w:w="1734"/>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Factsheet</w:t>
            </w:r>
          </w:p>
        </w:tc>
        <w:tc>
          <w:tcPr>
            <w:tcW w:type="dxa" w:w="2893"/>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At or below the category median, unless the strategy explicitly needs high turnover.</w:t>
            </w:r>
          </w:p>
        </w:tc>
      </w:tr>
      <w:tr>
        <w:trPr>
          <w:cantSplit/>
        </w:trPr>
        <w:tc>
          <w:tcPr>
            <w:tcW w:type="dxa" w:w="183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Cash position</w:t>
            </w:r>
          </w:p>
        </w:tc>
        <w:tc>
          <w:tcPr>
            <w:tcW w:type="dxa" w:w="318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Share held in cash, TREPS or liquid instruments.</w:t>
            </w:r>
          </w:p>
        </w:tc>
        <w:tc>
          <w:tcPr>
            <w:tcW w:type="dxa" w:w="1734"/>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Monthly portfolio</w:t>
            </w:r>
          </w:p>
        </w:tc>
        <w:tc>
          <w:tcPr>
            <w:tcW w:type="dxa" w:w="289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A small and stable cash level. Persistent high cash drags returns in rising markets and is a timing bet.</w:t>
            </w:r>
          </w:p>
        </w:tc>
      </w:tr>
      <w:tr>
        <w:trPr>
          <w:cantSplit/>
        </w:trPr>
        <w:tc>
          <w:tcPr>
            <w:tcW w:type="dxa" w:w="183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Overlap with existing holdings</w:t>
            </w:r>
          </w:p>
        </w:tc>
        <w:tc>
          <w:tcPr>
            <w:tcW w:type="dxa" w:w="318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How many of the same stocks, and at what weights, you already hold through other funds.</w:t>
            </w:r>
          </w:p>
        </w:tc>
        <w:tc>
          <w:tcPr>
            <w:tcW w:type="dxa" w:w="1734"/>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Overlap tools, or compare monthly portfolios</w:t>
            </w:r>
          </w:p>
        </w:tc>
        <w:tc>
          <w:tcPr>
            <w:tcW w:type="dxa" w:w="2893"/>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Overlap below about 50% with each existing fund. SEBI uses 50% as the overlap cap for sectoral and thematic schemes within an AMC [4].</w:t>
            </w:r>
          </w:p>
        </w:tc>
      </w:tr>
    </w:tbl>
    <w:p>
      <w:pPr>
        <w:spacing w:after="60"/>
      </w:pPr>
    </w:p>
    <w:p>
      <w:pPr>
        <w:pStyle w:val="Heading2"/>
      </w:pPr>
      <w:r>
        <w:t xml:space="preserve">Valuation</w:t>
      </w:r>
    </w:p>
    <w:p>
      <w:pPr>
        <w:spacing w:after="120" w:line="276"/>
      </w:pPr>
      <w:r>
        <w:t xml:space="preserve">Portfolio valuation describes the style the manager is running. It does not predict returns on its own, but it explains why a fund lags or leads in certain markets.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1"/>
        <w:gridCol w:w="3180"/>
        <w:gridCol w:w="1734"/>
        <w:gridCol w:w="2893"/>
      </w:tblGrid>
      <w:tr>
        <w:trPr>
          <w:tblHeader/>
        </w:trPr>
        <w:tc>
          <w:tcPr>
            <w:tcW w:type="dxa" w:w="1831"/>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Parameter</w:t>
            </w:r>
          </w:p>
        </w:tc>
        <w:tc>
          <w:tcPr>
            <w:tcW w:type="dxa" w:w="318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What it tells you</w:t>
            </w:r>
          </w:p>
        </w:tc>
        <w:tc>
          <w:tcPr>
            <w:tcW w:type="dxa" w:w="1734"/>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Where to find it</w:t>
            </w:r>
          </w:p>
        </w:tc>
        <w:tc>
          <w:tcPr>
            <w:tcW w:type="dxa" w:w="2893"/>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Good sign / red flag</w:t>
            </w:r>
          </w:p>
        </w:tc>
      </w:tr>
      <w:tr>
        <w:trPr>
          <w:cantSplit/>
        </w:trPr>
        <w:tc>
          <w:tcPr>
            <w:tcW w:type="dxa" w:w="183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Portfolio P/E</w:t>
            </w:r>
          </w:p>
        </w:tc>
        <w:tc>
          <w:tcPr>
            <w:tcW w:type="dxa" w:w="318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Weighted price-to-earnings of holdings.</w:t>
            </w:r>
          </w:p>
        </w:tc>
        <w:tc>
          <w:tcPr>
            <w:tcW w:type="dxa" w:w="1734"/>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Factsheet, Value Research</w:t>
            </w:r>
          </w:p>
        </w:tc>
        <w:tc>
          <w:tcPr>
            <w:tcW w:type="dxa" w:w="289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Read it against the benchmark P/E. A much higher figure signals a growth tilt and higher valuation risk.</w:t>
            </w:r>
          </w:p>
        </w:tc>
      </w:tr>
      <w:tr>
        <w:trPr>
          <w:cantSplit/>
        </w:trPr>
        <w:tc>
          <w:tcPr>
            <w:tcW w:type="dxa" w:w="183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Portfolio P/B</w:t>
            </w:r>
          </w:p>
        </w:tc>
        <w:tc>
          <w:tcPr>
            <w:tcW w:type="dxa" w:w="318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Weighted price-to-book of holdings.</w:t>
            </w:r>
          </w:p>
        </w:tc>
        <w:tc>
          <w:tcPr>
            <w:tcW w:type="dxa" w:w="1734"/>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Factsheet, Value Research</w:t>
            </w:r>
          </w:p>
        </w:tc>
        <w:tc>
          <w:tcPr>
            <w:tcW w:type="dxa" w:w="2893"/>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Consistent with the stated style. Value funds should usually sit below the benchmark.</w:t>
            </w:r>
          </w:p>
        </w:tc>
      </w:tr>
      <w:tr>
        <w:trPr>
          <w:cantSplit/>
        </w:trPr>
        <w:tc>
          <w:tcPr>
            <w:tcW w:type="dxa" w:w="183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PEG ratio</w:t>
            </w:r>
          </w:p>
        </w:tc>
        <w:tc>
          <w:tcPr>
            <w:tcW w:type="dxa" w:w="318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P/E divided by expected earnings growth.</w:t>
            </w:r>
          </w:p>
        </w:tc>
        <w:tc>
          <w:tcPr>
            <w:tcW w:type="dxa" w:w="1734"/>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Compute, AMC presentations</w:t>
            </w:r>
          </w:p>
        </w:tc>
        <w:tc>
          <w:tcPr>
            <w:tcW w:type="dxa" w:w="289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Around 1 or lower suggests growth is not overpriced (rule of thumb).</w:t>
            </w:r>
          </w:p>
        </w:tc>
      </w:tr>
      <w:tr>
        <w:trPr>
          <w:cantSplit/>
        </w:trPr>
        <w:tc>
          <w:tcPr>
            <w:tcW w:type="dxa" w:w="183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Dividend yield</w:t>
            </w:r>
          </w:p>
        </w:tc>
        <w:tc>
          <w:tcPr>
            <w:tcW w:type="dxa" w:w="318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Weighted dividend yield of holdings.</w:t>
            </w:r>
          </w:p>
        </w:tc>
        <w:tc>
          <w:tcPr>
            <w:tcW w:type="dxa" w:w="1734"/>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Factsheet, Value Research</w:t>
            </w:r>
          </w:p>
        </w:tc>
        <w:tc>
          <w:tcPr>
            <w:tcW w:type="dxa" w:w="2893"/>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Consistent with style. Dividend yield funds should beat the benchmark yield.</w:t>
            </w:r>
          </w:p>
        </w:tc>
      </w:tr>
      <w:tr>
        <w:trPr>
          <w:cantSplit/>
        </w:trPr>
        <w:tc>
          <w:tcPr>
            <w:tcW w:type="dxa" w:w="183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Earnings growth</w:t>
            </w:r>
          </w:p>
        </w:tc>
        <w:tc>
          <w:tcPr>
            <w:tcW w:type="dxa" w:w="318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Weighted historical or expected earnings growth of holdings.</w:t>
            </w:r>
          </w:p>
        </w:tc>
        <w:tc>
          <w:tcPr>
            <w:tcW w:type="dxa" w:w="1734"/>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AMC presentations, Value Research</w:t>
            </w:r>
          </w:p>
        </w:tc>
        <w:tc>
          <w:tcPr>
            <w:tcW w:type="dxa" w:w="289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Growth that justifies the P/E premium, if there is one.</w:t>
            </w:r>
          </w:p>
        </w:tc>
      </w:tr>
      <w:tr>
        <w:trPr>
          <w:cantSplit/>
        </w:trPr>
        <w:tc>
          <w:tcPr>
            <w:tcW w:type="dxa" w:w="183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Return on equity (ROE)</w:t>
            </w:r>
          </w:p>
        </w:tc>
        <w:tc>
          <w:tcPr>
            <w:tcW w:type="dxa" w:w="318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Weighted ROE of holdings. Indicates portfolio quality.</w:t>
            </w:r>
          </w:p>
        </w:tc>
        <w:tc>
          <w:tcPr>
            <w:tcW w:type="dxa" w:w="1734"/>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AMC presentations, data platforms</w:t>
            </w:r>
          </w:p>
        </w:tc>
        <w:tc>
          <w:tcPr>
            <w:tcW w:type="dxa" w:w="2893"/>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At or above the benchmark ROE for quality-focused funds.</w:t>
            </w:r>
          </w:p>
        </w:tc>
      </w:tr>
    </w:tbl>
    <w:p>
      <w:pPr>
        <w:spacing w:after="60"/>
      </w:pPr>
    </w:p>
    <w:p>
      <w:pPr>
        <w:pStyle w:val="Heading2"/>
      </w:pPr>
      <w:r>
        <w:t xml:space="preserve">Management</w:t>
      </w:r>
    </w:p>
    <w:p>
      <w:pPr>
        <w:spacing w:after="120" w:line="276"/>
      </w:pPr>
      <w:r>
        <w:t xml:space="preserve">A track record belongs to the people who built it. Check that the people are still there.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1"/>
        <w:gridCol w:w="3180"/>
        <w:gridCol w:w="1734"/>
        <w:gridCol w:w="2893"/>
      </w:tblGrid>
      <w:tr>
        <w:trPr>
          <w:tblHeader/>
        </w:trPr>
        <w:tc>
          <w:tcPr>
            <w:tcW w:type="dxa" w:w="1831"/>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Parameter</w:t>
            </w:r>
          </w:p>
        </w:tc>
        <w:tc>
          <w:tcPr>
            <w:tcW w:type="dxa" w:w="318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What it tells you</w:t>
            </w:r>
          </w:p>
        </w:tc>
        <w:tc>
          <w:tcPr>
            <w:tcW w:type="dxa" w:w="1734"/>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Where to find it</w:t>
            </w:r>
          </w:p>
        </w:tc>
        <w:tc>
          <w:tcPr>
            <w:tcW w:type="dxa" w:w="2893"/>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Good sign / red flag</w:t>
            </w:r>
          </w:p>
        </w:tc>
      </w:tr>
      <w:tr>
        <w:trPr>
          <w:cantSplit/>
        </w:trPr>
        <w:tc>
          <w:tcPr>
            <w:tcW w:type="dxa" w:w="183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Fund manager name(s)</w:t>
            </w:r>
          </w:p>
        </w:tc>
        <w:tc>
          <w:tcPr>
            <w:tcW w:type="dxa" w:w="318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Who makes the decisions, including any co-manager or dedicated overseas manager.</w:t>
            </w:r>
          </w:p>
        </w:tc>
        <w:tc>
          <w:tcPr>
            <w:tcW w:type="dxa" w:w="1734"/>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Factsheet, SID</w:t>
            </w:r>
          </w:p>
        </w:tc>
        <w:tc>
          <w:tcPr>
            <w:tcW w:type="dxa" w:w="289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Named managers with relevant experience.</w:t>
            </w:r>
          </w:p>
        </w:tc>
      </w:tr>
      <w:tr>
        <w:trPr>
          <w:cantSplit/>
        </w:trPr>
        <w:tc>
          <w:tcPr>
            <w:tcW w:type="dxa" w:w="183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Tenure on this scheme</w:t>
            </w:r>
          </w:p>
        </w:tc>
        <w:tc>
          <w:tcPr>
            <w:tcW w:type="dxa" w:w="318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How much of the track record belongs to the current manager.</w:t>
            </w:r>
          </w:p>
        </w:tc>
        <w:tc>
          <w:tcPr>
            <w:tcW w:type="dxa" w:w="1734"/>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Factsheet, Value Research manager page</w:t>
            </w:r>
          </w:p>
        </w:tc>
        <w:tc>
          <w:tcPr>
            <w:tcW w:type="dxa" w:w="2893"/>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The tenure covers most of the period you are evaluating, ideally 3 years or more.</w:t>
            </w:r>
          </w:p>
        </w:tc>
      </w:tr>
      <w:tr>
        <w:trPr>
          <w:cantSplit/>
        </w:trPr>
        <w:tc>
          <w:tcPr>
            <w:tcW w:type="dxa" w:w="183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Track record across schemes</w:t>
            </w:r>
          </w:p>
        </w:tc>
        <w:tc>
          <w:tcPr>
            <w:tcW w:type="dxa" w:w="318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Performance of other schemes run by the same manager.</w:t>
            </w:r>
          </w:p>
        </w:tc>
        <w:tc>
          <w:tcPr>
            <w:tcW w:type="dxa" w:w="1734"/>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Value Research fund manager page</w:t>
            </w:r>
          </w:p>
        </w:tc>
        <w:tc>
          <w:tcPr>
            <w:tcW w:type="dxa" w:w="289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Consistent results across mandates, not one lucky fund.</w:t>
            </w:r>
          </w:p>
        </w:tc>
      </w:tr>
      <w:tr>
        <w:trPr>
          <w:cantSplit/>
        </w:trPr>
        <w:tc>
          <w:tcPr>
            <w:tcW w:type="dxa" w:w="183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Team vs star manager</w:t>
            </w:r>
          </w:p>
        </w:tc>
        <w:tc>
          <w:tcPr>
            <w:tcW w:type="dxa" w:w="318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Whether results depend on a documented process or on one person.</w:t>
            </w:r>
          </w:p>
        </w:tc>
        <w:tc>
          <w:tcPr>
            <w:tcW w:type="dxa" w:w="1734"/>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AMC investment process notes, interviews</w:t>
            </w:r>
          </w:p>
        </w:tc>
        <w:tc>
          <w:tcPr>
            <w:tcW w:type="dxa" w:w="2893"/>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A documented, team-driven process reduces key person risk.</w:t>
            </w:r>
          </w:p>
        </w:tc>
      </w:tr>
      <w:tr>
        <w:trPr>
          <w:cantSplit/>
        </w:trPr>
        <w:tc>
          <w:tcPr>
            <w:tcW w:type="dxa" w:w="183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Recent manager changes</w:t>
            </w:r>
          </w:p>
        </w:tc>
        <w:tc>
          <w:tcPr>
            <w:tcW w:type="dxa" w:w="318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A change can reset the relevant track record [21].</w:t>
            </w:r>
          </w:p>
        </w:tc>
        <w:tc>
          <w:tcPr>
            <w:tcW w:type="dxa" w:w="1734"/>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AMC addenda, Value Research news</w:t>
            </w:r>
          </w:p>
        </w:tc>
        <w:tc>
          <w:tcPr>
            <w:tcW w:type="dxa" w:w="289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No change, or a change to someone with a comparable record. Watch for 3 to 6 months after a change [21].</w:t>
            </w:r>
          </w:p>
        </w:tc>
      </w:tr>
    </w:tbl>
    <w:p>
      <w:pPr>
        <w:spacing w:after="60"/>
      </w:pPr>
    </w:p>
    <w:p>
      <w:pPr>
        <w:pStyle w:val="Heading2"/>
      </w:pPr>
      <w:r>
        <w:t xml:space="preserve">Consistency</w:t>
      </w:r>
    </w:p>
    <w:p>
      <w:pPr>
        <w:spacing w:after="120" w:line="276"/>
      </w:pPr>
      <w:r>
        <w:t xml:space="preserve">Consistency separates repeatable skill from one or two lucky years. Value Research's test of buying last year's top fund shows why a single good year is a poor guide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1"/>
        <w:gridCol w:w="3180"/>
        <w:gridCol w:w="1734"/>
        <w:gridCol w:w="2893"/>
      </w:tblGrid>
      <w:tr>
        <w:trPr>
          <w:tblHeader/>
        </w:trPr>
        <w:tc>
          <w:tcPr>
            <w:tcW w:type="dxa" w:w="1831"/>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Parameter</w:t>
            </w:r>
          </w:p>
        </w:tc>
        <w:tc>
          <w:tcPr>
            <w:tcW w:type="dxa" w:w="318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What it tells you</w:t>
            </w:r>
          </w:p>
        </w:tc>
        <w:tc>
          <w:tcPr>
            <w:tcW w:type="dxa" w:w="1734"/>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Where to find it</w:t>
            </w:r>
          </w:p>
        </w:tc>
        <w:tc>
          <w:tcPr>
            <w:tcW w:type="dxa" w:w="2893"/>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Good sign / red flag</w:t>
            </w:r>
          </w:p>
        </w:tc>
      </w:tr>
      <w:tr>
        <w:trPr>
          <w:cantSplit/>
        </w:trPr>
        <w:tc>
          <w:tcPr>
            <w:tcW w:type="dxa" w:w="183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Batting average vs benchmark</w:t>
            </w:r>
          </w:p>
        </w:tc>
        <w:tc>
          <w:tcPr>
            <w:tcW w:type="dxa" w:w="318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Share of periods (months or rolling windows) in which the fund beat its benchmark.</w:t>
            </w:r>
          </w:p>
        </w:tc>
        <w:tc>
          <w:tcPr>
            <w:tcW w:type="dxa" w:w="1734"/>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Compute from monthly or rolling returns</w:t>
            </w:r>
          </w:p>
        </w:tc>
        <w:tc>
          <w:tcPr>
            <w:tcW w:type="dxa" w:w="289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Above 50% across rolling 3-year windows. Higher is better.</w:t>
            </w:r>
          </w:p>
        </w:tc>
      </w:tr>
      <w:tr>
        <w:trPr>
          <w:cantSplit/>
        </w:trPr>
        <w:tc>
          <w:tcPr>
            <w:tcW w:type="dxa" w:w="183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Quartile ranking stability</w:t>
            </w:r>
          </w:p>
        </w:tc>
        <w:tc>
          <w:tcPr>
            <w:tcW w:type="dxa" w:w="318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How often the fund sits in each quartile of its category year after year.</w:t>
            </w:r>
          </w:p>
        </w:tc>
        <w:tc>
          <w:tcPr>
            <w:tcW w:type="dxa" w:w="1734"/>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Value Research annual quartiles</w:t>
            </w:r>
          </w:p>
        </w:tc>
        <w:tc>
          <w:tcPr>
            <w:tcW w:type="dxa" w:w="2893"/>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Mostly first or second quartile, with few drops to the fourth.</w:t>
            </w:r>
          </w:p>
        </w:tc>
      </w:tr>
    </w:tbl>
    <w:p>
      <w:pPr>
        <w:spacing w:after="60"/>
      </w:pPr>
    </w:p>
    <w:p>
      <w:pPr>
        <w:pStyle w:val="Heading2"/>
      </w:pPr>
      <w:r>
        <w:t xml:space="preserve">Debt-specific</w:t>
      </w:r>
    </w:p>
    <w:p>
      <w:pPr>
        <w:spacing w:after="120" w:line="276"/>
      </w:pPr>
      <w:r>
        <w:t xml:space="preserve">For debt funds, risk comes mainly from credit quality and interest rate sensitivity rather than from volatility statistics. The PRC matrix defines the maximum risk the scheme may take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1"/>
        <w:gridCol w:w="3180"/>
        <w:gridCol w:w="1734"/>
        <w:gridCol w:w="2893"/>
      </w:tblGrid>
      <w:tr>
        <w:trPr>
          <w:tblHeader/>
        </w:trPr>
        <w:tc>
          <w:tcPr>
            <w:tcW w:type="dxa" w:w="1831"/>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Parameter</w:t>
            </w:r>
          </w:p>
        </w:tc>
        <w:tc>
          <w:tcPr>
            <w:tcW w:type="dxa" w:w="318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What it tells you</w:t>
            </w:r>
          </w:p>
        </w:tc>
        <w:tc>
          <w:tcPr>
            <w:tcW w:type="dxa" w:w="1734"/>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Where to find it</w:t>
            </w:r>
          </w:p>
        </w:tc>
        <w:tc>
          <w:tcPr>
            <w:tcW w:type="dxa" w:w="2893"/>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Good sign / red flag</w:t>
            </w:r>
          </w:p>
        </w:tc>
      </w:tr>
      <w:tr>
        <w:trPr>
          <w:cantSplit/>
        </w:trPr>
        <w:tc>
          <w:tcPr>
            <w:tcW w:type="dxa" w:w="183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Credit quality ladder</w:t>
            </w:r>
          </w:p>
        </w:tc>
        <w:tc>
          <w:tcPr>
            <w:tcW w:type="dxa" w:w="318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Split across sovereign, AAA, AA, A and below.</w:t>
            </w:r>
          </w:p>
        </w:tc>
        <w:tc>
          <w:tcPr>
            <w:tcW w:type="dxa" w:w="1734"/>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Factsheet, monthly portfolio</w:t>
            </w:r>
          </w:p>
        </w:tc>
        <w:tc>
          <w:tcPr>
            <w:tcW w:type="dxa" w:w="289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Consistent with the scheme's Potential Risk Class [25] and with your purpose for the fund.</w:t>
            </w:r>
          </w:p>
        </w:tc>
      </w:tr>
      <w:tr>
        <w:trPr>
          <w:cantSplit/>
        </w:trPr>
        <w:tc>
          <w:tcPr>
            <w:tcW w:type="dxa" w:w="183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Potential Risk Class (PRC)</w:t>
            </w:r>
          </w:p>
        </w:tc>
        <w:tc>
          <w:tcPr>
            <w:tcW w:type="dxa" w:w="318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SEBI matrix of the maximum credit risk (A, B, C) and interest rate risk (I, II, III, based on Macaulay duration) the scheme may take [25].</w:t>
            </w:r>
          </w:p>
        </w:tc>
        <w:tc>
          <w:tcPr>
            <w:tcW w:type="dxa" w:w="1734"/>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SID, factsheet</w:t>
            </w:r>
          </w:p>
        </w:tc>
        <w:tc>
          <w:tcPr>
            <w:tcW w:type="dxa" w:w="2893"/>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The PRC cell matches your tolerance. It is the scheme's upper limit, not its current position.</w:t>
            </w:r>
          </w:p>
        </w:tc>
      </w:tr>
      <w:tr>
        <w:trPr>
          <w:cantSplit/>
        </w:trPr>
        <w:tc>
          <w:tcPr>
            <w:tcW w:type="dxa" w:w="183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Issuer concentration</w:t>
            </w:r>
          </w:p>
        </w:tc>
        <w:tc>
          <w:tcPr>
            <w:tcW w:type="dxa" w:w="318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Largest single-issuer and group exposures.</w:t>
            </w:r>
          </w:p>
        </w:tc>
        <w:tc>
          <w:tcPr>
            <w:tcW w:type="dxa" w:w="1734"/>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Monthly portfolio</w:t>
            </w:r>
          </w:p>
        </w:tc>
        <w:tc>
          <w:tcPr>
            <w:tcW w:type="dxa" w:w="289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No large exposure to a single low-rated issuer or group.</w:t>
            </w:r>
          </w:p>
        </w:tc>
      </w:tr>
      <w:tr>
        <w:trPr>
          <w:cantSplit/>
        </w:trPr>
        <w:tc>
          <w:tcPr>
            <w:tcW w:type="dxa" w:w="183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Average maturity</w:t>
            </w:r>
          </w:p>
        </w:tc>
        <w:tc>
          <w:tcPr>
            <w:tcW w:type="dxa" w:w="318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Weighted average time to maturity of holdings.</w:t>
            </w:r>
          </w:p>
        </w:tc>
        <w:tc>
          <w:tcPr>
            <w:tcW w:type="dxa" w:w="1734"/>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Factsheet</w:t>
            </w:r>
          </w:p>
        </w:tc>
        <w:tc>
          <w:tcPr>
            <w:tcW w:type="dxa" w:w="2893"/>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Consistent with the category and your holding period.</w:t>
            </w:r>
          </w:p>
        </w:tc>
      </w:tr>
      <w:tr>
        <w:trPr>
          <w:cantSplit/>
        </w:trPr>
        <w:tc>
          <w:tcPr>
            <w:tcW w:type="dxa" w:w="183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Modified duration</w:t>
            </w:r>
          </w:p>
        </w:tc>
        <w:tc>
          <w:tcPr>
            <w:tcW w:type="dxa" w:w="318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Approximate % change in price for a 1 percentage point change in interest rates.</w:t>
            </w:r>
          </w:p>
        </w:tc>
        <w:tc>
          <w:tcPr>
            <w:tcW w:type="dxa" w:w="1734"/>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Factsheet</w:t>
            </w:r>
          </w:p>
        </w:tc>
        <w:tc>
          <w:tcPr>
            <w:tcW w:type="dxa" w:w="289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Matches your view on rates and your horizon. Higher duration means larger NAV swings.</w:t>
            </w:r>
          </w:p>
        </w:tc>
      </w:tr>
      <w:tr>
        <w:trPr>
          <w:cantSplit/>
        </w:trPr>
        <w:tc>
          <w:tcPr>
            <w:tcW w:type="dxa" w:w="183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Yield to maturity (YTM)</w:t>
            </w:r>
          </w:p>
        </w:tc>
        <w:tc>
          <w:tcPr>
            <w:tcW w:type="dxa" w:w="318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Portfolio yield if held to maturity, before expenses.</w:t>
            </w:r>
          </w:p>
        </w:tc>
        <w:tc>
          <w:tcPr>
            <w:tcW w:type="dxa" w:w="1734"/>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Factsheet</w:t>
            </w:r>
          </w:p>
        </w:tc>
        <w:tc>
          <w:tcPr>
            <w:tcW w:type="dxa" w:w="2893"/>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YTM minus TER is a rough guide to forward return. An unusually high YTM for the category usually means extra credit risk.</w:t>
            </w:r>
          </w:p>
        </w:tc>
      </w:tr>
      <w:tr>
        <w:trPr>
          <w:cantSplit/>
        </w:trPr>
        <w:tc>
          <w:tcPr>
            <w:tcW w:type="dxa" w:w="183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Downgraded or defaulted papers</w:t>
            </w:r>
          </w:p>
        </w:tc>
        <w:tc>
          <w:tcPr>
            <w:tcW w:type="dxa" w:w="318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Any holdings downgraded, defaulted or moved to a segregated portfolio (side pocket).</w:t>
            </w:r>
          </w:p>
        </w:tc>
        <w:tc>
          <w:tcPr>
            <w:tcW w:type="dxa" w:w="1734"/>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AMC disclosures, factsheet notes</w:t>
            </w:r>
          </w:p>
        </w:tc>
        <w:tc>
          <w:tcPr>
            <w:tcW w:type="dxa" w:w="289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None held, or handled transparently with a segregated portfolio.</w:t>
            </w:r>
          </w:p>
        </w:tc>
      </w:tr>
    </w:tbl>
    <w:p>
      <w:pPr>
        <w:spacing w:after="60"/>
      </w:pPr>
    </w:p>
    <w:p>
      <w:pPr>
        <w:pStyle w:val="Heading2"/>
      </w:pPr>
      <w:r>
        <w:t xml:space="preserve">Tax and liquidity</w:t>
      </w:r>
    </w:p>
    <w:p>
      <w:pPr>
        <w:spacing w:after="120" w:line="276"/>
      </w:pPr>
      <w:r>
        <w:t xml:space="preserve">Tax changes the return you actually keep. Liquidity decides whether you, and the fund, can exit when needed. Rates below are for resident individuals; surcharge and cess apply on top.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1"/>
        <w:gridCol w:w="3180"/>
        <w:gridCol w:w="1734"/>
        <w:gridCol w:w="2893"/>
      </w:tblGrid>
      <w:tr>
        <w:trPr>
          <w:tblHeader/>
        </w:trPr>
        <w:tc>
          <w:tcPr>
            <w:tcW w:type="dxa" w:w="1831"/>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Parameter</w:t>
            </w:r>
          </w:p>
        </w:tc>
        <w:tc>
          <w:tcPr>
            <w:tcW w:type="dxa" w:w="318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What it tells you</w:t>
            </w:r>
          </w:p>
        </w:tc>
        <w:tc>
          <w:tcPr>
            <w:tcW w:type="dxa" w:w="1734"/>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Where to find it</w:t>
            </w:r>
          </w:p>
        </w:tc>
        <w:tc>
          <w:tcPr>
            <w:tcW w:type="dxa" w:w="2893"/>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Good sign / red flag</w:t>
            </w:r>
          </w:p>
        </w:tc>
      </w:tr>
      <w:tr>
        <w:trPr>
          <w:cantSplit/>
        </w:trPr>
        <w:tc>
          <w:tcPr>
            <w:tcW w:type="dxa" w:w="183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Tax classification</w:t>
            </w:r>
          </w:p>
        </w:tc>
        <w:tc>
          <w:tcPr>
            <w:tcW w:type="dxa" w:w="318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Equity-oriented (at least 65% in domestic equity), specified mutual fund, or other. The class sets the tax rate [24].</w:t>
            </w:r>
          </w:p>
        </w:tc>
        <w:tc>
          <w:tcPr>
            <w:tcW w:type="dxa" w:w="1734"/>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SID, AMC tax note</w:t>
            </w:r>
          </w:p>
        </w:tc>
        <w:tc>
          <w:tcPr>
            <w:tcW w:type="dxa" w:w="289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Know which class the scheme falls into before comparing post-tax returns.</w:t>
            </w:r>
          </w:p>
        </w:tc>
      </w:tr>
      <w:tr>
        <w:trPr>
          <w:cantSplit/>
        </w:trPr>
        <w:tc>
          <w:tcPr>
            <w:tcW w:type="dxa" w:w="183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Capital gains rates</w:t>
            </w:r>
          </w:p>
        </w:tc>
        <w:tc>
          <w:tcPr>
            <w:tcW w:type="dxa" w:w="318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Equity-oriented: STCG 20% (held 12 months or less); LTCG 12.5% on gains above Rs 1.25 lakh a year (rates from 23 Jul 2024). Specified mutual fund units bought on or after 1 Apr 2023: taxed at slab rate [24].</w:t>
            </w:r>
          </w:p>
        </w:tc>
        <w:tc>
          <w:tcPr>
            <w:tcW w:type="dxa" w:w="1734"/>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Income-tax Act; AMC tax note</w:t>
            </w:r>
          </w:p>
        </w:tc>
        <w:tc>
          <w:tcPr>
            <w:tcW w:type="dxa" w:w="2893"/>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Factor tax into the holding period and switch decisions. Every switch is a redemption and a taxable event.</w:t>
            </w:r>
          </w:p>
        </w:tc>
      </w:tr>
      <w:tr>
        <w:trPr>
          <w:cantSplit/>
        </w:trPr>
        <w:tc>
          <w:tcPr>
            <w:tcW w:type="dxa" w:w="183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IDCW taxation</w:t>
            </w:r>
          </w:p>
        </w:tc>
        <w:tc>
          <w:tcPr>
            <w:tcW w:type="dxa" w:w="318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Dividends (IDCW payouts) are taxed at your slab rate.</w:t>
            </w:r>
          </w:p>
        </w:tc>
        <w:tc>
          <w:tcPr>
            <w:tcW w:type="dxa" w:w="1734"/>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AMC tax note</w:t>
            </w:r>
          </w:p>
        </w:tc>
        <w:tc>
          <w:tcPr>
            <w:tcW w:type="dxa" w:w="289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Prefer the growth option unless you need cash flow.</w:t>
            </w:r>
          </w:p>
        </w:tc>
      </w:tr>
      <w:tr>
        <w:trPr>
          <w:cantSplit/>
        </w:trPr>
        <w:tc>
          <w:tcPr>
            <w:tcW w:type="dxa" w:w="183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ELSS deduction</w:t>
            </w:r>
          </w:p>
        </w:tc>
        <w:tc>
          <w:tcPr>
            <w:tcW w:type="dxa" w:w="318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Up to Rs 1.5 lakh a year, under the old tax regime only. This is section 80C of the 1961 Act, renumbered as section 123 of the Income-tax Act, 2025 from 1 Apr 2026 [24].</w:t>
            </w:r>
          </w:p>
        </w:tc>
        <w:tc>
          <w:tcPr>
            <w:tcW w:type="dxa" w:w="1734"/>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Income-tax Act</w:t>
            </w:r>
          </w:p>
        </w:tc>
        <w:tc>
          <w:tcPr>
            <w:tcW w:type="dxa" w:w="2893"/>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Only relevant if you file under the old regime.</w:t>
            </w:r>
          </w:p>
        </w:tc>
      </w:tr>
      <w:tr>
        <w:trPr>
          <w:cantSplit/>
        </w:trPr>
        <w:tc>
          <w:tcPr>
            <w:tcW w:type="dxa" w:w="183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Redemption timeline</w:t>
            </w:r>
          </w:p>
        </w:tc>
        <w:tc>
          <w:tcPr>
            <w:tcW w:type="dxa" w:w="318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Working days from redemption request to money in your account.</w:t>
            </w:r>
          </w:p>
        </w:tc>
        <w:tc>
          <w:tcPr>
            <w:tcW w:type="dxa" w:w="1734"/>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SID, KIM</w:t>
            </w:r>
          </w:p>
        </w:tc>
        <w:tc>
          <w:tcPr>
            <w:tcW w:type="dxa" w:w="289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Fits your liquidity needs. Liquid and overnight funds are fastest.</w:t>
            </w:r>
          </w:p>
        </w:tc>
      </w:tr>
      <w:tr>
        <w:trPr>
          <w:cantSplit/>
        </w:trPr>
        <w:tc>
          <w:tcPr>
            <w:tcW w:type="dxa" w:w="183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Underlying portfolio liquidity</w:t>
            </w:r>
          </w:p>
        </w:tc>
        <w:tc>
          <w:tcPr>
            <w:tcW w:type="dxa" w:w="318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For small and mid cap funds, the days needed to sell 25% and 50% of the portfolio pro rata, from the AMFI stress test disclosures [12].</w:t>
            </w:r>
          </w:p>
        </w:tc>
        <w:tc>
          <w:tcPr>
            <w:tcW w:type="dxa" w:w="1734"/>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AMC website (stress test disclosure)</w:t>
            </w:r>
          </w:p>
        </w:tc>
        <w:tc>
          <w:tcPr>
            <w:tcW w:type="dxa" w:w="2893"/>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Liquidation time in line with or better than peers, and not rising sharply.</w:t>
            </w:r>
          </w:p>
        </w:tc>
      </w:tr>
    </w:tbl>
    <w:p>
      <w:pPr>
        <w:spacing w:after="60"/>
      </w:pPr>
    </w:p>
    <w:p>
      <w:pPr>
        <w:spacing w:after="120" w:line="276"/>
      </w:pPr>
      <w:r>
        <w:t xml:space="preserve">The checklist contains 67 parameters. All of them appear, in the same groups, on the "Scorecard" sheet of the companion workbook.</w:t>
      </w:r>
    </w:p>
    <w:p>
      <w:pPr>
        <w:pStyle w:val="Heading3"/>
      </w:pPr>
      <w:r>
        <w:t xml:space="preserve">Formulas used in the risk group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4626"/>
        <w:gridCol w:w="3085"/>
      </w:tblGrid>
      <w:tr>
        <w:trPr>
          <w:tblHeader/>
        </w:trPr>
        <w:tc>
          <w:tcPr>
            <w:tcW w:type="dxa" w:w="1927"/>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Metric</w:t>
            </w:r>
          </w:p>
        </w:tc>
        <w:tc>
          <w:tcPr>
            <w:tcW w:type="dxa" w:w="4626"/>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Formula</w:t>
            </w:r>
          </w:p>
        </w:tc>
        <w:tc>
          <w:tcPr>
            <w:tcW w:type="dxa" w:w="3085"/>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Read it as</w:t>
            </w:r>
          </w:p>
        </w:tc>
      </w:tr>
      <w:tr>
        <w:trPr>
          <w:cantSplit/>
        </w:trPr>
        <w:tc>
          <w:tcPr>
            <w:tcW w:type="dxa" w:w="1927"/>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Sharpe ratio</w:t>
            </w:r>
          </w:p>
        </w:tc>
        <w:tc>
          <w:tcPr>
            <w:tcW w:type="dxa" w:w="4626"/>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(Rp minus Rf) / standard deviation of Rp</w:t>
            </w:r>
          </w:p>
        </w:tc>
        <w:tc>
          <w:tcPr>
            <w:tcW w:type="dxa" w:w="3085"/>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Return earned per unit of total risk</w:t>
            </w:r>
          </w:p>
        </w:tc>
      </w:tr>
      <w:tr>
        <w:trPr>
          <w:cantSplit/>
        </w:trPr>
        <w:tc>
          <w:tcPr>
            <w:tcW w:type="dxa" w:w="1927"/>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Sortino ratio</w:t>
            </w:r>
          </w:p>
        </w:tc>
        <w:tc>
          <w:tcPr>
            <w:tcW w:type="dxa" w:w="4626"/>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(Rp minus Rf) / downside deviation of Rp</w:t>
            </w:r>
          </w:p>
        </w:tc>
        <w:tc>
          <w:tcPr>
            <w:tcW w:type="dxa" w:w="3085"/>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Return earned per unit of harmful risk</w:t>
            </w:r>
          </w:p>
        </w:tc>
      </w:tr>
      <w:tr>
        <w:trPr>
          <w:cantSplit/>
        </w:trPr>
        <w:tc>
          <w:tcPr>
            <w:tcW w:type="dxa" w:w="1927"/>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Treynor ratio</w:t>
            </w:r>
          </w:p>
        </w:tc>
        <w:tc>
          <w:tcPr>
            <w:tcW w:type="dxa" w:w="4626"/>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(Rp minus Rf) / beta</w:t>
            </w:r>
          </w:p>
        </w:tc>
        <w:tc>
          <w:tcPr>
            <w:tcW w:type="dxa" w:w="3085"/>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Return earned per unit of market risk</w:t>
            </w:r>
          </w:p>
        </w:tc>
      </w:tr>
      <w:tr>
        <w:trPr>
          <w:cantSplit/>
        </w:trPr>
        <w:tc>
          <w:tcPr>
            <w:tcW w:type="dxa" w:w="1927"/>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Jensen's alpha</w:t>
            </w:r>
          </w:p>
        </w:tc>
        <w:tc>
          <w:tcPr>
            <w:tcW w:type="dxa" w:w="4626"/>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Rp minus [Rf + beta x (Rm minus Rf)]</w:t>
            </w:r>
          </w:p>
        </w:tc>
        <w:tc>
          <w:tcPr>
            <w:tcW w:type="dxa" w:w="3085"/>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Return above what beta alone predicts</w:t>
            </w:r>
          </w:p>
        </w:tc>
      </w:tr>
      <w:tr>
        <w:trPr>
          <w:cantSplit/>
        </w:trPr>
        <w:tc>
          <w:tcPr>
            <w:tcW w:type="dxa" w:w="1927"/>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Upside capture</w:t>
            </w:r>
          </w:p>
        </w:tc>
        <w:tc>
          <w:tcPr>
            <w:tcW w:type="dxa" w:w="4626"/>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Fund return in up-market periods / benchmark return in those periods x 100</w:t>
            </w:r>
          </w:p>
        </w:tc>
        <w:tc>
          <w:tcPr>
            <w:tcW w:type="dxa" w:w="3085"/>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Share of rallies captured</w:t>
            </w:r>
          </w:p>
        </w:tc>
      </w:tr>
      <w:tr>
        <w:trPr>
          <w:cantSplit/>
        </w:trPr>
        <w:tc>
          <w:tcPr>
            <w:tcW w:type="dxa" w:w="1927"/>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Downside capture</w:t>
            </w:r>
          </w:p>
        </w:tc>
        <w:tc>
          <w:tcPr>
            <w:tcW w:type="dxa" w:w="4626"/>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Fund return in down-market periods / benchmark return in those periods x 100</w:t>
            </w:r>
          </w:p>
        </w:tc>
        <w:tc>
          <w:tcPr>
            <w:tcW w:type="dxa" w:w="3085"/>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Share of falls suffered</w:t>
            </w:r>
          </w:p>
        </w:tc>
      </w:tr>
      <w:tr>
        <w:trPr>
          <w:cantSplit/>
        </w:trPr>
        <w:tc>
          <w:tcPr>
            <w:tcW w:type="dxa" w:w="1927"/>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Batting average</w:t>
            </w:r>
          </w:p>
        </w:tc>
        <w:tc>
          <w:tcPr>
            <w:tcW w:type="dxa" w:w="4626"/>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Periods where fund beat benchmark / total periods x 100</w:t>
            </w:r>
          </w:p>
        </w:tc>
        <w:tc>
          <w:tcPr>
            <w:tcW w:type="dxa" w:w="3085"/>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How often the manager wins</w:t>
            </w:r>
          </w:p>
        </w:tc>
      </w:tr>
    </w:tbl>
    <w:p>
      <w:pPr>
        <w:spacing w:after="120" w:before="80"/>
      </w:pPr>
      <w:r>
        <w:t xml:space="preserve">Rp is the fund return, Rm the benchmark TRI return, and Rf the risk-free rate (commonly a 91-day T-bill yield or an overnight rate such as MIBOR; data providers differ, so check which one a source uses) [14][16].</w:t>
      </w:r>
    </w:p>
    <w:p>
      <w:pPr>
        <w:pStyle w:val="Heading1"/>
        <w:pageBreakBefore/>
      </w:pPr>
      <w:r>
        <w:t xml:space="preserve">2. Benchmark selection guide</w:t>
      </w:r>
    </w:p>
    <w:p>
      <w:pPr>
        <w:spacing w:after="120" w:line="276"/>
      </w:pPr>
      <w:r>
        <w:t xml:space="preserve">A benchmark is the yardstick for every relative number in Section 1. With the wrong one, a mediocre mid cap fund can look brilliant next to a large cap index, or a good value fund can look poor next to a growth-heavy index. Follow the six steps below in order.</w:t>
      </w:r>
    </w:p>
    <w:p>
      <w:pPr>
        <w:pStyle w:val="Heading2"/>
      </w:pPr>
      <w:r>
        <w:t xml:space="preserve">Step 1. Use the Total Return Index, never the Price Return Index</w:t>
      </w:r>
    </w:p>
    <w:p>
      <w:pPr>
        <w:spacing w:after="120" w:line="276"/>
      </w:pPr>
      <w:r>
        <w:t xml:space="preserve">A Price Return Index (PRI) tracks only changes in share prices. A Total Return Index (TRI) also assumes that every dividend is reinvested. A mutual fund receives dividends from the stocks it holds and adds them to NAV, so comparing a fund with a PRI flatters the fund by roughly the index's dividend yield every year.</w:t>
      </w:r>
    </w:p>
    <w:p>
      <w:pPr>
        <w:spacing w:after="120" w:line="276"/>
      </w:pPr>
      <w:r>
        <w:t xml:space="preserve">SEBI closed this gap through circular SEBI/HO/IMD/DF3/CIR/P/2018/04 of 4 January 2018. From </w:t>
      </w:r>
      <w:r>
        <w:rPr>
          <w:b/>
          <w:bCs/>
        </w:rPr>
        <w:t xml:space="preserve">1 February 2018</w:t>
      </w:r>
      <w:r>
        <w:t xml:space="preserve">, all schemes must benchmark performance to the Total Return variant of their chosen index. Where a TRI does not exist for an earlier period, AMCs must use a composite of PRI and TRI until TRI data begins [1]. The 2021 two-tier circular repeats that every benchmark used must be a TRI [2].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8"/>
        <w:gridCol w:w="3469"/>
        <w:gridCol w:w="3471"/>
      </w:tblGrid>
      <w:tr>
        <w:trPr>
          <w:tblHeader/>
        </w:trPr>
        <w:tc>
          <w:tcPr>
            <w:tcW w:type="dxa" w:w="2698"/>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Feature</w:t>
            </w:r>
          </w:p>
        </w:tc>
        <w:tc>
          <w:tcPr>
            <w:tcW w:type="dxa" w:w="3469"/>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Price Return Index (PRI)</w:t>
            </w:r>
          </w:p>
        </w:tc>
        <w:tc>
          <w:tcPr>
            <w:tcW w:type="dxa" w:w="3471"/>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Total Return Index (TRI)</w:t>
            </w:r>
          </w:p>
        </w:tc>
      </w:tr>
      <w:tr>
        <w:trPr>
          <w:cantSplit/>
        </w:trPr>
        <w:tc>
          <w:tcPr>
            <w:tcW w:type="dxa" w:w="2698"/>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What it includes</w:t>
            </w:r>
          </w:p>
        </w:tc>
        <w:tc>
          <w:tcPr>
            <w:tcW w:type="dxa" w:w="3469"/>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Price changes only</w:t>
            </w:r>
          </w:p>
        </w:tc>
        <w:tc>
          <w:tcPr>
            <w:tcW w:type="dxa" w:w="347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Price changes plus reinvested dividends</w:t>
            </w:r>
          </w:p>
        </w:tc>
      </w:tr>
      <w:tr>
        <w:trPr>
          <w:cantSplit/>
        </w:trPr>
        <w:tc>
          <w:tcPr>
            <w:tcW w:type="dxa" w:w="2698"/>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Matches how a fund earns</w:t>
            </w:r>
          </w:p>
        </w:tc>
        <w:tc>
          <w:tcPr>
            <w:tcW w:type="dxa" w:w="3469"/>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No. The fund keeps dividends in NAV</w:t>
            </w:r>
          </w:p>
        </w:tc>
        <w:tc>
          <w:tcPr>
            <w:tcW w:type="dxa" w:w="347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Yes</w:t>
            </w:r>
          </w:p>
        </w:tc>
      </w:tr>
      <w:tr>
        <w:trPr>
          <w:cantSplit/>
        </w:trPr>
        <w:tc>
          <w:tcPr>
            <w:tcW w:type="dxa" w:w="2698"/>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Effect on fund vs benchmark comparison</w:t>
            </w:r>
          </w:p>
        </w:tc>
        <w:tc>
          <w:tcPr>
            <w:tcW w:type="dxa" w:w="3469"/>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Overstates fund outperformance by about the index dividend yield each year</w:t>
            </w:r>
          </w:p>
        </w:tc>
        <w:tc>
          <w:tcPr>
            <w:tcW w:type="dxa" w:w="347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Like-for-like comparison</w:t>
            </w:r>
          </w:p>
        </w:tc>
      </w:tr>
      <w:tr>
        <w:trPr>
          <w:cantSplit/>
        </w:trPr>
        <w:tc>
          <w:tcPr>
            <w:tcW w:type="dxa" w:w="2698"/>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Regulatory status</w:t>
            </w:r>
          </w:p>
        </w:tc>
        <w:tc>
          <w:tcPr>
            <w:tcW w:type="dxa" w:w="3469"/>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Not allowed for performance disclosure since 1 Feb 2018 [1]</w:t>
            </w:r>
          </w:p>
        </w:tc>
        <w:tc>
          <w:tcPr>
            <w:tcW w:type="dxa" w:w="347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Mandatory [1][2]</w:t>
            </w:r>
          </w:p>
        </w:tc>
      </w:tr>
      <w:tr>
        <w:trPr>
          <w:cantSplit/>
        </w:trPr>
        <w:tc>
          <w:tcPr>
            <w:tcW w:type="dxa" w:w="2698"/>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What to check</w:t>
            </w:r>
          </w:p>
        </w:tc>
        <w:tc>
          <w:tcPr>
            <w:tcW w:type="dxa" w:w="3469"/>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If a fact sheet, advisor deck or website compares with "Nifty 50" without "TRI", treat the comparison as invalid</w:t>
            </w:r>
          </w:p>
        </w:tc>
        <w:tc>
          <w:tcPr>
            <w:tcW w:type="dxa" w:w="347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Look for "TRI" in the benchmark name</w:t>
            </w:r>
          </w:p>
        </w:tc>
      </w:tr>
    </w:tbl>
    <w:p>
      <w:pPr>
        <w:spacing w:after="60"/>
      </w:pPr>
    </w:p>
    <w:p>
      <w:pPr>
        <w:pStyle w:val="Heading2"/>
      </w:pPr>
      <w:r>
        <w:t xml:space="preserve">Step 2. Understand SEBI's two-tier benchmark system</w:t>
      </w:r>
    </w:p>
    <w:p>
      <w:pPr>
        <w:spacing w:after="120" w:line="276"/>
      </w:pPr>
      <w:r>
        <w:t xml:space="preserve">SEBI circular SEBI/HO/IMD/IMD-II DOF3/P/CIR/2021/652 of </w:t>
      </w:r>
      <w:r>
        <w:rPr>
          <w:b/>
          <w:bCs/>
        </w:rPr>
        <w:t xml:space="preserve">27 October 2021</w:t>
      </w:r>
      <w:r>
        <w:t xml:space="preserve"> introduced a two-tier structure [2]. AMFI then published the list of first tier benchmarks, and the framework applied from 1 December 2021 for some categories and 1 January 2022 for others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3758"/>
        <w:gridCol w:w="3760"/>
      </w:tblGrid>
      <w:tr>
        <w:trPr>
          <w:tblHeader/>
        </w:trPr>
        <w:tc>
          <w:tcPr>
            <w:tcW w:type="dxa" w:w="212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p>
        </w:tc>
        <w:tc>
          <w:tcPr>
            <w:tcW w:type="dxa" w:w="3758"/>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Tier 1 benchmark</w:t>
            </w:r>
          </w:p>
        </w:tc>
        <w:tc>
          <w:tcPr>
            <w:tcW w:type="dxa" w:w="376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Tier 2 benchmark</w:t>
            </w:r>
          </w:p>
        </w:tc>
      </w:tr>
      <w:tr>
        <w:trPr>
          <w:cantSplit/>
        </w:trPr>
        <w:tc>
          <w:tcPr>
            <w:tcW w:type="dxa" w:w="212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Purpose</w:t>
            </w:r>
          </w:p>
        </w:tc>
        <w:tc>
          <w:tcPr>
            <w:tcW w:type="dxa" w:w="3758"/>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Reflects the scheme's </w:t>
            </w:r>
            <w:r>
              <w:rPr>
                <w:b w:val="false"/>
                <w:bCs w:val="false"/>
                <w:sz w:val="17"/>
                <w:szCs w:val="17"/>
              </w:rPr>
              <w:t xml:space="preserve">category</w:t>
            </w:r>
          </w:p>
        </w:tc>
        <w:tc>
          <w:tcPr>
            <w:tcW w:type="dxa" w:w="376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Reflects the fund manager's </w:t>
            </w:r>
            <w:r>
              <w:rPr>
                <w:b w:val="false"/>
                <w:bCs w:val="false"/>
                <w:sz w:val="17"/>
                <w:szCs w:val="17"/>
              </w:rPr>
              <w:t xml:space="preserve">investment style or strategy</w:t>
            </w:r>
            <w:r>
              <w:rPr>
                <w:b w:val="false"/>
                <w:bCs w:val="false"/>
                <w:sz w:val="17"/>
                <w:szCs w:val="17"/>
              </w:rPr>
              <w:t xml:space="preserve"> within the category</w:t>
            </w:r>
          </w:p>
        </w:tc>
      </w:tr>
      <w:tr>
        <w:trPr>
          <w:cantSplit/>
        </w:trPr>
        <w:tc>
          <w:tcPr>
            <w:tcW w:type="dxa" w:w="212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Who decides</w:t>
            </w:r>
          </w:p>
        </w:tc>
        <w:tc>
          <w:tcPr>
            <w:tcW w:type="dxa" w:w="3758"/>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Chosen from the list AMFI publishes for each category [3]</w:t>
            </w:r>
          </w:p>
        </w:tc>
        <w:tc>
          <w:tcPr>
            <w:tcW w:type="dxa" w:w="376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Chosen by the AMC [2]</w:t>
            </w:r>
          </w:p>
        </w:tc>
      </w:tr>
      <w:tr>
        <w:trPr>
          <w:cantSplit/>
        </w:trPr>
        <w:tc>
          <w:tcPr>
            <w:tcW w:type="dxa" w:w="212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Mandatory?</w:t>
            </w:r>
          </w:p>
        </w:tc>
        <w:tc>
          <w:tcPr>
            <w:tcW w:type="dxa" w:w="3758"/>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Yes</w:t>
            </w:r>
          </w:p>
        </w:tc>
        <w:tc>
          <w:tcPr>
            <w:tcW w:type="dxa" w:w="376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Optional [2]</w:t>
            </w:r>
          </w:p>
        </w:tc>
      </w:tr>
      <w:tr>
        <w:trPr>
          <w:cantSplit/>
        </w:trPr>
        <w:tc>
          <w:tcPr>
            <w:tcW w:type="dxa" w:w="212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Comparable across AMCs?</w:t>
            </w:r>
          </w:p>
        </w:tc>
        <w:tc>
          <w:tcPr>
            <w:tcW w:type="dxa" w:w="3758"/>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Yes. Every fund in a category faces the same or an equivalent index</w:t>
            </w:r>
          </w:p>
        </w:tc>
        <w:tc>
          <w:tcPr>
            <w:tcW w:type="dxa" w:w="376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Not necessarily. Each AMC may pick a different index</w:t>
            </w:r>
          </w:p>
        </w:tc>
      </w:tr>
      <w:tr>
        <w:trPr>
          <w:cantSplit/>
        </w:trPr>
        <w:tc>
          <w:tcPr>
            <w:tcW w:type="dxa" w:w="212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Debt schemes</w:t>
            </w:r>
          </w:p>
        </w:tc>
        <w:tc>
          <w:tcPr>
            <w:tcW w:type="dxa" w:w="3758"/>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Selected by the scheme's Potential Risk Class (PRC) cell [25]</w:t>
            </w:r>
          </w:p>
        </w:tc>
        <w:tc>
          <w:tcPr>
            <w:tcW w:type="dxa" w:w="376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Optional, as for equity</w:t>
            </w:r>
          </w:p>
        </w:tc>
      </w:tr>
      <w:tr>
        <w:trPr>
          <w:cantSplit/>
        </w:trPr>
        <w:tc>
          <w:tcPr>
            <w:tcW w:type="dxa" w:w="212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Use it to answer</w:t>
            </w:r>
          </w:p>
        </w:tc>
        <w:tc>
          <w:tcPr>
            <w:tcW w:type="dxa" w:w="3758"/>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"Is this fund worth owning over a cheap category index fund?"</w:t>
            </w:r>
          </w:p>
        </w:tc>
        <w:tc>
          <w:tcPr>
            <w:tcW w:type="dxa" w:w="376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"Is the manager good at the specific style they claim?"</w:t>
            </w:r>
          </w:p>
        </w:tc>
      </w:tr>
      <w:tr>
        <w:trPr>
          <w:cantSplit/>
        </w:trPr>
        <w:tc>
          <w:tcPr>
            <w:tcW w:type="dxa" w:w="212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Must be TRI?</w:t>
            </w:r>
          </w:p>
        </w:tc>
        <w:tc>
          <w:tcPr>
            <w:tcW w:type="dxa" w:w="3758"/>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Yes [2]</w:t>
            </w:r>
          </w:p>
        </w:tc>
        <w:tc>
          <w:tcPr>
            <w:tcW w:type="dxa" w:w="376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Yes [2]</w:t>
            </w:r>
          </w:p>
        </w:tc>
      </w:tr>
    </w:tbl>
    <w:p>
      <w:pPr>
        <w:spacing w:after="60"/>
      </w:pPr>
    </w:p>
    <w:p>
      <w:pPr>
        <w:spacing w:after="120" w:line="276"/>
      </w:pPr>
      <w:r>
        <w:rPr>
          <w:b/>
          <w:bCs/>
        </w:rPr>
        <w:t xml:space="preserve">Practical rule.</w:t>
      </w:r>
      <w:r>
        <w:t xml:space="preserve"> Judge every fund first against Tier 1, because that is the cheap alternative you give up by choosing an active fund. Use Tier 2 to understand whether the manager is skilled at the strategy they describe. A fund that beats only its Tier 2 benchmark, which the AMC chose itself, has not yet proved its worth to you.</w:t>
      </w:r>
    </w:p>
    <w:p>
      <w:pPr>
        <w:spacing w:after="120" w:line="276"/>
      </w:pPr>
      <w:r>
        <w:t xml:space="preserve">Benchmarks shown in fact sheets reflect the AMC's current filing. After the 2026 categorisation circular [4], check the current SID for any change in category or benchmark before analysis.</w:t>
      </w:r>
    </w:p>
    <w:p>
      <w:pPr>
        <w:pStyle w:val="Heading2"/>
      </w:pPr>
      <w:r>
        <w:t xml:space="preserve">Step 3. Read the three SID factors that determine benchmark fit</w:t>
      </w:r>
    </w:p>
    <w:p>
      <w:pPr>
        <w:spacing w:after="120" w:line="276"/>
      </w:pPr>
      <w:r>
        <w:t xml:space="preserve">The Tier 1 benchmark comes from the category. Whether it actually fits a particular scheme, and which Tier 2 or custom benchmark to use, depends on three parts of the Scheme Information Document. SIDs usually include a short benchmark justification as well, explaining why the index is consistent with the objective and strategy.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927"/>
        <w:gridCol w:w="2891"/>
        <w:gridCol w:w="2893"/>
      </w:tblGrid>
      <w:tr>
        <w:trPr>
          <w:tblHeader/>
        </w:trPr>
        <w:tc>
          <w:tcPr>
            <w:tcW w:type="dxa" w:w="1927"/>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SID factor</w:t>
            </w:r>
          </w:p>
        </w:tc>
        <w:tc>
          <w:tcPr>
            <w:tcW w:type="dxa" w:w="1927"/>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Where in the SID</w:t>
            </w:r>
          </w:p>
        </w:tc>
        <w:tc>
          <w:tcPr>
            <w:tcW w:type="dxa" w:w="2891"/>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What to look for</w:t>
            </w:r>
          </w:p>
        </w:tc>
        <w:tc>
          <w:tcPr>
            <w:tcW w:type="dxa" w:w="2893"/>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Benchmark implication</w:t>
            </w:r>
          </w:p>
        </w:tc>
      </w:tr>
      <w:tr>
        <w:trPr>
          <w:cantSplit/>
        </w:trPr>
        <w:tc>
          <w:tcPr>
            <w:tcW w:type="dxa" w:w="1927"/>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1. Investment objective</w:t>
            </w:r>
          </w:p>
        </w:tc>
        <w:tc>
          <w:tcPr>
            <w:tcW w:type="dxa" w:w="1927"/>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Section on investment objective</w:t>
            </w:r>
          </w:p>
        </w:tc>
        <w:tc>
          <w:tcPr>
            <w:tcW w:type="dxa" w:w="289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The return source the scheme targets (growth, value, dividends, capital protection, income) and the market segment</w:t>
            </w:r>
          </w:p>
        </w:tc>
        <w:tc>
          <w:tcPr>
            <w:tcW w:type="dxa" w:w="289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The benchmark must capture the same market segment and return source</w:t>
            </w:r>
          </w:p>
        </w:tc>
      </w:tr>
      <w:tr>
        <w:trPr>
          <w:cantSplit/>
        </w:trPr>
        <w:tc>
          <w:tcPr>
            <w:tcW w:type="dxa" w:w="1927"/>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2. Asset allocation pattern</w:t>
            </w:r>
          </w:p>
        </w:tc>
        <w:tc>
          <w:tcPr>
            <w:tcW w:type="dxa" w:w="1927"/>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Asset allocation table with minimum and maximum percentages</w:t>
            </w:r>
          </w:p>
        </w:tc>
        <w:tc>
          <w:tcPr>
            <w:tcW w:type="dxa" w:w="289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Equity, debt, cash and overseas ranges; market cap minimums</w:t>
            </w:r>
          </w:p>
        </w:tc>
        <w:tc>
          <w:tcPr>
            <w:tcW w:type="dxa" w:w="2893"/>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A fund with up to 35% in mid caps should not be judged only against a pure large cap index; hybrid funds need a composite benchmark</w:t>
            </w:r>
          </w:p>
        </w:tc>
      </w:tr>
      <w:tr>
        <w:trPr>
          <w:cantSplit/>
        </w:trPr>
        <w:tc>
          <w:tcPr>
            <w:tcW w:type="dxa" w:w="1927"/>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3. Investment strategy</w:t>
            </w:r>
          </w:p>
        </w:tc>
        <w:tc>
          <w:tcPr>
            <w:tcW w:type="dxa" w:w="1927"/>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Section on where and how the scheme invests</w:t>
            </w:r>
          </w:p>
        </w:tc>
        <w:tc>
          <w:tcPr>
            <w:tcW w:type="dxa" w:w="289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Style (value, growth, quality, momentum), concentration, sector limits, overseas exposure</w:t>
            </w:r>
          </w:p>
        </w:tc>
        <w:tc>
          <w:tcPr>
            <w:tcW w:type="dxa" w:w="289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Points to the right Tier 2 benchmark, such as a value index for a value fund</w:t>
            </w:r>
          </w:p>
        </w:tc>
      </w:tr>
    </w:tbl>
    <w:p>
      <w:pPr>
        <w:spacing w:after="60"/>
      </w:pPr>
    </w:p>
    <w:p>
      <w:pPr>
        <w:pStyle w:val="Heading2"/>
      </w:pPr>
      <w:r>
        <w:t xml:space="preserve">Step 4. Map the category to its benchmark</w:t>
      </w:r>
    </w:p>
    <w:p>
      <w:pPr>
        <w:spacing w:after="120" w:line="276"/>
      </w:pPr>
      <w:r>
        <w:t xml:space="preserve">The table below gives the AMFI Tier 1 benchmarks for the main categories [3]. The category definitions follow the SEBI framework as revised on 26 February 2026 [4]: large caps are the 1st to 100th companies by full market capitalisation, mid caps are the 101st to 250th, and small caps are the 251st onwards. BSE indices dropped the "S&amp;P" prefix from their names in 2024; older documents may still show "S&amp;P BSE".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5"/>
        <w:gridCol w:w="2313"/>
        <w:gridCol w:w="1927"/>
        <w:gridCol w:w="1638"/>
        <w:gridCol w:w="2315"/>
      </w:tblGrid>
      <w:tr>
        <w:trPr>
          <w:tblHeader/>
        </w:trPr>
        <w:tc>
          <w:tcPr>
            <w:tcW w:type="dxa" w:w="1445"/>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6"/>
                <w:szCs w:val="16"/>
              </w:rPr>
              <w:t xml:space="preserve">Category</w:t>
            </w:r>
          </w:p>
        </w:tc>
        <w:tc>
          <w:tcPr>
            <w:tcW w:type="dxa" w:w="2313"/>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6"/>
                <w:szCs w:val="16"/>
              </w:rPr>
              <w:t xml:space="preserve">SEBI mandate (summary)</w:t>
            </w:r>
          </w:p>
        </w:tc>
        <w:tc>
          <w:tcPr>
            <w:tcW w:type="dxa" w:w="1927"/>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6"/>
                <w:szCs w:val="16"/>
              </w:rPr>
              <w:t xml:space="preserve">Tier 1 benchmark (NSE)</w:t>
            </w:r>
          </w:p>
        </w:tc>
        <w:tc>
          <w:tcPr>
            <w:tcW w:type="dxa" w:w="1638"/>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6"/>
                <w:szCs w:val="16"/>
              </w:rPr>
              <w:t xml:space="preserve">Tier 1 alternative (BSE)</w:t>
            </w:r>
          </w:p>
        </w:tc>
        <w:tc>
          <w:tcPr>
            <w:tcW w:type="dxa" w:w="2315"/>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6"/>
                <w:szCs w:val="16"/>
              </w:rPr>
              <w:t xml:space="preserve">Notes</w:t>
            </w:r>
          </w:p>
        </w:tc>
      </w:tr>
      <w:tr>
        <w:trPr>
          <w:cantSplit/>
        </w:trPr>
        <w:tc>
          <w:tcPr>
            <w:tcW w:type="dxa" w:w="1445"/>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6"/>
                <w:szCs w:val="16"/>
              </w:rPr>
              <w:t xml:space="preserve">Large Cap</w:t>
            </w:r>
          </w:p>
        </w:tc>
        <w:tc>
          <w:tcPr>
            <w:tcW w:type="dxa" w:w="231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6"/>
                <w:szCs w:val="16"/>
              </w:rPr>
              <w:t xml:space="preserve">Min 80% in large caps (top 100) [4]</w:t>
            </w:r>
          </w:p>
        </w:tc>
        <w:tc>
          <w:tcPr>
            <w:tcW w:type="dxa" w:w="1927"/>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6"/>
                <w:szCs w:val="16"/>
              </w:rPr>
              <w:t xml:space="preserve">Nifty 100 TRI</w:t>
            </w:r>
          </w:p>
        </w:tc>
        <w:tc>
          <w:tcPr>
            <w:tcW w:type="dxa" w:w="1638"/>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6"/>
                <w:szCs w:val="16"/>
              </w:rPr>
              <w:t xml:space="preserve">BSE 100 TRI</w:t>
            </w:r>
          </w:p>
        </w:tc>
        <w:tc>
          <w:tcPr>
            <w:tcW w:type="dxa" w:w="2315"/>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6"/>
                <w:szCs w:val="16"/>
              </w:rPr>
              <w:t xml:space="preserve">Nifty 50 TRI is narrower. Tier 1 uses the top 100 to match the category definition [3].</w:t>
            </w:r>
          </w:p>
        </w:tc>
      </w:tr>
      <w:tr>
        <w:trPr>
          <w:cantSplit/>
        </w:trPr>
        <w:tc>
          <w:tcPr>
            <w:tcW w:type="dxa" w:w="1445"/>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6"/>
                <w:szCs w:val="16"/>
              </w:rPr>
              <w:t xml:space="preserve">Large &amp; Mid Cap</w:t>
            </w:r>
          </w:p>
        </w:tc>
        <w:tc>
          <w:tcPr>
            <w:tcW w:type="dxa" w:w="2313"/>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6"/>
                <w:szCs w:val="16"/>
              </w:rPr>
              <w:t xml:space="preserve">Min 35% each in large and mid caps [4]</w:t>
            </w:r>
          </w:p>
        </w:tc>
        <w:tc>
          <w:tcPr>
            <w:tcW w:type="dxa" w:w="1927"/>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6"/>
                <w:szCs w:val="16"/>
              </w:rPr>
              <w:t xml:space="preserve">Nifty LargeMidcap 250 TRI</w:t>
            </w:r>
          </w:p>
        </w:tc>
        <w:tc>
          <w:tcPr>
            <w:tcW w:type="dxa" w:w="1638"/>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6"/>
                <w:szCs w:val="16"/>
              </w:rPr>
              <w:t xml:space="preserve">BSE 250 LargeMidCap TRI</w:t>
            </w:r>
          </w:p>
        </w:tc>
        <w:tc>
          <w:tcPr>
            <w:tcW w:type="dxa" w:w="2315"/>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6"/>
                <w:szCs w:val="16"/>
              </w:rPr>
              <w:t xml:space="preserve">Index holds 50% Nifty 100 and 50% Nifty Midcap 150, rebalanced quarterly [3].</w:t>
            </w:r>
          </w:p>
        </w:tc>
      </w:tr>
      <w:tr>
        <w:trPr>
          <w:cantSplit/>
        </w:trPr>
        <w:tc>
          <w:tcPr>
            <w:tcW w:type="dxa" w:w="1445"/>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6"/>
                <w:szCs w:val="16"/>
              </w:rPr>
              <w:t xml:space="preserve">Mid Cap</w:t>
            </w:r>
          </w:p>
        </w:tc>
        <w:tc>
          <w:tcPr>
            <w:tcW w:type="dxa" w:w="231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6"/>
                <w:szCs w:val="16"/>
              </w:rPr>
              <w:t xml:space="preserve">Min 65% in mid caps (101st to 250th) [4]</w:t>
            </w:r>
          </w:p>
        </w:tc>
        <w:tc>
          <w:tcPr>
            <w:tcW w:type="dxa" w:w="1927"/>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6"/>
                <w:szCs w:val="16"/>
              </w:rPr>
              <w:t xml:space="preserve">Nifty Midcap 150 TRI</w:t>
            </w:r>
          </w:p>
        </w:tc>
        <w:tc>
          <w:tcPr>
            <w:tcW w:type="dxa" w:w="1638"/>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6"/>
                <w:szCs w:val="16"/>
              </w:rPr>
              <w:t xml:space="preserve">BSE 150 MidCap TRI</w:t>
            </w:r>
          </w:p>
        </w:tc>
        <w:tc>
          <w:tcPr>
            <w:tcW w:type="dxa" w:w="2315"/>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6"/>
                <w:szCs w:val="16"/>
              </w:rPr>
              <w:t xml:space="preserve">Check small cap spill-over in the remaining 35%.</w:t>
            </w:r>
          </w:p>
        </w:tc>
      </w:tr>
      <w:tr>
        <w:trPr>
          <w:cantSplit/>
        </w:trPr>
        <w:tc>
          <w:tcPr>
            <w:tcW w:type="dxa" w:w="1445"/>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6"/>
                <w:szCs w:val="16"/>
              </w:rPr>
              <w:t xml:space="preserve">Small Cap</w:t>
            </w:r>
          </w:p>
        </w:tc>
        <w:tc>
          <w:tcPr>
            <w:tcW w:type="dxa" w:w="2313"/>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6"/>
                <w:szCs w:val="16"/>
              </w:rPr>
              <w:t xml:space="preserve">Min 65% in small caps (251st onwards) [4]</w:t>
            </w:r>
          </w:p>
        </w:tc>
        <w:tc>
          <w:tcPr>
            <w:tcW w:type="dxa" w:w="1927"/>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6"/>
                <w:szCs w:val="16"/>
              </w:rPr>
              <w:t xml:space="preserve">Nifty Smallcap 250 TRI</w:t>
            </w:r>
          </w:p>
        </w:tc>
        <w:tc>
          <w:tcPr>
            <w:tcW w:type="dxa" w:w="1638"/>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6"/>
                <w:szCs w:val="16"/>
              </w:rPr>
              <w:t xml:space="preserve">BSE 250 SmallCap TRI</w:t>
            </w:r>
          </w:p>
        </w:tc>
        <w:tc>
          <w:tcPr>
            <w:tcW w:type="dxa" w:w="2315"/>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6"/>
                <w:szCs w:val="16"/>
              </w:rPr>
              <w:t xml:space="preserve">Also read the AMFI stress test disclosure [12].</w:t>
            </w:r>
          </w:p>
        </w:tc>
      </w:tr>
      <w:tr>
        <w:trPr>
          <w:cantSplit/>
        </w:trPr>
        <w:tc>
          <w:tcPr>
            <w:tcW w:type="dxa" w:w="1445"/>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6"/>
                <w:szCs w:val="16"/>
              </w:rPr>
              <w:t xml:space="preserve">Flexi Cap</w:t>
            </w:r>
          </w:p>
        </w:tc>
        <w:tc>
          <w:tcPr>
            <w:tcW w:type="dxa" w:w="231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6"/>
                <w:szCs w:val="16"/>
              </w:rPr>
              <w:t xml:space="preserve">Min 65% in equity, no fixed market cap split [4]</w:t>
            </w:r>
          </w:p>
        </w:tc>
        <w:tc>
          <w:tcPr>
            <w:tcW w:type="dxa" w:w="1927"/>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6"/>
                <w:szCs w:val="16"/>
              </w:rPr>
              <w:t xml:space="preserve">Nifty 500 TRI</w:t>
            </w:r>
          </w:p>
        </w:tc>
        <w:tc>
          <w:tcPr>
            <w:tcW w:type="dxa" w:w="1638"/>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6"/>
                <w:szCs w:val="16"/>
              </w:rPr>
              <w:t xml:space="preserve">BSE 500 TRI</w:t>
            </w:r>
          </w:p>
        </w:tc>
        <w:tc>
          <w:tcPr>
            <w:tcW w:type="dxa" w:w="2315"/>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6"/>
                <w:szCs w:val="16"/>
              </w:rPr>
              <w:t xml:space="preserve">Free market cap mix makes style drift checks essential.</w:t>
            </w:r>
          </w:p>
        </w:tc>
      </w:tr>
      <w:tr>
        <w:trPr>
          <w:cantSplit/>
        </w:trPr>
        <w:tc>
          <w:tcPr>
            <w:tcW w:type="dxa" w:w="1445"/>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6"/>
                <w:szCs w:val="16"/>
              </w:rPr>
              <w:t xml:space="preserve">Multi Cap</w:t>
            </w:r>
          </w:p>
        </w:tc>
        <w:tc>
          <w:tcPr>
            <w:tcW w:type="dxa" w:w="2313"/>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6"/>
                <w:szCs w:val="16"/>
              </w:rPr>
              <w:t xml:space="preserve">Min 25% each in large, mid and small caps (so at least 75% in equity) [4]</w:t>
            </w:r>
          </w:p>
        </w:tc>
        <w:tc>
          <w:tcPr>
            <w:tcW w:type="dxa" w:w="1927"/>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6"/>
                <w:szCs w:val="16"/>
              </w:rPr>
              <w:t xml:space="preserve">Nifty500 Multicap 50:25:25 TRI</w:t>
            </w:r>
          </w:p>
        </w:tc>
        <w:tc>
          <w:tcPr>
            <w:tcW w:type="dxa" w:w="1638"/>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6"/>
                <w:szCs w:val="16"/>
              </w:rPr>
              <w:t xml:space="preserve">Check SID</w:t>
            </w:r>
          </w:p>
        </w:tc>
        <w:tc>
          <w:tcPr>
            <w:tcW w:type="dxa" w:w="2315"/>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6"/>
                <w:szCs w:val="16"/>
              </w:rPr>
              <w:t xml:space="preserve">Index weights: 50% large, 25% mid, 25% small [3].</w:t>
            </w:r>
          </w:p>
        </w:tc>
      </w:tr>
      <w:tr>
        <w:trPr>
          <w:cantSplit/>
        </w:trPr>
        <w:tc>
          <w:tcPr>
            <w:tcW w:type="dxa" w:w="1445"/>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6"/>
                <w:szCs w:val="16"/>
              </w:rPr>
              <w:t xml:space="preserve">ELSS Tax Saver</w:t>
            </w:r>
          </w:p>
        </w:tc>
        <w:tc>
          <w:tcPr>
            <w:tcW w:type="dxa" w:w="231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6"/>
                <w:szCs w:val="16"/>
              </w:rPr>
              <w:t xml:space="preserve">Min 80% in equity, 3-year lock-in [4]</w:t>
            </w:r>
          </w:p>
        </w:tc>
        <w:tc>
          <w:tcPr>
            <w:tcW w:type="dxa" w:w="1927"/>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6"/>
                <w:szCs w:val="16"/>
              </w:rPr>
              <w:t xml:space="preserve">Nifty 500 TRI</w:t>
            </w:r>
          </w:p>
        </w:tc>
        <w:tc>
          <w:tcPr>
            <w:tcW w:type="dxa" w:w="1638"/>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6"/>
                <w:szCs w:val="16"/>
              </w:rPr>
              <w:t xml:space="preserve">BSE 500 TRI</w:t>
            </w:r>
          </w:p>
        </w:tc>
        <w:tc>
          <w:tcPr>
            <w:tcW w:type="dxa" w:w="2315"/>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6"/>
                <w:szCs w:val="16"/>
              </w:rPr>
              <w:t xml:space="preserve">Renamed ELSS Tax Saver Fund in the 2026 framework [4].</w:t>
            </w:r>
          </w:p>
        </w:tc>
      </w:tr>
      <w:tr>
        <w:trPr>
          <w:cantSplit/>
        </w:trPr>
        <w:tc>
          <w:tcPr>
            <w:tcW w:type="dxa" w:w="1445"/>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6"/>
                <w:szCs w:val="16"/>
              </w:rPr>
              <w:t xml:space="preserve">Index funds and ETFs</w:t>
            </w:r>
          </w:p>
        </w:tc>
        <w:tc>
          <w:tcPr>
            <w:tcW w:type="dxa" w:w="2313"/>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6"/>
                <w:szCs w:val="16"/>
              </w:rPr>
              <w:t xml:space="preserve">Replicate the stated index</w:t>
            </w:r>
          </w:p>
        </w:tc>
        <w:tc>
          <w:tcPr>
            <w:tcW w:type="dxa" w:w="1927"/>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6"/>
                <w:szCs w:val="16"/>
              </w:rPr>
              <w:t xml:space="preserve">TRI of the index tracked</w:t>
            </w:r>
          </w:p>
        </w:tc>
        <w:tc>
          <w:tcPr>
            <w:tcW w:type="dxa" w:w="1638"/>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6"/>
                <w:szCs w:val="16"/>
              </w:rPr>
              <w:t xml:space="preserve">Same as tracked index</w:t>
            </w:r>
          </w:p>
        </w:tc>
        <w:tc>
          <w:tcPr>
            <w:tcW w:type="dxa" w:w="2315"/>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6"/>
                <w:szCs w:val="16"/>
              </w:rPr>
              <w:t xml:space="preserve">Judge on tracking error (max 2% for equity, one-year rolling) and tracking difference [9][10].</w:t>
            </w:r>
          </w:p>
        </w:tc>
      </w:tr>
      <w:tr>
        <w:trPr>
          <w:cantSplit/>
        </w:trPr>
        <w:tc>
          <w:tcPr>
            <w:tcW w:type="dxa" w:w="1445"/>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6"/>
                <w:szCs w:val="16"/>
              </w:rPr>
              <w:t xml:space="preserve">Overnight (debt)</w:t>
            </w:r>
          </w:p>
        </w:tc>
        <w:tc>
          <w:tcPr>
            <w:tcW w:type="dxa" w:w="231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6"/>
                <w:szCs w:val="16"/>
              </w:rPr>
              <w:t xml:space="preserve">Overnight securities, 1-day maturity</w:t>
            </w:r>
          </w:p>
        </w:tc>
        <w:tc>
          <w:tcPr>
            <w:tcW w:type="dxa" w:w="1927"/>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6"/>
                <w:szCs w:val="16"/>
              </w:rPr>
              <w:t xml:space="preserve">CRISIL Liquid Overnight Index</w:t>
            </w:r>
          </w:p>
        </w:tc>
        <w:tc>
          <w:tcPr>
            <w:tcW w:type="dxa" w:w="1638"/>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6"/>
                <w:szCs w:val="16"/>
              </w:rPr>
              <w:t xml:space="preserve">NIFTY 1D Rate Index</w:t>
            </w:r>
          </w:p>
        </w:tc>
        <w:tc>
          <w:tcPr>
            <w:tcW w:type="dxa" w:w="2315"/>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6"/>
                <w:szCs w:val="16"/>
              </w:rPr>
              <w:t xml:space="preserve">Typical choice; confirm in SID [25].</w:t>
            </w:r>
          </w:p>
        </w:tc>
      </w:tr>
      <w:tr>
        <w:trPr>
          <w:cantSplit/>
        </w:trPr>
        <w:tc>
          <w:tcPr>
            <w:tcW w:type="dxa" w:w="1445"/>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6"/>
                <w:szCs w:val="16"/>
              </w:rPr>
              <w:t xml:space="preserve">Liquid (debt)</w:t>
            </w:r>
          </w:p>
        </w:tc>
        <w:tc>
          <w:tcPr>
            <w:tcW w:type="dxa" w:w="2313"/>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6"/>
                <w:szCs w:val="16"/>
              </w:rPr>
              <w:t xml:space="preserve">Debt and money market up to 91 days</w:t>
            </w:r>
          </w:p>
        </w:tc>
        <w:tc>
          <w:tcPr>
            <w:tcW w:type="dxa" w:w="1927"/>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6"/>
                <w:szCs w:val="16"/>
              </w:rPr>
              <w:t xml:space="preserve">CRISIL Liquid Debt A-I Index</w:t>
            </w:r>
          </w:p>
        </w:tc>
        <w:tc>
          <w:tcPr>
            <w:tcW w:type="dxa" w:w="1638"/>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6"/>
                <w:szCs w:val="16"/>
              </w:rPr>
              <w:t xml:space="preserve">NIFTY equivalent per AMFI list</w:t>
            </w:r>
          </w:p>
        </w:tc>
        <w:tc>
          <w:tcPr>
            <w:tcW w:type="dxa" w:w="2315"/>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6"/>
                <w:szCs w:val="16"/>
              </w:rPr>
              <w:t xml:space="preserve">Example: DSP Liquidity Fund uses CRISIL Liquid Debt A-I [25].</w:t>
            </w:r>
          </w:p>
        </w:tc>
      </w:tr>
      <w:tr>
        <w:trPr>
          <w:cantSplit/>
        </w:trPr>
        <w:tc>
          <w:tcPr>
            <w:tcW w:type="dxa" w:w="1445"/>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6"/>
                <w:szCs w:val="16"/>
              </w:rPr>
              <w:t xml:space="preserve">Short Duration (debt)</w:t>
            </w:r>
          </w:p>
        </w:tc>
        <w:tc>
          <w:tcPr>
            <w:tcW w:type="dxa" w:w="231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6"/>
                <w:szCs w:val="16"/>
              </w:rPr>
              <w:t xml:space="preserve">Macaulay duration 1 to 3 years</w:t>
            </w:r>
          </w:p>
        </w:tc>
        <w:tc>
          <w:tcPr>
            <w:tcW w:type="dxa" w:w="1927"/>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6"/>
                <w:szCs w:val="16"/>
              </w:rPr>
              <w:t xml:space="preserve">CRISIL Short Duration Debt A-II Index</w:t>
            </w:r>
          </w:p>
        </w:tc>
        <w:tc>
          <w:tcPr>
            <w:tcW w:type="dxa" w:w="1638"/>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6"/>
                <w:szCs w:val="16"/>
              </w:rPr>
              <w:t xml:space="preserve">NIFTY equivalent per AMFI list</w:t>
            </w:r>
          </w:p>
        </w:tc>
        <w:tc>
          <w:tcPr>
            <w:tcW w:type="dxa" w:w="2315"/>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6"/>
                <w:szCs w:val="16"/>
              </w:rPr>
              <w:t xml:space="preserve">Typical choice; index depends on PRC cell [25].</w:t>
            </w:r>
          </w:p>
        </w:tc>
      </w:tr>
      <w:tr>
        <w:trPr>
          <w:cantSplit/>
        </w:trPr>
        <w:tc>
          <w:tcPr>
            <w:tcW w:type="dxa" w:w="1445"/>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6"/>
                <w:szCs w:val="16"/>
              </w:rPr>
              <w:t xml:space="preserve">Corporate Bond (debt)</w:t>
            </w:r>
          </w:p>
        </w:tc>
        <w:tc>
          <w:tcPr>
            <w:tcW w:type="dxa" w:w="2313"/>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6"/>
                <w:szCs w:val="16"/>
              </w:rPr>
              <w:t xml:space="preserve">Min 80% in AA+ and above corporate bonds</w:t>
            </w:r>
          </w:p>
        </w:tc>
        <w:tc>
          <w:tcPr>
            <w:tcW w:type="dxa" w:w="1927"/>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6"/>
                <w:szCs w:val="16"/>
              </w:rPr>
              <w:t xml:space="preserve">CRISIL Corporate Debt A-II Index</w:t>
            </w:r>
          </w:p>
        </w:tc>
        <w:tc>
          <w:tcPr>
            <w:tcW w:type="dxa" w:w="1638"/>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6"/>
                <w:szCs w:val="16"/>
              </w:rPr>
              <w:t xml:space="preserve">NIFTY equivalent per AMFI list</w:t>
            </w:r>
          </w:p>
        </w:tc>
        <w:tc>
          <w:tcPr>
            <w:tcW w:type="dxa" w:w="2315"/>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6"/>
                <w:szCs w:val="16"/>
              </w:rPr>
              <w:t xml:space="preserve">Commonly used AMFI Tier 1 choice [25].</w:t>
            </w:r>
          </w:p>
        </w:tc>
      </w:tr>
      <w:tr>
        <w:trPr>
          <w:cantSplit/>
        </w:trPr>
        <w:tc>
          <w:tcPr>
            <w:tcW w:type="dxa" w:w="1445"/>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6"/>
                <w:szCs w:val="16"/>
              </w:rPr>
              <w:t xml:space="preserve">Banking &amp; PSU (debt)</w:t>
            </w:r>
          </w:p>
        </w:tc>
        <w:tc>
          <w:tcPr>
            <w:tcW w:type="dxa" w:w="231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6"/>
                <w:szCs w:val="16"/>
              </w:rPr>
              <w:t xml:space="preserve">Min 80% in banks, PSUs, PFIs, municipal bonds</w:t>
            </w:r>
          </w:p>
        </w:tc>
        <w:tc>
          <w:tcPr>
            <w:tcW w:type="dxa" w:w="1927"/>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6"/>
                <w:szCs w:val="16"/>
              </w:rPr>
              <w:t xml:space="preserve">CRISIL Banking and PSU Debt A-II Index</w:t>
            </w:r>
          </w:p>
        </w:tc>
        <w:tc>
          <w:tcPr>
            <w:tcW w:type="dxa" w:w="1638"/>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6"/>
                <w:szCs w:val="16"/>
              </w:rPr>
              <w:t xml:space="preserve">NIFTY equivalent per AMFI list</w:t>
            </w:r>
          </w:p>
        </w:tc>
        <w:tc>
          <w:tcPr>
            <w:tcW w:type="dxa" w:w="2315"/>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6"/>
                <w:szCs w:val="16"/>
              </w:rPr>
              <w:t xml:space="preserve">Typical choice; confirm in SID [25].</w:t>
            </w:r>
          </w:p>
        </w:tc>
      </w:tr>
      <w:tr>
        <w:trPr>
          <w:cantSplit/>
        </w:trPr>
        <w:tc>
          <w:tcPr>
            <w:tcW w:type="dxa" w:w="1445"/>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6"/>
                <w:szCs w:val="16"/>
              </w:rPr>
              <w:t xml:space="preserve">Credit Risk (debt)</w:t>
            </w:r>
          </w:p>
        </w:tc>
        <w:tc>
          <w:tcPr>
            <w:tcW w:type="dxa" w:w="2313"/>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6"/>
                <w:szCs w:val="16"/>
              </w:rPr>
              <w:t xml:space="preserve">Min 65% in AA and below corporate bonds</w:t>
            </w:r>
          </w:p>
        </w:tc>
        <w:tc>
          <w:tcPr>
            <w:tcW w:type="dxa" w:w="1927"/>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6"/>
                <w:szCs w:val="16"/>
              </w:rPr>
              <w:t xml:space="preserve">CRISIL Credit Risk Debt B-II Index</w:t>
            </w:r>
          </w:p>
        </w:tc>
        <w:tc>
          <w:tcPr>
            <w:tcW w:type="dxa" w:w="1638"/>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6"/>
                <w:szCs w:val="16"/>
              </w:rPr>
              <w:t xml:space="preserve">NIFTY equivalent per AMFI list</w:t>
            </w:r>
          </w:p>
        </w:tc>
        <w:tc>
          <w:tcPr>
            <w:tcW w:type="dxa" w:w="2315"/>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6"/>
                <w:szCs w:val="16"/>
              </w:rPr>
              <w:t xml:space="preserve">Commonly used AMFI Tier 1 choice [25].</w:t>
            </w:r>
          </w:p>
        </w:tc>
      </w:tr>
      <w:tr>
        <w:trPr>
          <w:cantSplit/>
        </w:trPr>
        <w:tc>
          <w:tcPr>
            <w:tcW w:type="dxa" w:w="1445"/>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6"/>
                <w:szCs w:val="16"/>
              </w:rPr>
              <w:t xml:space="preserve">Gilt (debt)</w:t>
            </w:r>
          </w:p>
        </w:tc>
        <w:tc>
          <w:tcPr>
            <w:tcW w:type="dxa" w:w="231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6"/>
                <w:szCs w:val="16"/>
              </w:rPr>
              <w:t xml:space="preserve">Min 80% in government securities</w:t>
            </w:r>
          </w:p>
        </w:tc>
        <w:tc>
          <w:tcPr>
            <w:tcW w:type="dxa" w:w="1927"/>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6"/>
                <w:szCs w:val="16"/>
              </w:rPr>
              <w:t xml:space="preserve">CRISIL Dynamic Gilt Index</w:t>
            </w:r>
          </w:p>
        </w:tc>
        <w:tc>
          <w:tcPr>
            <w:tcW w:type="dxa" w:w="1638"/>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6"/>
                <w:szCs w:val="16"/>
              </w:rPr>
              <w:t xml:space="preserve">NIFTY equivalent per AMFI list</w:t>
            </w:r>
          </w:p>
        </w:tc>
        <w:tc>
          <w:tcPr>
            <w:tcW w:type="dxa" w:w="2315"/>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6"/>
                <w:szCs w:val="16"/>
              </w:rPr>
              <w:t xml:space="preserve">Typical choice; confirm in SID [25].</w:t>
            </w:r>
          </w:p>
        </w:tc>
      </w:tr>
    </w:tbl>
    <w:p>
      <w:pPr>
        <w:spacing w:after="120" w:before="80"/>
      </w:pPr>
      <w:r>
        <w:t xml:space="preserve">Debt benchmark names are the typical AMFI Tier 1 choices for each category. The exact index depends on the scheme's PRC cell, so confirm it in the SID [25]. NSE (NIFTY) equivalents also appear on the AMFI list for many debt categories.</w:t>
      </w:r>
    </w:p>
    <w:p>
      <w:pPr>
        <w:pStyle w:val="Heading2"/>
      </w:pPr>
      <w:r>
        <w:t xml:space="preserve">Step 5. Run a style drift check</w:t>
      </w:r>
    </w:p>
    <w:p>
      <w:pPr>
        <w:spacing w:after="120" w:line="276"/>
      </w:pPr>
      <w:r>
        <w:t xml:space="preserve">A style drift check tells you whether the fund still behaves like its benchmark. If it does not, either the manager has drifted from the mandate or the benchmark was never right. Both change how you read alpha, beta, capture ratios and Sharpe ratios. Run the five tests below once a year, or whenever the manager changes.</w:t>
      </w:r>
    </w:p>
    <w:p>
      <w:pPr>
        <w:pStyle w:val="ListParagraph"/>
        <w:numPr>
          <w:ilvl w:val="0"/>
          <w:numId w:val="2"/>
        </w:numPr>
        <w:spacing w:after="80" w:line="264"/>
      </w:pPr>
      <w:r>
        <w:rPr>
          <w:b/>
          <w:bCs/>
        </w:rPr>
        <w:t xml:space="preserve">Holdings-based market cap check.</w:t>
      </w:r>
      <w:r>
        <w:t xml:space="preserve"> Take the latest monthly portfolio and classify each stock using the AMFI list of large, mid and small caps (updated every six months). Compare the split with the category mandate in the table above and with the benchmark's own split. A large cap fund holding 25% in mid and small caps breaches its mandate; a flexi cap fund holding 60% small caps behaves like a small cap fund whatever its label.</w:t>
      </w:r>
    </w:p>
    <w:p>
      <w:pPr>
        <w:pStyle w:val="ListParagraph"/>
        <w:numPr>
          <w:ilvl w:val="0"/>
          <w:numId w:val="2"/>
        </w:numPr>
        <w:spacing w:after="80" w:line="264"/>
      </w:pPr>
      <w:r>
        <w:rPr>
          <w:b/>
          <w:bCs/>
        </w:rPr>
        <w:t xml:space="preserve">Sector and style check.</w:t>
      </w:r>
      <w:r>
        <w:t xml:space="preserve"> Compare the fund's sector weights, P/E and P/B with the benchmark. A "value" fund with a portfolio P/E well above the Nifty 500 is not running a value strategy.</w:t>
      </w:r>
    </w:p>
    <w:p>
      <w:pPr>
        <w:pStyle w:val="ListParagraph"/>
        <w:numPr>
          <w:ilvl w:val="0"/>
          <w:numId w:val="2"/>
        </w:numPr>
        <w:spacing w:after="80" w:line="264"/>
      </w:pPr>
      <w:r>
        <w:rPr>
          <w:b/>
          <w:bCs/>
        </w:rPr>
        <w:t xml:space="preserve">R-squared test.</w:t>
      </w:r>
      <w:r>
        <w:t xml:space="preserve"> Regress 36 monthly fund returns on the benchmark TRI returns. An R-squared below about 0.80 for a diversified equity fund means the benchmark explains less than 80% of the fund's movement. Repeat the test against the neighbouring indices (for example, Nifty 100, Nifty Midcap 150 and Nifty Smallcap 250 TRI). If another index gives a clearly higher R-squared, that index describes the fund better than its stated benchmark.</w:t>
      </w:r>
    </w:p>
    <w:p>
      <w:pPr>
        <w:pStyle w:val="ListParagraph"/>
        <w:numPr>
          <w:ilvl w:val="0"/>
          <w:numId w:val="2"/>
        </w:numPr>
        <w:spacing w:after="80" w:line="264"/>
      </w:pPr>
      <w:r>
        <w:rPr>
          <w:b/>
          <w:bCs/>
        </w:rPr>
        <w:t xml:space="preserve">Returns-based style analysis.</w:t>
      </w:r>
      <w:r>
        <w:t xml:space="preserve"> Regress fund returns on the large, mid and small cap TRIs together, with weights that are constrained to be positive and sum to 1. The weights estimate the fund's effective market cap mix. Compute them over rolling 36-month windows; a steady shift in weights is style drift.</w:t>
      </w:r>
    </w:p>
    <w:p>
      <w:pPr>
        <w:pStyle w:val="ListParagraph"/>
        <w:numPr>
          <w:ilvl w:val="0"/>
          <w:numId w:val="2"/>
        </w:numPr>
        <w:spacing w:after="80" w:line="264"/>
      </w:pPr>
      <w:r>
        <w:rPr>
          <w:b/>
          <w:bCs/>
        </w:rPr>
        <w:t xml:space="preserve">Rolling beta and tracking error.</w:t>
      </w:r>
      <w:r>
        <w:t xml:space="preserve"> Compute rolling 36-month beta and tracking error against the stated benchmark. A beta that moves outside a narrow band, or a sudden jump in tracking error, signals a change in process.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2120"/>
        <w:gridCol w:w="2505"/>
        <w:gridCol w:w="2700"/>
      </w:tblGrid>
      <w:tr>
        <w:trPr>
          <w:tblHeader/>
        </w:trPr>
        <w:tc>
          <w:tcPr>
            <w:tcW w:type="dxa" w:w="2313"/>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Signal</w:t>
            </w:r>
          </w:p>
        </w:tc>
        <w:tc>
          <w:tcPr>
            <w:tcW w:type="dxa" w:w="212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Rule of thumb threshold</w:t>
            </w:r>
          </w:p>
        </w:tc>
        <w:tc>
          <w:tcPr>
            <w:tcW w:type="dxa" w:w="2505"/>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Likely meaning</w:t>
            </w:r>
          </w:p>
        </w:tc>
        <w:tc>
          <w:tcPr>
            <w:tcW w:type="dxa" w:w="270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Action</w:t>
            </w:r>
          </w:p>
        </w:tc>
      </w:tr>
      <w:tr>
        <w:trPr>
          <w:cantSplit/>
        </w:trPr>
        <w:tc>
          <w:tcPr>
            <w:tcW w:type="dxa" w:w="231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R-squared vs stated benchmark</w:t>
            </w:r>
          </w:p>
        </w:tc>
        <w:tc>
          <w:tcPr>
            <w:tcW w:type="dxa" w:w="212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Below about 0.80</w:t>
            </w:r>
          </w:p>
        </w:tc>
        <w:tc>
          <w:tcPr>
            <w:tcW w:type="dxa" w:w="2505"/>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Benchmark mismatch or very active / concentrated fund</w:t>
            </w:r>
          </w:p>
        </w:tc>
        <w:tc>
          <w:tcPr>
            <w:tcW w:type="dxa" w:w="270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Test alternative indices; re-run alpha and capture ratios against the best fit</w:t>
            </w:r>
          </w:p>
        </w:tc>
      </w:tr>
      <w:tr>
        <w:trPr>
          <w:cantSplit/>
        </w:trPr>
        <w:tc>
          <w:tcPr>
            <w:tcW w:type="dxa" w:w="2313"/>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Better-fit index found</w:t>
            </w:r>
          </w:p>
        </w:tc>
        <w:tc>
          <w:tcPr>
            <w:tcW w:type="dxa" w:w="212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R-squared higher by 0.05 or more</w:t>
            </w:r>
          </w:p>
        </w:tc>
        <w:tc>
          <w:tcPr>
            <w:tcW w:type="dxa" w:w="2505"/>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Stated benchmark is the wrong yardstick</w:t>
            </w:r>
          </w:p>
        </w:tc>
        <w:tc>
          <w:tcPr>
            <w:tcW w:type="dxa" w:w="270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Use the better-fit index alongside Tier 1 for your own analysis</w:t>
            </w:r>
          </w:p>
        </w:tc>
      </w:tr>
      <w:tr>
        <w:trPr>
          <w:cantSplit/>
        </w:trPr>
        <w:tc>
          <w:tcPr>
            <w:tcW w:type="dxa" w:w="231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Market cap split outside mandate</w:t>
            </w:r>
          </w:p>
        </w:tc>
        <w:tc>
          <w:tcPr>
            <w:tcW w:type="dxa" w:w="212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Any breach of the SEBI minimum</w:t>
            </w:r>
          </w:p>
        </w:tc>
        <w:tc>
          <w:tcPr>
            <w:tcW w:type="dxa" w:w="2505"/>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Mandate breach</w:t>
            </w:r>
          </w:p>
        </w:tc>
        <w:tc>
          <w:tcPr>
            <w:tcW w:type="dxa" w:w="270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Check the next two monthly portfolios; persistent breach is a Fail</w:t>
            </w:r>
          </w:p>
        </w:tc>
      </w:tr>
      <w:tr>
        <w:trPr>
          <w:cantSplit/>
        </w:trPr>
        <w:tc>
          <w:tcPr>
            <w:tcW w:type="dxa" w:w="2313"/>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Rolling style weights shifting</w:t>
            </w:r>
          </w:p>
        </w:tc>
        <w:tc>
          <w:tcPr>
            <w:tcW w:type="dxa" w:w="212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Small cap weight up 15 percentage points or more over 2 years</w:t>
            </w:r>
          </w:p>
        </w:tc>
        <w:tc>
          <w:tcPr>
            <w:tcW w:type="dxa" w:w="2505"/>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Style drift</w:t>
            </w:r>
          </w:p>
        </w:tc>
        <w:tc>
          <w:tcPr>
            <w:tcW w:type="dxa" w:w="270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Re-check the fit with your portfolio; flag as Watch</w:t>
            </w:r>
          </w:p>
        </w:tc>
      </w:tr>
      <w:tr>
        <w:trPr>
          <w:cantSplit/>
        </w:trPr>
        <w:tc>
          <w:tcPr>
            <w:tcW w:type="dxa" w:w="231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Rolling beta unstable</w:t>
            </w:r>
          </w:p>
        </w:tc>
        <w:tc>
          <w:tcPr>
            <w:tcW w:type="dxa" w:w="212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Range wider than about 0.3 across windows</w:t>
            </w:r>
          </w:p>
        </w:tc>
        <w:tc>
          <w:tcPr>
            <w:tcW w:type="dxa" w:w="2505"/>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Changing process or rising risk taking</w:t>
            </w:r>
          </w:p>
        </w:tc>
        <w:tc>
          <w:tcPr>
            <w:tcW w:type="dxa" w:w="270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Read manager commentary; flag as Watch</w:t>
            </w:r>
          </w:p>
        </w:tc>
      </w:tr>
    </w:tbl>
    <w:p>
      <w:pPr>
        <w:spacing w:after="120" w:before="80"/>
      </w:pPr>
      <w:r>
        <w:t xml:space="preserve">These thresholds are analyst conventions, not SEBI limits. Use them as triggers for a closer look rather than as automatic verdicts.</w:t>
      </w:r>
    </w:p>
    <w:p>
      <w:pPr>
        <w:pStyle w:val="Heading2"/>
      </w:pPr>
      <w:r>
        <w:t xml:space="preserve">Step 6. Record the benchmark decision</w:t>
      </w:r>
    </w:p>
    <w:p>
      <w:pPr>
        <w:spacing w:after="120" w:line="276"/>
      </w:pPr>
      <w:r>
        <w:t xml:space="preserve">Write down three benchmarks for each fund in the scorecard: the Tier 1 benchmark (for comparison with the index fund you could buy instead), the Tier 2 or style benchmark (to judge the manager's strategy), and the best-fit index from the style drift check, if it differs. Run every relative metric against Tier 1 first. The "Benchmark Map" sheet of the workbook holds the mapping table for quick reference.</w:t>
      </w:r>
    </w:p>
    <w:p>
      <w:pPr>
        <w:pStyle w:val="Heading1"/>
        <w:pageBreakBefore/>
      </w:pPr>
      <w:r>
        <w:t xml:space="preserve">3. Blind spots</w:t>
      </w:r>
    </w:p>
    <w:p>
      <w:pPr>
        <w:spacing w:after="120" w:line="276"/>
      </w:pPr>
      <w:r>
        <w:t xml:space="preserve">These are the issues that most fund reviews either skip or get wrong. Each one can change a verdict on its own. The summary table comes first, followed by detail on each.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2891"/>
        <w:gridCol w:w="2891"/>
        <w:gridCol w:w="3375"/>
      </w:tblGrid>
      <w:tr>
        <w:trPr>
          <w:tblHeader/>
        </w:trPr>
        <w:tc>
          <w:tcPr>
            <w:tcW w:type="dxa" w:w="481"/>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w:t>
            </w:r>
          </w:p>
        </w:tc>
        <w:tc>
          <w:tcPr>
            <w:tcW w:type="dxa" w:w="2891"/>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Blind spot</w:t>
            </w:r>
          </w:p>
        </w:tc>
        <w:tc>
          <w:tcPr>
            <w:tcW w:type="dxa" w:w="2891"/>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Why it matters</w:t>
            </w:r>
          </w:p>
        </w:tc>
        <w:tc>
          <w:tcPr>
            <w:tcW w:type="dxa" w:w="3375"/>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What to check instead</w:t>
            </w:r>
          </w:p>
        </w:tc>
      </w:tr>
      <w:tr>
        <w:trPr>
          <w:cantSplit/>
        </w:trPr>
        <w:tc>
          <w:tcPr>
            <w:tcW w:type="dxa" w:w="48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1</w:t>
            </w:r>
          </w:p>
        </w:tc>
        <w:tc>
          <w:tcPr>
            <w:tcW w:type="dxa" w:w="289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Point-to-point returns instead of rolling returns</w:t>
            </w:r>
          </w:p>
        </w:tc>
        <w:tc>
          <w:tcPr>
            <w:tcW w:type="dxa" w:w="289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Trailing returns depend on the end date</w:t>
            </w:r>
          </w:p>
        </w:tc>
        <w:tc>
          <w:tcPr>
            <w:tcW w:type="dxa" w:w="3375"/>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Rolling 3Y and 5Y returns, % of periods beating benchmark</w:t>
            </w:r>
          </w:p>
        </w:tc>
      </w:tr>
      <w:tr>
        <w:trPr>
          <w:cantSplit/>
        </w:trPr>
        <w:tc>
          <w:tcPr>
            <w:tcW w:type="dxa" w:w="48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2</w:t>
            </w:r>
          </w:p>
        </w:tc>
        <w:tc>
          <w:tcPr>
            <w:tcW w:type="dxa" w:w="289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Wrong benchmark</w:t>
            </w:r>
          </w:p>
        </w:tc>
        <w:tc>
          <w:tcPr>
            <w:tcW w:type="dxa" w:w="289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Every relative metric inherits the error</w:t>
            </w:r>
          </w:p>
        </w:tc>
        <w:tc>
          <w:tcPr>
            <w:tcW w:type="dxa" w:w="3375"/>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TRI, Tier 1 first, style drift check</w:t>
            </w:r>
          </w:p>
        </w:tc>
      </w:tr>
      <w:tr>
        <w:trPr>
          <w:cantSplit/>
        </w:trPr>
        <w:tc>
          <w:tcPr>
            <w:tcW w:type="dxa" w:w="48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3</w:t>
            </w:r>
          </w:p>
        </w:tc>
        <w:tc>
          <w:tcPr>
            <w:tcW w:type="dxa" w:w="289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Nitpicking individual stock picks</w:t>
            </w:r>
          </w:p>
        </w:tc>
        <w:tc>
          <w:tcPr>
            <w:tcW w:type="dxa" w:w="289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Mistakes single holdings for process</w:t>
            </w:r>
          </w:p>
        </w:tc>
        <w:tc>
          <w:tcPr>
            <w:tcW w:type="dxa" w:w="3375"/>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Process, portfolio-level risk, attribution</w:t>
            </w:r>
          </w:p>
        </w:tc>
      </w:tr>
      <w:tr>
        <w:trPr>
          <w:cantSplit/>
        </w:trPr>
        <w:tc>
          <w:tcPr>
            <w:tcW w:type="dxa" w:w="48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4</w:t>
            </w:r>
          </w:p>
        </w:tc>
        <w:tc>
          <w:tcPr>
            <w:tcW w:type="dxa" w:w="289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AUM trajectory and fund flows</w:t>
            </w:r>
          </w:p>
        </w:tc>
        <w:tc>
          <w:tcPr>
            <w:tcW w:type="dxa" w:w="289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Size and flows change what a fund can do</w:t>
            </w:r>
          </w:p>
        </w:tc>
        <w:tc>
          <w:tcPr>
            <w:tcW w:type="dxa" w:w="3375"/>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AUM trend, stress tests, inflow restrictions</w:t>
            </w:r>
          </w:p>
        </w:tc>
      </w:tr>
      <w:tr>
        <w:trPr>
          <w:cantSplit/>
        </w:trPr>
        <w:tc>
          <w:tcPr>
            <w:tcW w:type="dxa" w:w="48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5</w:t>
            </w:r>
          </w:p>
        </w:tc>
        <w:tc>
          <w:tcPr>
            <w:tcW w:type="dxa" w:w="289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Costs outside the TER</w:t>
            </w:r>
          </w:p>
        </w:tc>
        <w:tc>
          <w:tcPr>
            <w:tcW w:type="dxa" w:w="289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Trading costs and levies reduce returns silently</w:t>
            </w:r>
          </w:p>
        </w:tc>
        <w:tc>
          <w:tcPr>
            <w:tcW w:type="dxa" w:w="3375"/>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Turnover, brokerage, statutory levies, stamp duty, tax on switches</w:t>
            </w:r>
          </w:p>
        </w:tc>
      </w:tr>
      <w:tr>
        <w:trPr>
          <w:cantSplit/>
        </w:trPr>
        <w:tc>
          <w:tcPr>
            <w:tcW w:type="dxa" w:w="48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6</w:t>
            </w:r>
          </w:p>
        </w:tc>
        <w:tc>
          <w:tcPr>
            <w:tcW w:type="dxa" w:w="289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Manager change resetting the track record</w:t>
            </w:r>
          </w:p>
        </w:tc>
        <w:tc>
          <w:tcPr>
            <w:tcW w:type="dxa" w:w="289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Past record may belong to someone else</w:t>
            </w:r>
          </w:p>
        </w:tc>
        <w:tc>
          <w:tcPr>
            <w:tcW w:type="dxa" w:w="3375"/>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Tenure vs evaluation window</w:t>
            </w:r>
          </w:p>
        </w:tc>
      </w:tr>
      <w:tr>
        <w:trPr>
          <w:cantSplit/>
        </w:trPr>
        <w:tc>
          <w:tcPr>
            <w:tcW w:type="dxa" w:w="48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7</w:t>
            </w:r>
          </w:p>
        </w:tc>
        <w:tc>
          <w:tcPr>
            <w:tcW w:type="dxa" w:w="289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Downside behaviour in past crashes</w:t>
            </w:r>
          </w:p>
        </w:tc>
        <w:tc>
          <w:tcPr>
            <w:tcW w:type="dxa" w:w="289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Averages hide the falls investors abandon funds over</w:t>
            </w:r>
          </w:p>
        </w:tc>
        <w:tc>
          <w:tcPr>
            <w:tcW w:type="dxa" w:w="3375"/>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Drawdown, recovery, downside capture in 2008, 2018, 2020</w:t>
            </w:r>
          </w:p>
        </w:tc>
      </w:tr>
      <w:tr>
        <w:trPr>
          <w:cantSplit/>
        </w:trPr>
        <w:tc>
          <w:tcPr>
            <w:tcW w:type="dxa" w:w="48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8</w:t>
            </w:r>
          </w:p>
        </w:tc>
        <w:tc>
          <w:tcPr>
            <w:tcW w:type="dxa" w:w="289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Overlap masquerading as diversification</w:t>
            </w:r>
          </w:p>
        </w:tc>
        <w:tc>
          <w:tcPr>
            <w:tcW w:type="dxa" w:w="289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Several funds, one portfolio</w:t>
            </w:r>
          </w:p>
        </w:tc>
        <w:tc>
          <w:tcPr>
            <w:tcW w:type="dxa" w:w="3375"/>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Pairwise overlap, combined top holdings</w:t>
            </w:r>
          </w:p>
        </w:tc>
      </w:tr>
      <w:tr>
        <w:trPr>
          <w:cantSplit/>
        </w:trPr>
        <w:tc>
          <w:tcPr>
            <w:tcW w:type="dxa" w:w="48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9</w:t>
            </w:r>
          </w:p>
        </w:tc>
        <w:tc>
          <w:tcPr>
            <w:tcW w:type="dxa" w:w="289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Direct vs regular compounding gap</w:t>
            </w:r>
          </w:p>
        </w:tc>
        <w:tc>
          <w:tcPr>
            <w:tcW w:type="dxa" w:w="289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Small annual gap, large terminal gap</w:t>
            </w:r>
          </w:p>
        </w:tc>
        <w:tc>
          <w:tcPr>
            <w:tcW w:type="dxa" w:w="3375"/>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TER gap compounded over your horizon</w:t>
            </w:r>
          </w:p>
        </w:tc>
      </w:tr>
      <w:tr>
        <w:trPr>
          <w:cantSplit/>
        </w:trPr>
        <w:tc>
          <w:tcPr>
            <w:tcW w:type="dxa" w:w="48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10</w:t>
            </w:r>
          </w:p>
        </w:tc>
        <w:tc>
          <w:tcPr>
            <w:tcW w:type="dxa" w:w="289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AMC-level compliance and risk systems</w:t>
            </w:r>
          </w:p>
        </w:tc>
        <w:tc>
          <w:tcPr>
            <w:tcW w:type="dxa" w:w="289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Scheme analysis ignores the institution</w:t>
            </w:r>
          </w:p>
        </w:tc>
        <w:tc>
          <w:tcPr>
            <w:tcW w:type="dxa" w:w="3375"/>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SEBI orders, front-running controls, risk management</w:t>
            </w:r>
          </w:p>
        </w:tc>
      </w:tr>
    </w:tbl>
    <w:p>
      <w:pPr>
        <w:spacing w:after="60"/>
      </w:pPr>
    </w:p>
    <w:p>
      <w:pPr>
        <w:pStyle w:val="Heading2"/>
      </w:pPr>
      <w:r>
        <w:t xml:space="preserve">Blind spot 1. Point-to-point returns instead of rolling returns</w:t>
      </w:r>
    </w:p>
    <w:p>
      <w:pPr>
        <w:spacing w:after="120" w:line="276"/>
      </w:pPr>
      <w:r>
        <w:t xml:space="preserve">A trailing 3-year or 5-year return is one observation, fixed by an arbitrary end date. The same fund can look excellent or poor depending on whether the window starts at a market bottom or a peak. Value Research describes trailing returns as a snapshot that "does not convey anything about the consistency or volatility of the fund", while rolling returns show "how often" and "how much" a fund has done well or badly [18]. Zerodha Varsity makes the same case, calculating the 3-year return from every possible start date in the fund's history [13].</w:t>
      </w:r>
    </w:p>
    <w:p>
      <w:pPr>
        <w:pStyle w:val="ListParagraph"/>
        <w:numPr>
          <w:ilvl w:val="0"/>
          <w:numId w:val="3"/>
        </w:numPr>
        <w:spacing w:after="80" w:line="264"/>
      </w:pPr>
      <w:r>
        <w:t xml:space="preserve">Compare the distribution: minimum, median and maximum rolling 3Y and 5Y returns for the fund and its Tier 1 TRI over the same windows.</w:t>
      </w:r>
    </w:p>
    <w:p>
      <w:pPr>
        <w:pStyle w:val="ListParagraph"/>
        <w:numPr>
          <w:ilvl w:val="0"/>
          <w:numId w:val="3"/>
        </w:numPr>
        <w:spacing w:after="80" w:line="264"/>
      </w:pPr>
      <w:r>
        <w:t xml:space="preserve">Count the share of rolling windows in which the fund beat the benchmark. This is a direct measure of consistency.</w:t>
      </w:r>
    </w:p>
    <w:p>
      <w:pPr>
        <w:pStyle w:val="ListParagraph"/>
        <w:numPr>
          <w:ilvl w:val="0"/>
          <w:numId w:val="3"/>
        </w:numPr>
        <w:spacing w:after="80" w:line="264"/>
      </w:pPr>
      <w:r>
        <w:t xml:space="preserve">Do not chase the latest winner. Value Research tested buying the previous year's top fund and found the strategy unreliable [20].</w:t>
      </w:r>
    </w:p>
    <w:p>
      <w:pPr>
        <w:pStyle w:val="Heading2"/>
      </w:pPr>
      <w:r>
        <w:t xml:space="preserve">Blind spot 2. The wrong benchmark distorts everything</w:t>
      </w:r>
    </w:p>
    <w:p>
      <w:pPr>
        <w:spacing w:after="120" w:line="276"/>
      </w:pPr>
      <w:r>
        <w:t xml:space="preserve">Alpha, beta, Sharpe relative to the benchmark, capture ratios, R-squared, tracking error and batting average are all computed against a benchmark. If the benchmark is a PRI rather than a TRI [1], or a large cap index for a fund that holds many mid caps, every one of these numbers is wrong in the same direction. Section 2 sets out the fix: use the TRI, judge against Tier 1 first [2][3], and confirm fit with the style drift check.</w:t>
      </w:r>
    </w:p>
    <w:p>
      <w:pPr>
        <w:pStyle w:val="Heading2"/>
      </w:pPr>
      <w:r>
        <w:t xml:space="preserve">Blind spot 3. Why nitpicking individual stock picks is not research</w:t>
      </w:r>
    </w:p>
    <w:p>
      <w:pPr>
        <w:spacing w:after="120" w:line="276"/>
      </w:pPr>
      <w:r>
        <w:t xml:space="preserve">A common review habit is to scan the top holdings and object to particular names ("why own this bank?"). This feels like analysis but rarely is, for three reasons.</w:t>
      </w:r>
    </w:p>
    <w:p>
      <w:pPr>
        <w:pStyle w:val="ListParagraph"/>
        <w:numPr>
          <w:ilvl w:val="0"/>
          <w:numId w:val="3"/>
        </w:numPr>
        <w:spacing w:after="80" w:line="264"/>
      </w:pPr>
      <w:r>
        <w:rPr>
          <w:b/>
          <w:bCs/>
        </w:rPr>
        <w:t xml:space="preserve">One stock is one data point.</w:t>
      </w:r>
      <w:r>
        <w:t xml:space="preserve"> A diversified fund holding 40 to 80 stocks is built so that no single position decides the result. Judging the manager on a few names you dislike is a sample size of one.</w:t>
      </w:r>
    </w:p>
    <w:p>
      <w:pPr>
        <w:pStyle w:val="ListParagraph"/>
        <w:numPr>
          <w:ilvl w:val="0"/>
          <w:numId w:val="3"/>
        </w:numPr>
        <w:spacing w:after="80" w:line="264"/>
      </w:pPr>
      <w:r>
        <w:rPr>
          <w:b/>
          <w:bCs/>
        </w:rPr>
        <w:t xml:space="preserve">You see the portfolio late and without context.</w:t>
      </w:r>
      <w:r>
        <w:t xml:space="preserve"> Monthly disclosures show positions weeks after they were set, without the position sizing logic, entry price or exit plan behind them.</w:t>
      </w:r>
    </w:p>
    <w:p>
      <w:pPr>
        <w:pStyle w:val="ListParagraph"/>
        <w:numPr>
          <w:ilvl w:val="0"/>
          <w:numId w:val="3"/>
        </w:numPr>
        <w:spacing w:after="80" w:line="264"/>
      </w:pPr>
      <w:r>
        <w:rPr>
          <w:b/>
          <w:bCs/>
        </w:rPr>
        <w:t xml:space="preserve">The process is what persists.</w:t>
      </w:r>
      <w:r>
        <w:t xml:space="preserve"> Whether the fund's outcomes are repeatable depends on its investment process, risk controls and the consistency of its style. Those show up in rolling returns, capture ratios, portfolio turnover and style stability, which is why both Zerodha Varsity's analysis template and Value Research's fund notes focus on portfolio-level evidence [17][21].</w:t>
      </w:r>
    </w:p>
    <w:p>
      <w:pPr>
        <w:spacing w:after="120" w:line="276"/>
      </w:pPr>
      <w:r>
        <w:t xml:space="preserve">Use holdings to answer portfolio-level questions instead: Is concentration consistent with the stated style? Do sector weights fit the mandate? Does overlap with your other funds make this purchase redundant?</w:t>
      </w:r>
    </w:p>
    <w:p>
      <w:pPr>
        <w:pStyle w:val="Heading2"/>
      </w:pPr>
      <w:r>
        <w:t xml:space="preserve">Blind spot 4. AUM trajectory and fund flows</w:t>
      </w:r>
    </w:p>
    <w:p>
      <w:pPr>
        <w:spacing w:after="120" w:line="276"/>
      </w:pPr>
      <w:r>
        <w:t xml:space="preserve">A fund's size and the direction of its flows change what the manager can do. Heavy inflows into a small cap fund must be deployed into a limited pool of liquid stocks, which pushes the manager into larger positions in less liquid names or into higher cash. Heavy outflows force selling, often of the most liquid and best holdings.</w:t>
      </w:r>
    </w:p>
    <w:p>
      <w:pPr>
        <w:spacing w:after="120" w:line="276"/>
      </w:pPr>
      <w:r>
        <w:t xml:space="preserve">SEBI and AMFI recognised this in 2024 by requiring small and mid cap schemes to publish stress test results, starting March 2024: the number of days needed to sell 25% and 50% of the portfolio pro rata, along with valuation, volatility and investor concentration metrics [12].</w:t>
      </w:r>
    </w:p>
    <w:p>
      <w:pPr>
        <w:pStyle w:val="ListParagraph"/>
        <w:numPr>
          <w:ilvl w:val="0"/>
          <w:numId w:val="3"/>
        </w:numPr>
        <w:spacing w:after="80" w:line="264"/>
      </w:pPr>
      <w:r>
        <w:t xml:space="preserve">Plot scheme AUM over 3 to 5 years alongside returns. Check whether the strong record was earned when the fund was much smaller.</w:t>
      </w:r>
    </w:p>
    <w:p>
      <w:pPr>
        <w:pStyle w:val="ListParagraph"/>
        <w:numPr>
          <w:ilvl w:val="0"/>
          <w:numId w:val="3"/>
        </w:numPr>
        <w:spacing w:after="80" w:line="264"/>
      </w:pPr>
      <w:r>
        <w:t xml:space="preserve">Read the stress test disclosure and compare days-to-liquidate with peers.</w:t>
      </w:r>
    </w:p>
    <w:p>
      <w:pPr>
        <w:pStyle w:val="ListParagraph"/>
        <w:numPr>
          <w:ilvl w:val="0"/>
          <w:numId w:val="3"/>
        </w:numPr>
        <w:spacing w:after="80" w:line="264"/>
      </w:pPr>
      <w:r>
        <w:t xml:space="preserve">Note any restriction on lumpsum inflows. Several small cap funds have limited fresh inflows during periods of heavy flows; this is a signal of capacity strain.</w:t>
      </w:r>
    </w:p>
    <w:p>
      <w:pPr>
        <w:pStyle w:val="ListParagraph"/>
        <w:numPr>
          <w:ilvl w:val="0"/>
          <w:numId w:val="3"/>
        </w:numPr>
        <w:spacing w:after="80" w:line="264"/>
      </w:pPr>
      <w:r>
        <w:t xml:space="preserve">For the AMC as a whole, check the concentration of the top investors in the scheme, which the same disclosures report [12].</w:t>
      </w:r>
    </w:p>
    <w:p>
      <w:pPr>
        <w:pStyle w:val="Heading2"/>
      </w:pPr>
      <w:r>
        <w:t xml:space="preserve">Blind spot 5. Costs hidden outside the TER</w:t>
      </w:r>
    </w:p>
    <w:p>
      <w:pPr>
        <w:spacing w:after="120" w:line="276"/>
      </w:pPr>
      <w:r>
        <w:t xml:space="preserve">The TER is not the full cost of owning a fund. Under the SEBI (Mutual Funds) Regulations, 2026, the total expense ratio has three parts: the base expense ratio, brokerage and transaction costs, and statutory or regulatory levies [5][6]. Comparing only the headline management fee therefore understates cost.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927"/>
        <w:gridCol w:w="3180"/>
        <w:gridCol w:w="2411"/>
      </w:tblGrid>
      <w:tr>
        <w:trPr>
          <w:tblHeader/>
        </w:trPr>
        <w:tc>
          <w:tcPr>
            <w:tcW w:type="dxa" w:w="212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6"/>
                <w:szCs w:val="16"/>
              </w:rPr>
              <w:t xml:space="preserve">Cost</w:t>
            </w:r>
          </w:p>
        </w:tc>
        <w:tc>
          <w:tcPr>
            <w:tcW w:type="dxa" w:w="1927"/>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6"/>
                <w:szCs w:val="16"/>
              </w:rPr>
              <w:t xml:space="preserve">Where it sits</w:t>
            </w:r>
          </w:p>
        </w:tc>
        <w:tc>
          <w:tcPr>
            <w:tcW w:type="dxa" w:w="318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6"/>
                <w:szCs w:val="16"/>
              </w:rPr>
              <w:t xml:space="preserve">Position from 1 April 2026</w:t>
            </w:r>
          </w:p>
        </w:tc>
        <w:tc>
          <w:tcPr>
            <w:tcW w:type="dxa" w:w="2411"/>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6"/>
                <w:szCs w:val="16"/>
              </w:rPr>
              <w:t xml:space="preserve">How to check</w:t>
            </w:r>
          </w:p>
        </w:tc>
      </w:tr>
      <w:tr>
        <w:trPr>
          <w:cantSplit/>
        </w:trPr>
        <w:tc>
          <w:tcPr>
            <w:tcW w:type="dxa" w:w="212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6"/>
                <w:szCs w:val="16"/>
              </w:rPr>
              <w:t xml:space="preserve">Base expense ratio (BER)</w:t>
            </w:r>
          </w:p>
        </w:tc>
        <w:tc>
          <w:tcPr>
            <w:tcW w:type="dxa" w:w="1927"/>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6"/>
                <w:szCs w:val="16"/>
              </w:rPr>
              <w:t xml:space="preserve">Inside TER</w:t>
            </w:r>
          </w:p>
        </w:tc>
        <w:tc>
          <w:tcPr>
            <w:tcW w:type="dxa" w:w="318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6"/>
                <w:szCs w:val="16"/>
              </w:rPr>
              <w:t xml:space="preserve">Ceiling for open-ended equity under Rs 500 crore cut from 2.25% to 2.10%; debt equivalent cut to 1.85% [5][22]</w:t>
            </w:r>
          </w:p>
        </w:tc>
        <w:tc>
          <w:tcPr>
            <w:tcW w:type="dxa" w:w="241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6"/>
                <w:szCs w:val="16"/>
              </w:rPr>
              <w:t xml:space="preserve">AMC daily TER disclosure</w:t>
            </w:r>
          </w:p>
        </w:tc>
      </w:tr>
      <w:tr>
        <w:trPr>
          <w:cantSplit/>
        </w:trPr>
        <w:tc>
          <w:tcPr>
            <w:tcW w:type="dxa" w:w="212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6"/>
                <w:szCs w:val="16"/>
              </w:rPr>
              <w:t xml:space="preserve">Brokerage on trades</w:t>
            </w:r>
          </w:p>
        </w:tc>
        <w:tc>
          <w:tcPr>
            <w:tcW w:type="dxa" w:w="1927"/>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6"/>
                <w:szCs w:val="16"/>
              </w:rPr>
              <w:t xml:space="preserve">Charged to the scheme</w:t>
            </w:r>
          </w:p>
        </w:tc>
        <w:tc>
          <w:tcPr>
            <w:tcW w:type="dxa" w:w="318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6"/>
                <w:szCs w:val="16"/>
              </w:rPr>
              <w:t xml:space="preserve">Capped at 6 basis points for equity cash trades and 2 basis points for derivatives, excluding statutory levies [6]</w:t>
            </w:r>
          </w:p>
        </w:tc>
        <w:tc>
          <w:tcPr>
            <w:tcW w:type="dxa" w:w="241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6"/>
                <w:szCs w:val="16"/>
              </w:rPr>
              <w:t xml:space="preserve">Portfolio turnover ratio x trade cost</w:t>
            </w:r>
          </w:p>
        </w:tc>
      </w:tr>
      <w:tr>
        <w:trPr>
          <w:cantSplit/>
        </w:trPr>
        <w:tc>
          <w:tcPr>
            <w:tcW w:type="dxa" w:w="212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6"/>
                <w:szCs w:val="16"/>
              </w:rPr>
              <w:t xml:space="preserve">Statutory levies (STT, GST, stamp duty, SEBI and exchange fees)</w:t>
            </w:r>
          </w:p>
        </w:tc>
        <w:tc>
          <w:tcPr>
            <w:tcW w:type="dxa" w:w="1927"/>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6"/>
                <w:szCs w:val="16"/>
              </w:rPr>
              <w:t xml:space="preserve">Charged at actuals over and above BER [6]</w:t>
            </w:r>
          </w:p>
        </w:tc>
        <w:tc>
          <w:tcPr>
            <w:tcW w:type="dxa" w:w="318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6"/>
                <w:szCs w:val="16"/>
              </w:rPr>
              <w:t xml:space="preserve">Disclosed separately rather than inside the headline fee</w:t>
            </w:r>
          </w:p>
        </w:tc>
        <w:tc>
          <w:tcPr>
            <w:tcW w:type="dxa" w:w="241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6"/>
                <w:szCs w:val="16"/>
              </w:rPr>
              <w:t xml:space="preserve">AMC TER breakdown</w:t>
            </w:r>
          </w:p>
        </w:tc>
      </w:tr>
      <w:tr>
        <w:trPr>
          <w:cantSplit/>
        </w:trPr>
        <w:tc>
          <w:tcPr>
            <w:tcW w:type="dxa" w:w="212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6"/>
                <w:szCs w:val="16"/>
              </w:rPr>
              <w:t xml:space="preserve">Impact cost</w:t>
            </w:r>
          </w:p>
        </w:tc>
        <w:tc>
          <w:tcPr>
            <w:tcW w:type="dxa" w:w="1927"/>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6"/>
                <w:szCs w:val="16"/>
              </w:rPr>
              <w:t xml:space="preserve">In the NAV, never disclosed as a fee</w:t>
            </w:r>
          </w:p>
        </w:tc>
        <w:tc>
          <w:tcPr>
            <w:tcW w:type="dxa" w:w="318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6"/>
                <w:szCs w:val="16"/>
              </w:rPr>
              <w:t xml:space="preserve">Rises with fund size, turnover and illiquidity of holdings</w:t>
            </w:r>
          </w:p>
        </w:tc>
        <w:tc>
          <w:tcPr>
            <w:tcW w:type="dxa" w:w="241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6"/>
                <w:szCs w:val="16"/>
              </w:rPr>
              <w:t xml:space="preserve">Turnover, AUM, stress test results [12]</w:t>
            </w:r>
          </w:p>
        </w:tc>
      </w:tr>
      <w:tr>
        <w:trPr>
          <w:cantSplit/>
        </w:trPr>
        <w:tc>
          <w:tcPr>
            <w:tcW w:type="dxa" w:w="212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6"/>
                <w:szCs w:val="16"/>
              </w:rPr>
              <w:t xml:space="preserve">Exit-load-linked extra expense</w:t>
            </w:r>
          </w:p>
        </w:tc>
        <w:tc>
          <w:tcPr>
            <w:tcW w:type="dxa" w:w="1927"/>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6"/>
                <w:szCs w:val="16"/>
              </w:rPr>
              <w:t xml:space="preserve">Previously an additional 5 basis points</w:t>
            </w:r>
          </w:p>
        </w:tc>
        <w:tc>
          <w:tcPr>
            <w:tcW w:type="dxa" w:w="318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6"/>
                <w:szCs w:val="16"/>
              </w:rPr>
              <w:t xml:space="preserve">Removed [5][22]</w:t>
            </w:r>
          </w:p>
        </w:tc>
        <w:tc>
          <w:tcPr>
            <w:tcW w:type="dxa" w:w="241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6"/>
                <w:szCs w:val="16"/>
              </w:rPr>
              <w:t xml:space="preserve">Not applicable from 1 Apr 2026</w:t>
            </w:r>
          </w:p>
        </w:tc>
      </w:tr>
      <w:tr>
        <w:trPr>
          <w:cantSplit/>
        </w:trPr>
        <w:tc>
          <w:tcPr>
            <w:tcW w:type="dxa" w:w="212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6"/>
                <w:szCs w:val="16"/>
              </w:rPr>
              <w:t xml:space="preserve">Exit load</w:t>
            </w:r>
          </w:p>
        </w:tc>
        <w:tc>
          <w:tcPr>
            <w:tcW w:type="dxa" w:w="1927"/>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6"/>
                <w:szCs w:val="16"/>
              </w:rPr>
              <w:t xml:space="preserve">Paid by the investor on early redemption</w:t>
            </w:r>
          </w:p>
        </w:tc>
        <w:tc>
          <w:tcPr>
            <w:tcW w:type="dxa" w:w="318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6"/>
                <w:szCs w:val="16"/>
              </w:rPr>
              <w:t xml:space="preserve">Scheme-specific</w:t>
            </w:r>
          </w:p>
        </w:tc>
        <w:tc>
          <w:tcPr>
            <w:tcW w:type="dxa" w:w="241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6"/>
                <w:szCs w:val="16"/>
              </w:rPr>
              <w:t xml:space="preserve">SID, KIM</w:t>
            </w:r>
          </w:p>
        </w:tc>
      </w:tr>
      <w:tr>
        <w:trPr>
          <w:cantSplit/>
        </w:trPr>
        <w:tc>
          <w:tcPr>
            <w:tcW w:type="dxa" w:w="212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6"/>
                <w:szCs w:val="16"/>
              </w:rPr>
              <w:t xml:space="preserve">Stamp duty on purchases</w:t>
            </w:r>
          </w:p>
        </w:tc>
        <w:tc>
          <w:tcPr>
            <w:tcW w:type="dxa" w:w="1927"/>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6"/>
                <w:szCs w:val="16"/>
              </w:rPr>
              <w:t xml:space="preserve">Deducted from the investment amount</w:t>
            </w:r>
          </w:p>
        </w:tc>
        <w:tc>
          <w:tcPr>
            <w:tcW w:type="dxa" w:w="318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6"/>
                <w:szCs w:val="16"/>
              </w:rPr>
              <w:t xml:space="preserve">0.005% of the purchase value (since 1 July 2020)</w:t>
            </w:r>
          </w:p>
        </w:tc>
        <w:tc>
          <w:tcPr>
            <w:tcW w:type="dxa" w:w="241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6"/>
                <w:szCs w:val="16"/>
              </w:rPr>
              <w:t xml:space="preserve">Transaction statement</w:t>
            </w:r>
          </w:p>
        </w:tc>
      </w:tr>
      <w:tr>
        <w:trPr>
          <w:cantSplit/>
        </w:trPr>
        <w:tc>
          <w:tcPr>
            <w:tcW w:type="dxa" w:w="212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6"/>
                <w:szCs w:val="16"/>
              </w:rPr>
              <w:t xml:space="preserve">Tax on switches and rebalancing</w:t>
            </w:r>
          </w:p>
        </w:tc>
        <w:tc>
          <w:tcPr>
            <w:tcW w:type="dxa" w:w="1927"/>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6"/>
                <w:szCs w:val="16"/>
              </w:rPr>
              <w:t xml:space="preserve">Paid by the investor</w:t>
            </w:r>
          </w:p>
        </w:tc>
        <w:tc>
          <w:tcPr>
            <w:tcW w:type="dxa" w:w="318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6"/>
                <w:szCs w:val="16"/>
              </w:rPr>
              <w:t xml:space="preserve">Each switch is a redemption and a taxable event [24]</w:t>
            </w:r>
          </w:p>
        </w:tc>
        <w:tc>
          <w:tcPr>
            <w:tcW w:type="dxa" w:w="241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6"/>
                <w:szCs w:val="16"/>
              </w:rPr>
              <w:t xml:space="preserve">Capital gains statement</w:t>
            </w:r>
          </w:p>
        </w:tc>
      </w:tr>
    </w:tbl>
    <w:p>
      <w:pPr>
        <w:spacing w:after="60"/>
      </w:pPr>
    </w:p>
    <w:p>
      <w:pPr>
        <w:pStyle w:val="Heading2"/>
      </w:pPr>
      <w:r>
        <w:t xml:space="preserve">Blind spot 6. Manager change resets the track record</w:t>
      </w:r>
    </w:p>
    <w:p>
      <w:pPr>
        <w:spacing w:after="120" w:line="276"/>
      </w:pPr>
      <w:r>
        <w:t xml:space="preserve">A 10-year record is only relevant if the person or team who built it still runs the money. Value Research treats a manager change as a reason to review a holding, but not to exit automatically: it suggests watching the fund for three to six months to see whether the process and portfolio change [21].</w:t>
      </w:r>
    </w:p>
    <w:p>
      <w:pPr>
        <w:pStyle w:val="ListParagraph"/>
        <w:numPr>
          <w:ilvl w:val="0"/>
          <w:numId w:val="3"/>
        </w:numPr>
        <w:spacing w:after="80" w:line="264"/>
      </w:pPr>
      <w:r>
        <w:t xml:space="preserve">Compare the current manager's tenure with the window you are evaluating. If the manager joined 18 months ago, the 5-year return mostly reflects the predecessor.</w:t>
      </w:r>
    </w:p>
    <w:p>
      <w:pPr>
        <w:pStyle w:val="ListParagraph"/>
        <w:numPr>
          <w:ilvl w:val="0"/>
          <w:numId w:val="3"/>
        </w:numPr>
        <w:spacing w:after="80" w:line="264"/>
      </w:pPr>
      <w:r>
        <w:t xml:space="preserve">Look up the new manager's record on other schemes, adjusting for category.</w:t>
      </w:r>
    </w:p>
    <w:p>
      <w:pPr>
        <w:pStyle w:val="ListParagraph"/>
        <w:numPr>
          <w:ilvl w:val="0"/>
          <w:numId w:val="3"/>
        </w:numPr>
        <w:spacing w:after="80" w:line="264"/>
      </w:pPr>
      <w:r>
        <w:t xml:space="preserve">Watch portfolio turnover and sector weights in the months after the change. A spike in turnover usually means the new manager is rebuilding the portfolio.</w:t>
      </w:r>
    </w:p>
    <w:p>
      <w:pPr>
        <w:pStyle w:val="ListParagraph"/>
        <w:numPr>
          <w:ilvl w:val="0"/>
          <w:numId w:val="3"/>
        </w:numPr>
        <w:spacing w:after="80" w:line="264"/>
      </w:pPr>
      <w:r>
        <w:t xml:space="preserve">Team-run, process-driven funds suffer less from a single departure than star-manager funds.</w:t>
      </w:r>
    </w:p>
    <w:p>
      <w:pPr>
        <w:pStyle w:val="Heading2"/>
      </w:pPr>
      <w:r>
        <w:t xml:space="preserve">Blind spot 7. Downside behaviour in past crashes</w:t>
      </w:r>
    </w:p>
    <w:p>
      <w:pPr>
        <w:spacing w:after="120" w:line="276"/>
      </w:pPr>
      <w:r>
        <w:t xml:space="preserve">Average returns and 3-year volatility figures hide what investors actually live through: sharp falls. Investors often abandon funds at the bottom, which turns temporary losses into permanent ones. A fund that falls less recovers faster and is easier to hold.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5783"/>
      </w:tblGrid>
      <w:tr>
        <w:trPr>
          <w:tblHeader/>
        </w:trPr>
        <w:tc>
          <w:tcPr>
            <w:tcW w:type="dxa" w:w="3855"/>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Episode</w:t>
            </w:r>
          </w:p>
        </w:tc>
        <w:tc>
          <w:tcPr>
            <w:tcW w:type="dxa" w:w="5783"/>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What to measure for the fund vs its Tier 1 TRI</w:t>
            </w:r>
          </w:p>
        </w:tc>
      </w:tr>
      <w:tr>
        <w:trPr>
          <w:cantSplit/>
        </w:trPr>
        <w:tc>
          <w:tcPr>
            <w:tcW w:type="dxa" w:w="3855"/>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Global financial crisis, 2008 to early 2009</w:t>
            </w:r>
          </w:p>
        </w:tc>
        <w:tc>
          <w:tcPr>
            <w:tcW w:type="dxa" w:w="578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Peak-to-trough fall, months to recover to the previous peak</w:t>
            </w:r>
          </w:p>
        </w:tc>
      </w:tr>
      <w:tr>
        <w:trPr>
          <w:cantSplit/>
        </w:trPr>
        <w:tc>
          <w:tcPr>
            <w:tcW w:type="dxa" w:w="3855"/>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Mid and small cap correction, 2018</w:t>
            </w:r>
          </w:p>
        </w:tc>
        <w:tc>
          <w:tcPr>
            <w:tcW w:type="dxa" w:w="5783"/>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Drawdown of mid and small cap funds against their TRIs; any style drift into large caps</w:t>
            </w:r>
          </w:p>
        </w:tc>
      </w:tr>
      <w:tr>
        <w:trPr>
          <w:cantSplit/>
        </w:trPr>
        <w:tc>
          <w:tcPr>
            <w:tcW w:type="dxa" w:w="3855"/>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Covid crash, February to March 2020</w:t>
            </w:r>
          </w:p>
        </w:tc>
        <w:tc>
          <w:tcPr>
            <w:tcW w:type="dxa" w:w="5783"/>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Drawdown in about five weeks; speed of recovery through 2020</w:t>
            </w:r>
          </w:p>
        </w:tc>
      </w:tr>
      <w:tr>
        <w:trPr>
          <w:cantSplit/>
        </w:trPr>
        <w:tc>
          <w:tcPr>
            <w:tcW w:type="dxa" w:w="3855"/>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Mid and small cap correction from late 2024</w:t>
            </w:r>
          </w:p>
        </w:tc>
        <w:tc>
          <w:tcPr>
            <w:tcW w:type="dxa" w:w="5783"/>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Drawdown, cash calls, and liquidity (stress test) behaviour</w:t>
            </w:r>
          </w:p>
        </w:tc>
      </w:tr>
    </w:tbl>
    <w:p>
      <w:pPr>
        <w:spacing w:after="60"/>
      </w:pPr>
    </w:p>
    <w:p>
      <w:pPr>
        <w:pStyle w:val="ListParagraph"/>
        <w:numPr>
          <w:ilvl w:val="0"/>
          <w:numId w:val="3"/>
        </w:numPr>
        <w:spacing w:after="80" w:line="264"/>
      </w:pPr>
      <w:r>
        <w:t xml:space="preserve">Use downside capture to summarise behaviour across many down months [16]. A downside capture well below 100 with reasonable upside capture is the profile you want.</w:t>
      </w:r>
    </w:p>
    <w:p>
      <w:pPr>
        <w:pStyle w:val="ListParagraph"/>
        <w:numPr>
          <w:ilvl w:val="0"/>
          <w:numId w:val="3"/>
        </w:numPr>
        <w:spacing w:after="80" w:line="264"/>
      </w:pPr>
      <w:r>
        <w:t xml:space="preserve">For funds that did not exist during a crash, look at the manager's other funds or the AMC's funds in the same style during that period.</w:t>
      </w:r>
    </w:p>
    <w:p>
      <w:pPr>
        <w:pStyle w:val="Heading2"/>
      </w:pPr>
      <w:r>
        <w:t xml:space="preserve">Blind spot 8. Portfolio overlap masquerading as diversification</w:t>
      </w:r>
    </w:p>
    <w:p>
      <w:pPr>
        <w:spacing w:after="120" w:line="276"/>
      </w:pPr>
      <w:r>
        <w:t xml:space="preserve">Owning five equity funds from five AMCs can still leave you with one portfolio, because large and flexi cap funds tend to hold many of the same large companies. Overlap means more line items and more monitoring for little extra diversification.</w:t>
      </w:r>
    </w:p>
    <w:p>
      <w:pPr>
        <w:spacing w:after="120" w:line="276"/>
      </w:pPr>
      <w:r>
        <w:t xml:space="preserve">SEBI now caps overlap inside a single AMC for some schemes: sectoral and thematic schemes may not overlap more than 50% with the AMC's other equity schemes (except large cap), and AMCs that run both value and contra funds must keep the overlap between them at or below 50%. Overlap is computed quarterly from daily data, and AMCs must disclose category-wise overlap monthly [4]. No rule limits the overlap across funds from different AMCs in your own portfolio; that check is yours.</w:t>
      </w:r>
    </w:p>
    <w:p>
      <w:pPr>
        <w:pStyle w:val="ListParagraph"/>
        <w:numPr>
          <w:ilvl w:val="0"/>
          <w:numId w:val="3"/>
        </w:numPr>
        <w:spacing w:after="80" w:line="264"/>
      </w:pPr>
      <w:r>
        <w:t xml:space="preserve">Compute pairwise overlap (the sum of the lower weight of each common stock) between every pair of your equity funds.</w:t>
      </w:r>
    </w:p>
    <w:p>
      <w:pPr>
        <w:pStyle w:val="ListParagraph"/>
        <w:numPr>
          <w:ilvl w:val="0"/>
          <w:numId w:val="3"/>
        </w:numPr>
        <w:spacing w:after="80" w:line="264"/>
      </w:pPr>
      <w:r>
        <w:t xml:space="preserve">Combine all funds into one look-through portfolio and list its top 10 stocks and top 5 sectors. If they look like the Nifty 50, you may be paying active fees for index exposure.</w:t>
      </w:r>
    </w:p>
    <w:p>
      <w:pPr>
        <w:pStyle w:val="ListParagraph"/>
        <w:numPr>
          <w:ilvl w:val="0"/>
          <w:numId w:val="3"/>
        </w:numPr>
        <w:spacing w:after="80" w:line="264"/>
      </w:pPr>
      <w:r>
        <w:t xml:space="preserve">Overlap above about 50% between two funds is a rule of thumb for "one of these is redundant".</w:t>
      </w:r>
    </w:p>
    <w:p>
      <w:pPr>
        <w:pStyle w:val="Heading2"/>
      </w:pPr>
      <w:r>
        <w:t xml:space="preserve">Blind spot 9. Direct vs regular compounding gap</w:t>
      </w:r>
    </w:p>
    <w:p>
      <w:pPr>
        <w:spacing w:after="120" w:line="276"/>
      </w:pPr>
      <w:r>
        <w:t xml:space="preserve">Direct plans have existed since 1 January 2013. They carry no distributor commission, have a separate NAV, and charge a lower expense ratio [8]. The annual gap looks small, but it compounds. The illustration below assumes a one-time investment of Rs 10 lakh, a gross portfolio return of 12% a year, and expense ratios of 0.75% (direct) and 1.75% (regular). These are illustrative figures, not those of any particular scheme; use the actual TER gap for your fund.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120"/>
        <w:gridCol w:w="2120"/>
        <w:gridCol w:w="1927"/>
        <w:gridCol w:w="1929"/>
      </w:tblGrid>
      <w:tr>
        <w:trPr>
          <w:tblHeader/>
        </w:trPr>
        <w:tc>
          <w:tcPr>
            <w:tcW w:type="dxa" w:w="1542"/>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Holding period</w:t>
            </w:r>
          </w:p>
        </w:tc>
        <w:tc>
          <w:tcPr>
            <w:tcW w:type="dxa" w:w="212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Direct plan value (net 11.25% a year)</w:t>
            </w:r>
          </w:p>
        </w:tc>
        <w:tc>
          <w:tcPr>
            <w:tcW w:type="dxa" w:w="2120"/>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Regular plan value (net 10.25% a year)</w:t>
            </w:r>
          </w:p>
        </w:tc>
        <w:tc>
          <w:tcPr>
            <w:tcW w:type="dxa" w:w="1927"/>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Gap</w:t>
            </w:r>
          </w:p>
        </w:tc>
        <w:tc>
          <w:tcPr>
            <w:tcW w:type="dxa" w:w="1929"/>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Gap as % of direct value</w:t>
            </w:r>
          </w:p>
        </w:tc>
      </w:tr>
      <w:tr>
        <w:trPr>
          <w:cantSplit/>
        </w:trPr>
        <w:tc>
          <w:tcPr>
            <w:tcW w:type="dxa" w:w="1542"/>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10 years</w:t>
            </w:r>
          </w:p>
        </w:tc>
        <w:tc>
          <w:tcPr>
            <w:tcW w:type="dxa" w:w="212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Rs 29.04 lakh</w:t>
            </w:r>
          </w:p>
        </w:tc>
        <w:tc>
          <w:tcPr>
            <w:tcW w:type="dxa" w:w="212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Rs 26.53 lakh</w:t>
            </w:r>
          </w:p>
        </w:tc>
        <w:tc>
          <w:tcPr>
            <w:tcW w:type="dxa" w:w="1927"/>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Rs 2.51 lakh</w:t>
            </w:r>
          </w:p>
        </w:tc>
        <w:tc>
          <w:tcPr>
            <w:tcW w:type="dxa" w:w="1929"/>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8.6%</w:t>
            </w:r>
          </w:p>
        </w:tc>
      </w:tr>
      <w:tr>
        <w:trPr>
          <w:cantSplit/>
        </w:trPr>
        <w:tc>
          <w:tcPr>
            <w:tcW w:type="dxa" w:w="1542"/>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15 years</w:t>
            </w:r>
          </w:p>
        </w:tc>
        <w:tc>
          <w:tcPr>
            <w:tcW w:type="dxa" w:w="212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Rs 49.49 lakh</w:t>
            </w:r>
          </w:p>
        </w:tc>
        <w:tc>
          <w:tcPr>
            <w:tcW w:type="dxa" w:w="212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Rs 43.22 lakh</w:t>
            </w:r>
          </w:p>
        </w:tc>
        <w:tc>
          <w:tcPr>
            <w:tcW w:type="dxa" w:w="1927"/>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Rs 6.27 lakh</w:t>
            </w:r>
          </w:p>
        </w:tc>
        <w:tc>
          <w:tcPr>
            <w:tcW w:type="dxa" w:w="1929"/>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12.7%</w:t>
            </w:r>
          </w:p>
        </w:tc>
      </w:tr>
      <w:tr>
        <w:trPr>
          <w:cantSplit/>
        </w:trPr>
        <w:tc>
          <w:tcPr>
            <w:tcW w:type="dxa" w:w="1542"/>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20 years</w:t>
            </w:r>
          </w:p>
        </w:tc>
        <w:tc>
          <w:tcPr>
            <w:tcW w:type="dxa" w:w="212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Rs 84.33 lakh</w:t>
            </w:r>
          </w:p>
        </w:tc>
        <w:tc>
          <w:tcPr>
            <w:tcW w:type="dxa" w:w="2120"/>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Rs 70.40 lakh</w:t>
            </w:r>
          </w:p>
        </w:tc>
        <w:tc>
          <w:tcPr>
            <w:tcW w:type="dxa" w:w="1927"/>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Rs 13.93 lakh</w:t>
            </w:r>
          </w:p>
        </w:tc>
        <w:tc>
          <w:tcPr>
            <w:tcW w:type="dxa" w:w="1929"/>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16.5%</w:t>
            </w:r>
          </w:p>
        </w:tc>
      </w:tr>
      <w:tr>
        <w:trPr>
          <w:cantSplit/>
        </w:trPr>
        <w:tc>
          <w:tcPr>
            <w:tcW w:type="dxa" w:w="1542"/>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25 years</w:t>
            </w:r>
          </w:p>
        </w:tc>
        <w:tc>
          <w:tcPr>
            <w:tcW w:type="dxa" w:w="212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Rs 143.71 lakh</w:t>
            </w:r>
          </w:p>
        </w:tc>
        <w:tc>
          <w:tcPr>
            <w:tcW w:type="dxa" w:w="2120"/>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Rs 114.67 lakh</w:t>
            </w:r>
          </w:p>
        </w:tc>
        <w:tc>
          <w:tcPr>
            <w:tcW w:type="dxa" w:w="1927"/>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Rs 29.04 lakh</w:t>
            </w:r>
          </w:p>
        </w:tc>
        <w:tc>
          <w:tcPr>
            <w:tcW w:type="dxa" w:w="1929"/>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20.2%</w:t>
            </w:r>
          </w:p>
        </w:tc>
      </w:tr>
    </w:tbl>
    <w:p>
      <w:pPr>
        <w:spacing w:after="120" w:before="80"/>
      </w:pPr>
      <w:r>
        <w:t xml:space="preserve">Net returns are approximated as gross return minus TER. The regular plan is worth paying for only if the advice it funds (asset allocation, rebalancing, behavioural coaching) adds more than this gap. If you use a fee-only adviser and the direct plan, the adviser's fee is the comparable cost.</w:t>
      </w:r>
    </w:p>
    <w:p>
      <w:pPr>
        <w:pStyle w:val="Heading2"/>
      </w:pPr>
      <w:r>
        <w:t xml:space="preserve">Blind spot 10. AMC-level compliance and risk systems</w:t>
      </w:r>
    </w:p>
    <w:p>
      <w:pPr>
        <w:spacing w:after="120" w:line="276"/>
      </w:pPr>
      <w:r>
        <w:t xml:space="preserve">A scheme review usually stops at the scheme. But the fund house's governance decides how well the scheme is protected from failures such as front running by insiders, valuation errors, liquidity mismatches in debt schemes, and concentrated credit bets. These are rare, but when they happen they can dominate years of good performance.</w:t>
      </w:r>
    </w:p>
    <w:p>
      <w:pPr>
        <w:spacing w:after="120" w:line="276"/>
      </w:pPr>
      <w:r>
        <w:t xml:space="preserve">SEBI amended the mutual fund regulations in 2024 to require every AMC to set up an institutional mechanism to identify and deter market abuse, including front running, with the CEO or MD and the Chief Compliance Officer accountable, and to maintain a whistle-blower policy [11]. The 2026 regulations continue to place governance obligations on AMCs and trustees [5].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6"/>
        <w:gridCol w:w="2891"/>
        <w:gridCol w:w="3471"/>
      </w:tblGrid>
      <w:tr>
        <w:trPr>
          <w:tblHeader/>
        </w:trPr>
        <w:tc>
          <w:tcPr>
            <w:tcW w:type="dxa" w:w="3276"/>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Check</w:t>
            </w:r>
          </w:p>
        </w:tc>
        <w:tc>
          <w:tcPr>
            <w:tcW w:type="dxa" w:w="2891"/>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Where to look</w:t>
            </w:r>
          </w:p>
        </w:tc>
        <w:tc>
          <w:tcPr>
            <w:tcW w:type="dxa" w:w="3471"/>
            <w:tcBorders>
              <w:top w:val="single" w:color="A6B4C8" w:sz="4"/>
              <w:left w:val="single" w:color="A6B4C8" w:sz="4"/>
              <w:bottom w:val="single" w:color="A6B4C8" w:sz="4"/>
              <w:right w:val="single" w:color="A6B4C8" w:sz="4"/>
            </w:tcBorders>
            <w:shd w:fill="1F3864" w:color="auto" w:val="clear"/>
            <w:tcMar>
              <w:top w:type="dxa" w:w="60"/>
              <w:left w:type="dxa" w:w="90"/>
              <w:bottom w:type="dxa" w:w="60"/>
              <w:right w:type="dxa" w:w="90"/>
            </w:tcMar>
          </w:tcPr>
          <w:p>
            <w:pPr>
              <w:spacing w:after="0" w:line="252"/>
            </w:pPr>
            <w:r>
              <w:rPr>
                <w:b/>
                <w:bCs/>
                <w:color w:val="FFFFFF"/>
                <w:sz w:val="17"/>
                <w:szCs w:val="17"/>
              </w:rPr>
              <w:t xml:space="preserve">Red flag</w:t>
            </w:r>
          </w:p>
        </w:tc>
      </w:tr>
      <w:tr>
        <w:trPr>
          <w:cantSplit/>
        </w:trPr>
        <w:tc>
          <w:tcPr>
            <w:tcW w:type="dxa" w:w="3276"/>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SEBI enforcement orders against the AMC or its staff</w:t>
            </w:r>
          </w:p>
        </w:tc>
        <w:tc>
          <w:tcPr>
            <w:tcW w:type="dxa" w:w="289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SEBI website, enforcement orders section</w:t>
            </w:r>
          </w:p>
        </w:tc>
        <w:tc>
          <w:tcPr>
            <w:tcW w:type="dxa" w:w="347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Any order on front running, insider trading, or mis-selling in the last 5 years</w:t>
            </w:r>
          </w:p>
        </w:tc>
      </w:tr>
      <w:tr>
        <w:trPr>
          <w:cantSplit/>
        </w:trPr>
        <w:tc>
          <w:tcPr>
            <w:tcW w:type="dxa" w:w="3276"/>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Segregated portfolios (side pockets) and credit events</w:t>
            </w:r>
          </w:p>
        </w:tc>
        <w:tc>
          <w:tcPr>
            <w:tcW w:type="dxa" w:w="289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AMC disclosures, factsheet notes</w:t>
            </w:r>
          </w:p>
        </w:tc>
        <w:tc>
          <w:tcPr>
            <w:tcW w:type="dxa" w:w="347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Repeated credit events across debt schemes</w:t>
            </w:r>
          </w:p>
        </w:tc>
      </w:tr>
      <w:tr>
        <w:trPr>
          <w:cantSplit/>
        </w:trPr>
        <w:tc>
          <w:tcPr>
            <w:tcW w:type="dxa" w:w="3276"/>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Scheme wind-ups or suspensions of redemption</w:t>
            </w:r>
          </w:p>
        </w:tc>
        <w:tc>
          <w:tcPr>
            <w:tcW w:type="dxa" w:w="289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AMC announcements, SEBI orders</w:t>
            </w:r>
          </w:p>
        </w:tc>
        <w:tc>
          <w:tcPr>
            <w:tcW w:type="dxa" w:w="347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History of gating or winding up schemes</w:t>
            </w:r>
          </w:p>
        </w:tc>
      </w:tr>
      <w:tr>
        <w:trPr>
          <w:cantSplit/>
        </w:trPr>
        <w:tc>
          <w:tcPr>
            <w:tcW w:type="dxa" w:w="3276"/>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Risk management and stress test disclosures</w:t>
            </w:r>
          </w:p>
        </w:tc>
        <w:tc>
          <w:tcPr>
            <w:tcW w:type="dxa" w:w="289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AMC website [12]</w:t>
            </w:r>
          </w:p>
        </w:tc>
        <w:tc>
          <w:tcPr>
            <w:tcW w:type="dxa" w:w="347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Missing, late or worsening disclosures</w:t>
            </w:r>
          </w:p>
        </w:tc>
      </w:tr>
      <w:tr>
        <w:trPr>
          <w:cantSplit/>
        </w:trPr>
        <w:tc>
          <w:tcPr>
            <w:tcW w:type="dxa" w:w="3276"/>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bCs/>
                <w:sz w:val="17"/>
                <w:szCs w:val="17"/>
              </w:rPr>
              <w:t xml:space="preserve">Trustee and board independence</w:t>
            </w:r>
          </w:p>
        </w:tc>
        <w:tc>
          <w:tcPr>
            <w:tcW w:type="dxa" w:w="289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AMC annual report</w:t>
            </w:r>
          </w:p>
        </w:tc>
        <w:tc>
          <w:tcPr>
            <w:tcW w:type="dxa" w:w="3471"/>
            <w:tcBorders>
              <w:top w:val="single" w:color="A6B4C8" w:sz="4"/>
              <w:left w:val="single" w:color="A6B4C8" w:sz="4"/>
              <w:bottom w:val="single" w:color="A6B4C8" w:sz="4"/>
              <w:right w:val="single" w:color="A6B4C8" w:sz="4"/>
            </w:tcBorders>
            <w:tcMar>
              <w:top w:type="dxa" w:w="60"/>
              <w:left w:type="dxa" w:w="90"/>
              <w:bottom w:type="dxa" w:w="60"/>
              <w:right w:type="dxa" w:w="90"/>
            </w:tcMar>
          </w:tcPr>
          <w:p>
            <w:pPr>
              <w:spacing w:after="0" w:line="252"/>
            </w:pPr>
            <w:r>
              <w:rPr>
                <w:b w:val="false"/>
                <w:bCs w:val="false"/>
                <w:sz w:val="17"/>
                <w:szCs w:val="17"/>
              </w:rPr>
              <w:t xml:space="preserve">Thin independent representation</w:t>
            </w:r>
          </w:p>
        </w:tc>
      </w:tr>
      <w:tr>
        <w:trPr>
          <w:cantSplit/>
        </w:trPr>
        <w:tc>
          <w:tcPr>
            <w:tcW w:type="dxa" w:w="3276"/>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bCs/>
                <w:sz w:val="17"/>
                <w:szCs w:val="17"/>
              </w:rPr>
              <w:t xml:space="preserve">Valuation and pricing errors</w:t>
            </w:r>
          </w:p>
        </w:tc>
        <w:tc>
          <w:tcPr>
            <w:tcW w:type="dxa" w:w="289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AMC addenda, SEBI orders</w:t>
            </w:r>
          </w:p>
        </w:tc>
        <w:tc>
          <w:tcPr>
            <w:tcW w:type="dxa" w:w="3471"/>
            <w:tcBorders>
              <w:top w:val="single" w:color="A6B4C8" w:sz="4"/>
              <w:left w:val="single" w:color="A6B4C8" w:sz="4"/>
              <w:bottom w:val="single" w:color="A6B4C8" w:sz="4"/>
              <w:right w:val="single" w:color="A6B4C8" w:sz="4"/>
            </w:tcBorders>
            <w:shd w:fill="F2F6FB" w:color="auto" w:val="clear"/>
            <w:tcMar>
              <w:top w:type="dxa" w:w="60"/>
              <w:left w:type="dxa" w:w="90"/>
              <w:bottom w:type="dxa" w:w="60"/>
              <w:right w:type="dxa" w:w="90"/>
            </w:tcMar>
          </w:tcPr>
          <w:p>
            <w:pPr>
              <w:spacing w:after="0" w:line="252"/>
            </w:pPr>
            <w:r>
              <w:rPr>
                <w:b w:val="false"/>
                <w:bCs w:val="false"/>
                <w:sz w:val="17"/>
                <w:szCs w:val="17"/>
              </w:rPr>
              <w:t xml:space="preserve">Repeated NAV corrections</w:t>
            </w:r>
          </w:p>
        </w:tc>
      </w:tr>
    </w:tbl>
    <w:p>
      <w:pPr>
        <w:spacing w:after="60"/>
      </w:pPr>
    </w:p>
    <w:p>
      <w:pPr>
        <w:pStyle w:val="Heading1"/>
        <w:pageBreakBefore/>
      </w:pPr>
      <w:r>
        <w:t xml:space="preserve">Sources</w:t>
      </w:r>
    </w:p>
    <w:p>
      <w:pPr>
        <w:spacing w:after="120" w:line="276"/>
      </w:pPr>
      <w:r>
        <w:t xml:space="preserve">All sources were checked in October 2026. Where the primary SEBI document could not be retrieved directly, the source reproducing or summarising it is listed. Always confirm details against the current SID and the SEBI website before acting.</w:t>
      </w:r>
    </w:p>
    <w:p>
      <w:pPr>
        <w:tabs>
          <w:tab w:val="left" w:pos="540"/>
        </w:tabs>
        <w:spacing w:after="80"/>
        <w:ind w:left="540" w:hanging="540"/>
      </w:pPr>
      <w:r>
        <w:rPr>
          <w:b/>
          <w:bCs/>
          <w:sz w:val="18"/>
          <w:szCs w:val="18"/>
        </w:rPr>
        <w:t xml:space="preserve">[1]	</w:t>
      </w:r>
      <w:r>
        <w:rPr>
          <w:sz w:val="18"/>
          <w:szCs w:val="18"/>
        </w:rPr>
        <w:t xml:space="preserve">SEBI circular SEBI/HO/IMD/DF3/CIR/P/2018/04, "Benchmarking of Scheme's performance to Total Return Index", 4 January 2018, effective 1 February 2018. </w:t>
      </w:r>
      <w:hyperlink w:history="1" r:id="rIdhsy07jrsvop0xgbylokgd">
        <w:r>
          <w:rPr>
            <w:rStyle w:val="Hyperlink"/>
            <w:sz w:val="18"/>
            <w:szCs w:val="18"/>
          </w:rPr>
          <w:t xml:space="preserve">https://taxguru.in/sebi/bench-marking-mf-schemes-performance-total-return-index.html</w:t>
        </w:r>
      </w:hyperlink>
    </w:p>
    <w:p>
      <w:pPr>
        <w:tabs>
          <w:tab w:val="left" w:pos="540"/>
        </w:tabs>
        <w:spacing w:after="80"/>
        <w:ind w:left="540" w:hanging="540"/>
      </w:pPr>
      <w:r>
        <w:rPr>
          <w:b/>
          <w:bCs/>
          <w:sz w:val="18"/>
          <w:szCs w:val="18"/>
        </w:rPr>
        <w:t xml:space="preserve">[2]	</w:t>
      </w:r>
      <w:r>
        <w:rPr>
          <w:sz w:val="18"/>
          <w:szCs w:val="18"/>
        </w:rPr>
        <w:t xml:space="preserve">SEBI circular SEBI/HO/IMD/IMD-II DOF3/P/CIR/2021/652, "Guiding principles for bringing uniformity in benchmarks of Mutual Fund Schemes", 27 October 2021. </w:t>
      </w:r>
      <w:hyperlink w:history="1" r:id="rIdbksbn7frawtwbkfnliubc">
        <w:r>
          <w:rPr>
            <w:rStyle w:val="Hyperlink"/>
            <w:sz w:val="18"/>
            <w:szCs w:val="18"/>
          </w:rPr>
          <w:t xml:space="preserve">https://taxguru.in/sebi/guiding-principles-bringing-uniformity-benchmarks-mf-schemes.html</w:t>
        </w:r>
      </w:hyperlink>
    </w:p>
    <w:p>
      <w:pPr>
        <w:tabs>
          <w:tab w:val="left" w:pos="540"/>
        </w:tabs>
        <w:spacing w:after="80"/>
        <w:ind w:left="540" w:hanging="540"/>
      </w:pPr>
      <w:r>
        <w:rPr>
          <w:b/>
          <w:bCs/>
          <w:sz w:val="18"/>
          <w:szCs w:val="18"/>
        </w:rPr>
        <w:t xml:space="preserve">[3]	</w:t>
      </w:r>
      <w:r>
        <w:rPr>
          <w:sz w:val="18"/>
          <w:szCs w:val="18"/>
        </w:rPr>
        <w:t xml:space="preserve">AMFI, list of first tier benchmarks for mutual fund schemes (as reported by Cafemutual). </w:t>
      </w:r>
      <w:hyperlink w:history="1" r:id="rIdnjba5dggkwgh7mdzwoivc">
        <w:r>
          <w:rPr>
            <w:rStyle w:val="Hyperlink"/>
            <w:sz w:val="18"/>
            <w:szCs w:val="18"/>
          </w:rPr>
          <w:t xml:space="preserve">https://cafemutual.com/news/industry/23378-amfi-releases-tier-1-benchmark-list-for-mutual-fund-schemes</w:t>
        </w:r>
      </w:hyperlink>
    </w:p>
    <w:p>
      <w:pPr>
        <w:tabs>
          <w:tab w:val="left" w:pos="540"/>
        </w:tabs>
        <w:spacing w:after="80"/>
        <w:ind w:left="540" w:hanging="540"/>
      </w:pPr>
      <w:r>
        <w:rPr>
          <w:b/>
          <w:bCs/>
          <w:sz w:val="18"/>
          <w:szCs w:val="18"/>
        </w:rPr>
        <w:t xml:space="preserve">[4]	</w:t>
      </w:r>
      <w:r>
        <w:rPr>
          <w:sz w:val="18"/>
          <w:szCs w:val="18"/>
        </w:rPr>
        <w:t xml:space="preserve">SEBI circular HO/24/13/15(2)2026-IMD-RAC4/I/5764/2026, "Categorisation and Rationalisation of Mutual Fund Schemes", 26 February 2026 (summary via TaxGuru). </w:t>
      </w:r>
      <w:hyperlink w:history="1" r:id="rIdegr-beimy2swffidpcdwa">
        <w:r>
          <w:rPr>
            <w:rStyle w:val="Hyperlink"/>
            <w:sz w:val="18"/>
            <w:szCs w:val="18"/>
          </w:rPr>
          <w:t xml:space="preserve">https://taxguru.in/sebi/sebi-overhauls-mutual-fund-categorization-curb-portfolio-overlap.html</w:t>
        </w:r>
      </w:hyperlink>
    </w:p>
    <w:p>
      <w:pPr>
        <w:tabs>
          <w:tab w:val="left" w:pos="540"/>
        </w:tabs>
        <w:spacing w:after="80"/>
        <w:ind w:left="540" w:hanging="540"/>
      </w:pPr>
      <w:r>
        <w:rPr>
          <w:b/>
          <w:bCs/>
          <w:sz w:val="18"/>
          <w:szCs w:val="18"/>
        </w:rPr>
        <w:t xml:space="preserve">[5]	</w:t>
      </w:r>
      <w:r>
        <w:rPr>
          <w:sz w:val="18"/>
          <w:szCs w:val="18"/>
        </w:rPr>
        <w:t xml:space="preserve">SEBI (Mutual Funds) Regulations, 2026, notified January 2026, in force from 1 April 2026. </w:t>
      </w:r>
      <w:hyperlink w:history="1" r:id="rId8f8waawg-77ua6gkhluh1">
        <w:r>
          <w:rPr>
            <w:rStyle w:val="Hyperlink"/>
            <w:sz w:val="18"/>
            <w:szCs w:val="18"/>
          </w:rPr>
          <w:t xml:space="preserve">https://taxguru.in/sebi/sebi-mutual-funds-regulations-2026.html</w:t>
        </w:r>
      </w:hyperlink>
    </w:p>
    <w:p>
      <w:pPr>
        <w:tabs>
          <w:tab w:val="left" w:pos="540"/>
        </w:tabs>
        <w:spacing w:after="80"/>
        <w:ind w:left="540" w:hanging="540"/>
      </w:pPr>
      <w:r>
        <w:rPr>
          <w:b/>
          <w:bCs/>
          <w:sz w:val="18"/>
          <w:szCs w:val="18"/>
        </w:rPr>
        <w:t xml:space="preserve">[6]	</w:t>
      </w:r>
      <w:r>
        <w:rPr>
          <w:sz w:val="18"/>
          <w:szCs w:val="18"/>
        </w:rPr>
        <w:t xml:space="preserve">Value Research, "SEBI's TER overhaul: What mutual fund investors must know". </w:t>
      </w:r>
      <w:hyperlink w:history="1" r:id="rIdo29rbvf7zm33xhkj3df6k">
        <w:r>
          <w:rPr>
            <w:rStyle w:val="Hyperlink"/>
            <w:sz w:val="18"/>
            <w:szCs w:val="18"/>
          </w:rPr>
          <w:t xml:space="preserve">https://www.valueresearchonline.com/stories/227233/sebis-ter-overhaul-what-mutual-fund-investors-must-know/</w:t>
        </w:r>
      </w:hyperlink>
    </w:p>
    <w:p>
      <w:pPr>
        <w:tabs>
          <w:tab w:val="left" w:pos="540"/>
        </w:tabs>
        <w:spacing w:after="80"/>
        <w:ind w:left="540" w:hanging="540"/>
      </w:pPr>
      <w:r>
        <w:rPr>
          <w:b/>
          <w:bCs/>
          <w:sz w:val="18"/>
          <w:szCs w:val="18"/>
        </w:rPr>
        <w:t xml:space="preserve">[7]	</w:t>
      </w:r>
      <w:r>
        <w:rPr>
          <w:sz w:val="18"/>
          <w:szCs w:val="18"/>
        </w:rPr>
        <w:t xml:space="preserve">SEBI circular on product labelling (Risk-o-meter), 5 October 2020, effective 1 January 2021 (explainer via Business Standard). </w:t>
      </w:r>
      <w:hyperlink w:history="1" r:id="rIdzhwedpo7t6jsd6dk1tw_u">
        <w:r>
          <w:rPr>
            <w:rStyle w:val="Hyperlink"/>
            <w:sz w:val="18"/>
            <w:szCs w:val="18"/>
          </w:rPr>
          <w:t xml:space="preserve">https://www.business-standard.com/article/markets/decoding-risk-o-meter-3-0-and-its-use-as-an-investment-tool-in-the-mf-space-120100601112_1.html</w:t>
        </w:r>
      </w:hyperlink>
    </w:p>
    <w:p>
      <w:pPr>
        <w:tabs>
          <w:tab w:val="left" w:pos="540"/>
        </w:tabs>
        <w:spacing w:after="80"/>
        <w:ind w:left="540" w:hanging="540"/>
      </w:pPr>
      <w:r>
        <w:rPr>
          <w:b/>
          <w:bCs/>
          <w:sz w:val="18"/>
          <w:szCs w:val="18"/>
        </w:rPr>
        <w:t xml:space="preserve">[8]	</w:t>
      </w:r>
      <w:r>
        <w:rPr>
          <w:sz w:val="18"/>
          <w:szCs w:val="18"/>
        </w:rPr>
        <w:t xml:space="preserve">SEBI circular CIR/IMD/DF/21/2012, "Steps to re-energise Mutual Fund Industry", 13 September 2012 (direct plans from 1 January 2013). </w:t>
      </w:r>
      <w:hyperlink w:history="1" r:id="rIdg6qjlq_lsrn17hezv5onj">
        <w:r>
          <w:rPr>
            <w:rStyle w:val="Hyperlink"/>
            <w:sz w:val="18"/>
            <w:szCs w:val="18"/>
          </w:rPr>
          <w:t xml:space="preserve">https://www.sebi.gov.in/sebi_data/attachdocs/1347547815927.pdf</w:t>
        </w:r>
      </w:hyperlink>
    </w:p>
    <w:p>
      <w:pPr>
        <w:tabs>
          <w:tab w:val="left" w:pos="540"/>
        </w:tabs>
        <w:spacing w:after="80"/>
        <w:ind w:left="540" w:hanging="540"/>
      </w:pPr>
      <w:r>
        <w:rPr>
          <w:b/>
          <w:bCs/>
          <w:sz w:val="18"/>
          <w:szCs w:val="18"/>
        </w:rPr>
        <w:t xml:space="preserve">[9]	</w:t>
      </w:r>
      <w:r>
        <w:rPr>
          <w:sz w:val="18"/>
          <w:szCs w:val="18"/>
        </w:rPr>
        <w:t xml:space="preserve">SEBI circular SEBI/HO/IMD/DOF2/P/CIR/2022/69, "Development of Passive Funds", 23 May 2022, effective 1 July 2022. </w:t>
      </w:r>
      <w:hyperlink w:history="1" r:id="rIdab2wdn2p5es7da8teizll">
        <w:r>
          <w:rPr>
            <w:rStyle w:val="Hyperlink"/>
            <w:sz w:val="18"/>
            <w:szCs w:val="18"/>
          </w:rPr>
          <w:t xml:space="preserve">https://taxguru.in/sebi/sebi-circular-development-passive-funds.html</w:t>
        </w:r>
      </w:hyperlink>
    </w:p>
    <w:p>
      <w:pPr>
        <w:tabs>
          <w:tab w:val="left" w:pos="540"/>
        </w:tabs>
        <w:spacing w:after="80"/>
        <w:ind w:left="540" w:hanging="540"/>
      </w:pPr>
      <w:r>
        <w:rPr>
          <w:b/>
          <w:bCs/>
          <w:sz w:val="18"/>
          <w:szCs w:val="18"/>
        </w:rPr>
        <w:t xml:space="preserve">[10]	</w:t>
      </w:r>
      <w:r>
        <w:rPr>
          <w:sz w:val="18"/>
          <w:szCs w:val="18"/>
        </w:rPr>
        <w:t xml:space="preserve">SEBI Investor website, "Understanding Tracking Error". </w:t>
      </w:r>
      <w:hyperlink w:history="1" r:id="rIdsc7uv7_-y4xcyvibqhkjj">
        <w:r>
          <w:rPr>
            <w:rStyle w:val="Hyperlink"/>
            <w:sz w:val="18"/>
            <w:szCs w:val="18"/>
          </w:rPr>
          <w:t xml:space="preserve">https://investor.sebi.gov.in/understanding_Tracking_error.html</w:t>
        </w:r>
      </w:hyperlink>
    </w:p>
    <w:p>
      <w:pPr>
        <w:tabs>
          <w:tab w:val="left" w:pos="540"/>
        </w:tabs>
        <w:spacing w:after="80"/>
        <w:ind w:left="540" w:hanging="540"/>
      </w:pPr>
      <w:r>
        <w:rPr>
          <w:b/>
          <w:bCs/>
          <w:sz w:val="18"/>
          <w:szCs w:val="18"/>
        </w:rPr>
        <w:t xml:space="preserve">[11]	</w:t>
      </w:r>
      <w:r>
        <w:rPr>
          <w:sz w:val="18"/>
          <w:szCs w:val="18"/>
        </w:rPr>
        <w:t xml:space="preserve">SEBI (Mutual Funds) (Second Amendment) Regulations, 2024, SEBI/LAD-NRO/GN/2024/197 (institutional mechanism to deter market abuse including front running). </w:t>
      </w:r>
      <w:hyperlink w:history="1" r:id="rIdprwncndfj_0xxqjxqvxty">
        <w:r>
          <w:rPr>
            <w:rStyle w:val="Hyperlink"/>
            <w:sz w:val="18"/>
            <w:szCs w:val="18"/>
          </w:rPr>
          <w:t xml:space="preserve">https://www.taxtmi.com/notifications?id=142329</w:t>
        </w:r>
      </w:hyperlink>
    </w:p>
    <w:p>
      <w:pPr>
        <w:tabs>
          <w:tab w:val="left" w:pos="540"/>
        </w:tabs>
        <w:spacing w:after="80"/>
        <w:ind w:left="540" w:hanging="540"/>
      </w:pPr>
      <w:r>
        <w:rPr>
          <w:b/>
          <w:bCs/>
          <w:sz w:val="18"/>
          <w:szCs w:val="18"/>
        </w:rPr>
        <w:t xml:space="preserve">[12]	</w:t>
      </w:r>
      <w:r>
        <w:rPr>
          <w:sz w:val="18"/>
          <w:szCs w:val="18"/>
        </w:rPr>
        <w:t xml:space="preserve">SEBI and AMFI stress test and risk disclosures for small and mid cap schemes, from March 2024 (via Business Standard). </w:t>
      </w:r>
      <w:hyperlink w:history="1" r:id="rId67r3tohglrqmwl3xoswtt">
        <w:r>
          <w:rPr>
            <w:rStyle w:val="Hyperlink"/>
            <w:sz w:val="18"/>
            <w:szCs w:val="18"/>
          </w:rPr>
          <w:t xml:space="preserve">https://www.business-standard.com/amp/markets/mutual-fund/investor-concentration-volatility-indicators-among-stress-test-disclosures-124031200878_1.html</w:t>
        </w:r>
      </w:hyperlink>
    </w:p>
    <w:p>
      <w:pPr>
        <w:tabs>
          <w:tab w:val="left" w:pos="540"/>
        </w:tabs>
        <w:spacing w:after="80"/>
        <w:ind w:left="540" w:hanging="540"/>
      </w:pPr>
      <w:r>
        <w:rPr>
          <w:b/>
          <w:bCs/>
          <w:sz w:val="18"/>
          <w:szCs w:val="18"/>
        </w:rPr>
        <w:t xml:space="preserve">[13]	</w:t>
      </w:r>
      <w:r>
        <w:rPr>
          <w:sz w:val="18"/>
          <w:szCs w:val="18"/>
        </w:rPr>
        <w:t xml:space="preserve">Zerodha Varsity, Module "Personal Finance", chapters on mutual funds including rolling returns. </w:t>
      </w:r>
      <w:hyperlink w:history="1" r:id="rIdp7-alrgkgbami47iifmrt">
        <w:r>
          <w:rPr>
            <w:rStyle w:val="Hyperlink"/>
            <w:sz w:val="18"/>
            <w:szCs w:val="18"/>
          </w:rPr>
          <w:t xml:space="preserve">https://zerodha.com/varsity/module/personalfinance/</w:t>
        </w:r>
      </w:hyperlink>
    </w:p>
    <w:p>
      <w:pPr>
        <w:tabs>
          <w:tab w:val="left" w:pos="540"/>
        </w:tabs>
        <w:spacing w:after="80"/>
        <w:ind w:left="540" w:hanging="540"/>
      </w:pPr>
      <w:r>
        <w:rPr>
          <w:b/>
          <w:bCs/>
          <w:sz w:val="18"/>
          <w:szCs w:val="18"/>
        </w:rPr>
        <w:t xml:space="preserve">[14]	</w:t>
      </w:r>
      <w:r>
        <w:rPr>
          <w:sz w:val="18"/>
          <w:szCs w:val="18"/>
        </w:rPr>
        <w:t xml:space="preserve">Zerodha Varsity, "Mutual Fund Risk Metrics: Beta, Alpha, SD and Sharpe Ratio". </w:t>
      </w:r>
      <w:hyperlink w:history="1" r:id="rId6rbsuwuxlpodsywmsgx4n">
        <w:r>
          <w:rPr>
            <w:rStyle w:val="Hyperlink"/>
            <w:sz w:val="18"/>
            <w:szCs w:val="18"/>
          </w:rPr>
          <w:t xml:space="preserve">https://zerodha.com/varsity/chapter/mutual-fund-risk-metrics/</w:t>
        </w:r>
      </w:hyperlink>
    </w:p>
    <w:p>
      <w:pPr>
        <w:tabs>
          <w:tab w:val="left" w:pos="540"/>
        </w:tabs>
        <w:spacing w:after="80"/>
        <w:ind w:left="540" w:hanging="540"/>
      </w:pPr>
      <w:r>
        <w:rPr>
          <w:b/>
          <w:bCs/>
          <w:sz w:val="18"/>
          <w:szCs w:val="18"/>
        </w:rPr>
        <w:t xml:space="preserve">[15]	</w:t>
      </w:r>
      <w:r>
        <w:rPr>
          <w:sz w:val="18"/>
          <w:szCs w:val="18"/>
        </w:rPr>
        <w:t xml:space="preserve">Zerodha Varsity, "Measuring Mutual Fund Returns" (CAGR, XIRR, absolute returns). </w:t>
      </w:r>
      <w:hyperlink w:history="1" r:id="rId7ig-wqjv7lzl5wvsicwu_">
        <w:r>
          <w:rPr>
            <w:rStyle w:val="Hyperlink"/>
            <w:sz w:val="18"/>
            <w:szCs w:val="18"/>
          </w:rPr>
          <w:t xml:space="preserve">https://zerodha.com/varsity/chapter/measuring-mutual-fund-returns/</w:t>
        </w:r>
      </w:hyperlink>
    </w:p>
    <w:p>
      <w:pPr>
        <w:tabs>
          <w:tab w:val="left" w:pos="540"/>
        </w:tabs>
        <w:spacing w:after="80"/>
        <w:ind w:left="540" w:hanging="540"/>
      </w:pPr>
      <w:r>
        <w:rPr>
          <w:b/>
          <w:bCs/>
          <w:sz w:val="18"/>
          <w:szCs w:val="18"/>
        </w:rPr>
        <w:t xml:space="preserve">[16]	</w:t>
      </w:r>
      <w:r>
        <w:rPr>
          <w:sz w:val="18"/>
          <w:szCs w:val="18"/>
        </w:rPr>
        <w:t xml:space="preserve">Zerodha Varsity, "Sortino and the Capture Ratios". </w:t>
      </w:r>
      <w:hyperlink w:history="1" r:id="rIdans0l9m7uqbkxcuqkxyio">
        <w:r>
          <w:rPr>
            <w:rStyle w:val="Hyperlink"/>
            <w:sz w:val="18"/>
            <w:szCs w:val="18"/>
          </w:rPr>
          <w:t xml:space="preserve">https://zerodha.com/varsity/chapter/sortino-and-the-capture-ratios/</w:t>
        </w:r>
      </w:hyperlink>
    </w:p>
    <w:p>
      <w:pPr>
        <w:tabs>
          <w:tab w:val="left" w:pos="540"/>
        </w:tabs>
        <w:spacing w:after="80"/>
        <w:ind w:left="540" w:hanging="540"/>
      </w:pPr>
      <w:r>
        <w:rPr>
          <w:b/>
          <w:bCs/>
          <w:sz w:val="18"/>
          <w:szCs w:val="18"/>
        </w:rPr>
        <w:t xml:space="preserve">[17]	</w:t>
      </w:r>
      <w:r>
        <w:rPr>
          <w:sz w:val="18"/>
          <w:szCs w:val="18"/>
        </w:rPr>
        <w:t xml:space="preserve">Zerodha Varsity, "How to analyse an equity mutual fund". </w:t>
      </w:r>
      <w:hyperlink w:history="1" r:id="rIdjjh1btcnrjjrjibrc0cvj">
        <w:r>
          <w:rPr>
            <w:rStyle w:val="Hyperlink"/>
            <w:sz w:val="18"/>
            <w:szCs w:val="18"/>
          </w:rPr>
          <w:t xml:space="preserve">https://zerodha.com/varsity/chapter/how-to-analyse-an-equity-mutual-fund/</w:t>
        </w:r>
      </w:hyperlink>
    </w:p>
    <w:p>
      <w:pPr>
        <w:tabs>
          <w:tab w:val="left" w:pos="540"/>
        </w:tabs>
        <w:spacing w:after="80"/>
        <w:ind w:left="540" w:hanging="540"/>
      </w:pPr>
      <w:r>
        <w:rPr>
          <w:b/>
          <w:bCs/>
          <w:sz w:val="18"/>
          <w:szCs w:val="18"/>
        </w:rPr>
        <w:t xml:space="preserve">[18]	</w:t>
      </w:r>
      <w:r>
        <w:rPr>
          <w:sz w:val="18"/>
          <w:szCs w:val="18"/>
        </w:rPr>
        <w:t xml:space="preserve">Value Research, "Rolling returns vs trailing returns". </w:t>
      </w:r>
      <w:hyperlink w:history="1" r:id="rIdmr4hopcya6_ubh1vmhp6q">
        <w:r>
          <w:rPr>
            <w:rStyle w:val="Hyperlink"/>
            <w:sz w:val="18"/>
            <w:szCs w:val="18"/>
          </w:rPr>
          <w:t xml:space="preserve">https://www.valueresearchonline.com/stories/50987/rolling-returns-vs-trailing-returns/</w:t>
        </w:r>
      </w:hyperlink>
    </w:p>
    <w:p>
      <w:pPr>
        <w:tabs>
          <w:tab w:val="left" w:pos="540"/>
        </w:tabs>
        <w:spacing w:after="80"/>
        <w:ind w:left="540" w:hanging="540"/>
      </w:pPr>
      <w:r>
        <w:rPr>
          <w:b/>
          <w:bCs/>
          <w:sz w:val="18"/>
          <w:szCs w:val="18"/>
        </w:rPr>
        <w:t xml:space="preserve">[19]	</w:t>
      </w:r>
      <w:r>
        <w:rPr>
          <w:sz w:val="18"/>
          <w:szCs w:val="18"/>
        </w:rPr>
        <w:t xml:space="preserve">Value Research, "Rolling Returns vs Point-to-Point Returns". </w:t>
      </w:r>
      <w:hyperlink w:history="1" r:id="rIdhxqyclv684mty71x6diwy">
        <w:r>
          <w:rPr>
            <w:rStyle w:val="Hyperlink"/>
            <w:sz w:val="18"/>
            <w:szCs w:val="18"/>
          </w:rPr>
          <w:t xml:space="preserve">https://www.valueresearchonline.com/learn/mutual-funds/rolling-returns-vs-point-to-point-mutual-funds/</w:t>
        </w:r>
      </w:hyperlink>
    </w:p>
    <w:p>
      <w:pPr>
        <w:tabs>
          <w:tab w:val="left" w:pos="540"/>
        </w:tabs>
        <w:spacing w:after="80"/>
        <w:ind w:left="540" w:hanging="540"/>
      </w:pPr>
      <w:r>
        <w:rPr>
          <w:b/>
          <w:bCs/>
          <w:sz w:val="18"/>
          <w:szCs w:val="18"/>
        </w:rPr>
        <w:t xml:space="preserve">[20]	</w:t>
      </w:r>
      <w:r>
        <w:rPr>
          <w:sz w:val="18"/>
          <w:szCs w:val="18"/>
        </w:rPr>
        <w:t xml:space="preserve">Value Research, "Should you buy last year's best mutual fund? We tested it". </w:t>
      </w:r>
      <w:hyperlink w:history="1" r:id="rId7sdewgwinbs-y57-aexdu">
        <w:r>
          <w:rPr>
            <w:rStyle w:val="Hyperlink"/>
            <w:sz w:val="18"/>
            <w:szCs w:val="18"/>
          </w:rPr>
          <w:t xml:space="preserve">https://www.valueresearchonline.com/stories/227965/should-you-buy-last-years-best-mutual-fund-we-tested-it/</w:t>
        </w:r>
      </w:hyperlink>
    </w:p>
    <w:p>
      <w:pPr>
        <w:tabs>
          <w:tab w:val="left" w:pos="540"/>
        </w:tabs>
        <w:spacing w:after="80"/>
        <w:ind w:left="540" w:hanging="540"/>
      </w:pPr>
      <w:r>
        <w:rPr>
          <w:b/>
          <w:bCs/>
          <w:sz w:val="18"/>
          <w:szCs w:val="18"/>
        </w:rPr>
        <w:t xml:space="preserve">[21]	</w:t>
      </w:r>
      <w:r>
        <w:rPr>
          <w:sz w:val="18"/>
          <w:szCs w:val="18"/>
        </w:rPr>
        <w:t xml:space="preserve">Value Research, "Fund manager change in our recommended fund". </w:t>
      </w:r>
      <w:hyperlink w:history="1" r:id="rIdoiivzp5ylo14mnpwrwwxd">
        <w:r>
          <w:rPr>
            <w:rStyle w:val="Hyperlink"/>
            <w:sz w:val="18"/>
            <w:szCs w:val="18"/>
          </w:rPr>
          <w:t xml:space="preserve">https://www.valueresearchonline.com/stories/54813/fund-manager-change-in-our-recommended-fund/</w:t>
        </w:r>
      </w:hyperlink>
    </w:p>
    <w:p>
      <w:pPr>
        <w:tabs>
          <w:tab w:val="left" w:pos="540"/>
        </w:tabs>
        <w:spacing w:after="80"/>
        <w:ind w:left="540" w:hanging="540"/>
      </w:pPr>
      <w:r>
        <w:rPr>
          <w:b/>
          <w:bCs/>
          <w:sz w:val="18"/>
          <w:szCs w:val="18"/>
        </w:rPr>
        <w:t xml:space="preserve">[22]	</w:t>
      </w:r>
      <w:r>
        <w:rPr>
          <w:sz w:val="18"/>
          <w:szCs w:val="18"/>
        </w:rPr>
        <w:t xml:space="preserve">Value Research, "SEBI Mutual Fund Regulations 2026: Key changes for investors". </w:t>
      </w:r>
      <w:hyperlink w:history="1" r:id="rIdtx9p6h4xy_vdmgyjcmdys">
        <w:r>
          <w:rPr>
            <w:rStyle w:val="Hyperlink"/>
            <w:sz w:val="18"/>
            <w:szCs w:val="18"/>
          </w:rPr>
          <w:t xml:space="preserve">https://www.valueresearchonline.com/learn/mutual-funds/sebi-mutual-fund-regulations-2026/</w:t>
        </w:r>
      </w:hyperlink>
    </w:p>
    <w:p>
      <w:pPr>
        <w:tabs>
          <w:tab w:val="left" w:pos="540"/>
        </w:tabs>
        <w:spacing w:after="80"/>
        <w:ind w:left="540" w:hanging="540"/>
      </w:pPr>
      <w:r>
        <w:rPr>
          <w:b/>
          <w:bCs/>
          <w:sz w:val="18"/>
          <w:szCs w:val="18"/>
        </w:rPr>
        <w:t xml:space="preserve">[23]	</w:t>
      </w:r>
      <w:r>
        <w:rPr>
          <w:sz w:val="18"/>
          <w:szCs w:val="18"/>
        </w:rPr>
        <w:t xml:space="preserve">SEBI, FAQs for Mutual Fund Investors (September 2024). </w:t>
      </w:r>
      <w:hyperlink w:history="1" r:id="rId-hbbj2nncd8sgtg2dyseo">
        <w:r>
          <w:rPr>
            <w:rStyle w:val="Hyperlink"/>
            <w:sz w:val="18"/>
            <w:szCs w:val="18"/>
          </w:rPr>
          <w:t xml:space="preserve">https://www.sebi.gov.in/sebi_data/faqfiles/sep-2024/1727242783639.pdf</w:t>
        </w:r>
      </w:hyperlink>
    </w:p>
    <w:p>
      <w:pPr>
        <w:tabs>
          <w:tab w:val="left" w:pos="540"/>
        </w:tabs>
        <w:spacing w:after="80"/>
        <w:ind w:left="540" w:hanging="540"/>
      </w:pPr>
      <w:r>
        <w:rPr>
          <w:b/>
          <w:bCs/>
          <w:sz w:val="18"/>
          <w:szCs w:val="18"/>
        </w:rPr>
        <w:t xml:space="preserve">[24]	</w:t>
      </w:r>
      <w:r>
        <w:rPr>
          <w:sz w:val="18"/>
          <w:szCs w:val="18"/>
        </w:rPr>
        <w:t xml:space="preserve">Income-tax Act, 1961 (sections 111A, 112A as amended by the Finance (No. 2) Act, 2024; section 50AA inserted by the Finance Act, 2023) and Income-tax Act, 2025 (section 123, effective 1 April 2026; via Business Today). </w:t>
      </w:r>
      <w:hyperlink w:history="1" r:id="rIdahyqbrg5tbe17skdxxa1_">
        <w:r>
          <w:rPr>
            <w:rStyle w:val="Hyperlink"/>
            <w:sz w:val="18"/>
            <w:szCs w:val="18"/>
          </w:rPr>
          <w:t xml:space="preserve">https://www.businesstoday.in/personal-finance/tax/story/income-tax-act-2025-section-80c-becomes-section-123-from-april-1-2026-heres-what-taxpayers-must-know-522120-2026-03-24</w:t>
        </w:r>
      </w:hyperlink>
    </w:p>
    <w:p>
      <w:pPr>
        <w:tabs>
          <w:tab w:val="left" w:pos="540"/>
        </w:tabs>
        <w:spacing w:after="80"/>
        <w:ind w:left="540" w:hanging="540"/>
      </w:pPr>
      <w:r>
        <w:rPr>
          <w:b/>
          <w:bCs/>
          <w:sz w:val="18"/>
          <w:szCs w:val="18"/>
        </w:rPr>
        <w:t xml:space="preserve">[25]	</w:t>
      </w:r>
      <w:r>
        <w:rPr>
          <w:sz w:val="18"/>
          <w:szCs w:val="18"/>
        </w:rPr>
        <w:t xml:space="preserve">SEBI circular on the Potential Risk Class (PRC) matrix for debt schemes, June 2021; AMFI tier 1 debt benchmarks by PRC cell, as shown in scheme SIDs (example: DSP Liquidity Fund SID). </w:t>
      </w:r>
      <w:hyperlink w:history="1" r:id="rId7v0o31--llzjns2ynt1kf">
        <w:r>
          <w:rPr>
            <w:rStyle w:val="Hyperlink"/>
            <w:sz w:val="18"/>
            <w:szCs w:val="18"/>
          </w:rPr>
          <w:t xml:space="preserve">https://www.dspim.com/media/pages/downloads/8df14d1f53-1757771717/sid-dsp-liquidity-fund-nov24.pdf</w:t>
        </w:r>
      </w:hyperlink>
    </w:p>
    <w:p>
      <w:pPr>
        <w:tabs>
          <w:tab w:val="left" w:pos="540"/>
        </w:tabs>
        <w:spacing w:after="80"/>
        <w:ind w:left="540" w:hanging="540"/>
      </w:pPr>
      <w:r>
        <w:rPr>
          <w:b/>
          <w:bCs/>
          <w:sz w:val="18"/>
          <w:szCs w:val="18"/>
        </w:rPr>
        <w:t xml:space="preserve">[26]	</w:t>
      </w:r>
      <w:r>
        <w:rPr>
          <w:sz w:val="18"/>
          <w:szCs w:val="18"/>
        </w:rPr>
        <w:t xml:space="preserve">Zerodha Varsity, "Know your fund". </w:t>
      </w:r>
      <w:hyperlink w:history="1" r:id="rIdj_vnuoewc3fpu2kctk-4d">
        <w:r>
          <w:rPr>
            <w:rStyle w:val="Hyperlink"/>
            <w:sz w:val="18"/>
            <w:szCs w:val="18"/>
          </w:rPr>
          <w:t xml:space="preserve">https://zerodha.com/varsity/chapter/know-your-fund/</w:t>
        </w:r>
      </w:hyperlink>
    </w:p>
    <w:p>
      <w:pPr>
        <w:spacing w:after="60"/>
      </w:pPr>
    </w:p>
    <w:p>
      <w:pPr>
        <w:spacing w:after="120" w:line="276"/>
      </w:pPr>
      <w:r>
        <w:rPr>
          <w:b/>
          <w:bCs/>
        </w:rPr>
        <w:t xml:space="preserve">Disclaimer.</w:t>
      </w:r>
      <w:r>
        <w:t xml:space="preserve"> This guide is for education and research. It is not investment advice or a recommendation to buy or sell any scheme. Mutual fund investments are subject to market risks; read all scheme-related documents carefully.</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Mutual Fund Review Guide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4"/>
      <w:szCs w:val="34"/>
    </w:rPr>
  </w:style>
  <w:style w:type="paragraph" w:styleId="Heading2">
    <w:name w:val="Heading 2"/>
    <w:basedOn w:val="Normal"/>
    <w:next w:val="Normal"/>
    <w:qFormat/>
    <w:pPr>
      <w:keepNext/>
      <w:spacing w:after="120" w:before="280"/>
      <w:outlineLvl w:val="1"/>
    </w:pPr>
    <w:rPr>
      <w:rFonts w:ascii="Arial" w:cs="Arial" w:eastAsia="Arial" w:hAnsi="Arial"/>
      <w:b/>
      <w:bCs/>
      <w:color w:val="1F3864"/>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color w:val="2E559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hsy07jrsvop0xgbylokgd" Type="http://schemas.openxmlformats.org/officeDocument/2006/relationships/hyperlink" Target="https://taxguru.in/sebi/bench-marking-mf-schemes-performance-total-return-index.html" TargetMode="External"/><Relationship Id="rIdbksbn7frawtwbkfnliubc" Type="http://schemas.openxmlformats.org/officeDocument/2006/relationships/hyperlink" Target="https://taxguru.in/sebi/guiding-principles-bringing-uniformity-benchmarks-mf-schemes.html" TargetMode="External"/><Relationship Id="rIdnjba5dggkwgh7mdzwoivc" Type="http://schemas.openxmlformats.org/officeDocument/2006/relationships/hyperlink" Target="https://cafemutual.com/news/industry/23378-amfi-releases-tier-1-benchmark-list-for-mutual-fund-schemes" TargetMode="External"/><Relationship Id="rIdegr-beimy2swffidpcdwa" Type="http://schemas.openxmlformats.org/officeDocument/2006/relationships/hyperlink" Target="https://taxguru.in/sebi/sebi-overhauls-mutual-fund-categorization-curb-portfolio-overlap.html" TargetMode="External"/><Relationship Id="rId8f8waawg-77ua6gkhluh1" Type="http://schemas.openxmlformats.org/officeDocument/2006/relationships/hyperlink" Target="https://taxguru.in/sebi/sebi-mutual-funds-regulations-2026.html" TargetMode="External"/><Relationship Id="rIdo29rbvf7zm33xhkj3df6k" Type="http://schemas.openxmlformats.org/officeDocument/2006/relationships/hyperlink" Target="https://www.valueresearchonline.com/stories/227233/sebis-ter-overhaul-what-mutual-fund-investors-must-know/" TargetMode="External"/><Relationship Id="rIdzhwedpo7t6jsd6dk1tw_u" Type="http://schemas.openxmlformats.org/officeDocument/2006/relationships/hyperlink" Target="https://www.business-standard.com/article/markets/decoding-risk-o-meter-3-0-and-its-use-as-an-investment-tool-in-the-mf-space-120100601112_1.html" TargetMode="External"/><Relationship Id="rIdg6qjlq_lsrn17hezv5onj" Type="http://schemas.openxmlformats.org/officeDocument/2006/relationships/hyperlink" Target="https://www.sebi.gov.in/sebi_data/attachdocs/1347547815927.pdf" TargetMode="External"/><Relationship Id="rIdab2wdn2p5es7da8teizll" Type="http://schemas.openxmlformats.org/officeDocument/2006/relationships/hyperlink" Target="https://taxguru.in/sebi/sebi-circular-development-passive-funds.html" TargetMode="External"/><Relationship Id="rIdsc7uv7_-y4xcyvibqhkjj" Type="http://schemas.openxmlformats.org/officeDocument/2006/relationships/hyperlink" Target="https://investor.sebi.gov.in/understanding_Tracking_error.html" TargetMode="External"/><Relationship Id="rIdprwncndfj_0xxqjxqvxty" Type="http://schemas.openxmlformats.org/officeDocument/2006/relationships/hyperlink" Target="https://www.taxtmi.com/notifications?id=142329" TargetMode="External"/><Relationship Id="rId67r3tohglrqmwl3xoswtt" Type="http://schemas.openxmlformats.org/officeDocument/2006/relationships/hyperlink" Target="https://www.business-standard.com/amp/markets/mutual-fund/investor-concentration-volatility-indicators-among-stress-test-disclosures-124031200878_1.html" TargetMode="External"/><Relationship Id="rIdp7-alrgkgbami47iifmrt" Type="http://schemas.openxmlformats.org/officeDocument/2006/relationships/hyperlink" Target="https://zerodha.com/varsity/module/personalfinance/" TargetMode="External"/><Relationship Id="rId6rbsuwuxlpodsywmsgx4n" Type="http://schemas.openxmlformats.org/officeDocument/2006/relationships/hyperlink" Target="https://zerodha.com/varsity/chapter/mutual-fund-risk-metrics/" TargetMode="External"/><Relationship Id="rId7ig-wqjv7lzl5wvsicwu_" Type="http://schemas.openxmlformats.org/officeDocument/2006/relationships/hyperlink" Target="https://zerodha.com/varsity/chapter/measuring-mutual-fund-returns/" TargetMode="External"/><Relationship Id="rIdans0l9m7uqbkxcuqkxyio" Type="http://schemas.openxmlformats.org/officeDocument/2006/relationships/hyperlink" Target="https://zerodha.com/varsity/chapter/sortino-and-the-capture-ratios/" TargetMode="External"/><Relationship Id="rIdjjh1btcnrjjrjibrc0cvj" Type="http://schemas.openxmlformats.org/officeDocument/2006/relationships/hyperlink" Target="https://zerodha.com/varsity/chapter/how-to-analyse-an-equity-mutual-fund/" TargetMode="External"/><Relationship Id="rIdmr4hopcya6_ubh1vmhp6q" Type="http://schemas.openxmlformats.org/officeDocument/2006/relationships/hyperlink" Target="https://www.valueresearchonline.com/stories/50987/rolling-returns-vs-trailing-returns/" TargetMode="External"/><Relationship Id="rIdhxqyclv684mty71x6diwy" Type="http://schemas.openxmlformats.org/officeDocument/2006/relationships/hyperlink" Target="https://www.valueresearchonline.com/learn/mutual-funds/rolling-returns-vs-point-to-point-mutual-funds/" TargetMode="External"/><Relationship Id="rId7sdewgwinbs-y57-aexdu" Type="http://schemas.openxmlformats.org/officeDocument/2006/relationships/hyperlink" Target="https://www.valueresearchonline.com/stories/227965/should-you-buy-last-years-best-mutual-fund-we-tested-it/" TargetMode="External"/><Relationship Id="rIdoiivzp5ylo14mnpwrwwxd" Type="http://schemas.openxmlformats.org/officeDocument/2006/relationships/hyperlink" Target="https://www.valueresearchonline.com/stories/54813/fund-manager-change-in-our-recommended-fund/" TargetMode="External"/><Relationship Id="rIdtx9p6h4xy_vdmgyjcmdys" Type="http://schemas.openxmlformats.org/officeDocument/2006/relationships/hyperlink" Target="https://www.valueresearchonline.com/learn/mutual-funds/sebi-mutual-fund-regulations-2026/" TargetMode="External"/><Relationship Id="rId-hbbj2nncd8sgtg2dyseo" Type="http://schemas.openxmlformats.org/officeDocument/2006/relationships/hyperlink" Target="https://www.sebi.gov.in/sebi_data/faqfiles/sep-2024/1727242783639.pdf" TargetMode="External"/><Relationship Id="rIdahyqbrg5tbe17skdxxa1_" Type="http://schemas.openxmlformats.org/officeDocument/2006/relationships/hyperlink" Target="https://www.businesstoday.in/personal-finance/tax/story/income-tax-act-2025-section-80c-becomes-section-123-from-april-1-2026-heres-what-taxpayers-must-know-522120-2026-03-24" TargetMode="External"/><Relationship Id="rId7v0o31--llzjns2ynt1kf" Type="http://schemas.openxmlformats.org/officeDocument/2006/relationships/hyperlink" Target="https://www.dspim.com/media/pages/downloads/8df14d1f53-1757771717/sid-dsp-liquidity-fund-nov24.pdf" TargetMode="External"/><Relationship Id="rIdj_vnuoewc3fpu2kctk-4d" Type="http://schemas.openxmlformats.org/officeDocument/2006/relationships/hyperlink" Target="https://zerodha.com/varsity/chapter/know-your-fund/" TargetMode="External"/><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Fund Review Guide</dc:title>
  <dc:creator>Mutual Fund Review Guide</dc:creator>
  <cp:lastModifiedBy>Un-named</cp:lastModifiedBy>
  <cp:revision>1</cp:revision>
  <dcterms:created xsi:type="dcterms:W3CDTF">2026-10-03T17:31:14.041Z</dcterms:created>
  <dcterms:modified xsi:type="dcterms:W3CDTF">2026-10-03T17:31:14.049Z</dcterms:modified>
</cp:coreProperties>
</file>

<file path=docProps/custom.xml><?xml version="1.0" encoding="utf-8"?>
<Properties xmlns="http://schemas.openxmlformats.org/officeDocument/2006/custom-properties" xmlns:vt="http://schemas.openxmlformats.org/officeDocument/2006/docPropsVTypes"/>
</file>