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2485" w14:textId="4373BFFF" w:rsidR="003D2695" w:rsidRDefault="003D2695" w:rsidP="003D2695">
      <w:pPr>
        <w:jc w:val="center"/>
        <w:rPr>
          <w:rFonts w:ascii="Arial Black" w:hAnsi="Arial Black"/>
          <w:color w:val="4C94D8" w:themeColor="text2" w:themeTint="80"/>
          <w:sz w:val="28"/>
          <w:szCs w:val="28"/>
          <w:u w:val="single"/>
          <w:lang w:val="en-US"/>
        </w:rPr>
      </w:pPr>
      <w:r w:rsidRPr="003D2695">
        <w:rPr>
          <w:rFonts w:ascii="Arial Black" w:hAnsi="Arial Black"/>
          <w:color w:val="4C94D8" w:themeColor="text2" w:themeTint="80"/>
          <w:sz w:val="28"/>
          <w:szCs w:val="28"/>
          <w:u w:val="single"/>
          <w:lang w:val="en-US"/>
        </w:rPr>
        <w:t>HAC</w:t>
      </w:r>
      <w:r>
        <w:rPr>
          <w:rFonts w:ascii="Arial Black" w:hAnsi="Arial Black"/>
          <w:color w:val="4C94D8" w:themeColor="text2" w:themeTint="80"/>
          <w:sz w:val="28"/>
          <w:szCs w:val="28"/>
          <w:u w:val="single"/>
          <w:lang w:val="en-US"/>
        </w:rPr>
        <w:t>KA</w:t>
      </w:r>
      <w:r w:rsidRPr="003D2695">
        <w:rPr>
          <w:rFonts w:ascii="Arial Black" w:hAnsi="Arial Black"/>
          <w:color w:val="4C94D8" w:themeColor="text2" w:themeTint="80"/>
          <w:sz w:val="28"/>
          <w:szCs w:val="28"/>
          <w:u w:val="single"/>
          <w:lang w:val="en-US"/>
        </w:rPr>
        <w:t>THON (OBJECTIVES )</w:t>
      </w:r>
    </w:p>
    <w:p w14:paraId="013A3D63" w14:textId="77777777" w:rsidR="003D2695" w:rsidRPr="003D2695" w:rsidRDefault="003D2695" w:rsidP="003D2695">
      <w:pPr>
        <w:jc w:val="center"/>
        <w:rPr>
          <w:rFonts w:ascii="Arial Black" w:hAnsi="Arial Black"/>
          <w:color w:val="4C94D8" w:themeColor="text2" w:themeTint="80"/>
          <w:sz w:val="28"/>
          <w:szCs w:val="28"/>
          <w:u w:val="single"/>
          <w:lang w:val="en-US"/>
        </w:rPr>
      </w:pPr>
    </w:p>
    <w:p w14:paraId="443C345D" w14:textId="6A4D39B7" w:rsidR="003D2695" w:rsidRPr="003D2695" w:rsidRDefault="003D2695" w:rsidP="003D2695">
      <w:pPr>
        <w:pStyle w:val="ListParagraph"/>
        <w:numPr>
          <w:ilvl w:val="0"/>
          <w:numId w:val="1"/>
        </w:numPr>
        <w:jc w:val="both"/>
        <w:rPr>
          <w:u w:val="single"/>
          <w:lang w:val="en-US"/>
        </w:rPr>
      </w:pPr>
      <w:r w:rsidRPr="003D2695">
        <w:rPr>
          <w:u w:val="single"/>
          <w:lang w:val="en-US"/>
        </w:rPr>
        <w:t>Objective 1(main objective): India’s Elementary Education Overview</w:t>
      </w:r>
    </w:p>
    <w:p w14:paraId="63F8A5E4" w14:textId="46E741B5" w:rsidR="003D2695" w:rsidRPr="003D2695" w:rsidRDefault="003D2695" w:rsidP="003D2695">
      <w:pPr>
        <w:pStyle w:val="ListParagraph"/>
        <w:jc w:val="both"/>
        <w:rPr>
          <w:lang w:val="en-US"/>
        </w:rPr>
      </w:pPr>
      <w:r w:rsidRPr="003D2695">
        <w:rPr>
          <w:lang w:val="en-US"/>
        </w:rPr>
        <w:t>To provide an overall snapshot of India’s elementary education system — highlighting the total number of schools, teachers, and enrollment trends, while assessing the overall Infrastructure Readiness Index across states.</w:t>
      </w:r>
    </w:p>
    <w:p w14:paraId="5500F66A" w14:textId="77777777" w:rsidR="003D2695" w:rsidRPr="003D2695" w:rsidRDefault="003D2695" w:rsidP="003D2695">
      <w:pPr>
        <w:jc w:val="both"/>
        <w:rPr>
          <w:lang w:val="en-US"/>
        </w:rPr>
      </w:pPr>
    </w:p>
    <w:p w14:paraId="3949D20B" w14:textId="34EED436" w:rsidR="003D2695" w:rsidRPr="003D2695" w:rsidRDefault="003D2695" w:rsidP="003D2695">
      <w:pPr>
        <w:pStyle w:val="ListParagraph"/>
        <w:numPr>
          <w:ilvl w:val="0"/>
          <w:numId w:val="1"/>
        </w:numPr>
        <w:jc w:val="both"/>
        <w:rPr>
          <w:u w:val="single"/>
          <w:lang w:val="en-US"/>
        </w:rPr>
      </w:pPr>
      <w:r w:rsidRPr="003D2695">
        <w:rPr>
          <w:u w:val="single"/>
          <w:lang w:val="en-US"/>
        </w:rPr>
        <w:t>Objective 2: Enrollment and School Distribution</w:t>
      </w:r>
    </w:p>
    <w:p w14:paraId="7CE19560" w14:textId="012B6D1A" w:rsidR="003D2695" w:rsidRPr="003D2695" w:rsidRDefault="003D2695" w:rsidP="003D2695">
      <w:pPr>
        <w:pStyle w:val="ListParagraph"/>
        <w:jc w:val="both"/>
        <w:rPr>
          <w:lang w:val="en-US"/>
        </w:rPr>
      </w:pPr>
      <w:r w:rsidRPr="003D2695">
        <w:rPr>
          <w:lang w:val="en-US"/>
        </w:rPr>
        <w:t>To analyze the distribution of schools and enrollment across states, comparing government vs private institutions and identifying trends in primary and upper primary school expansion.</w:t>
      </w:r>
    </w:p>
    <w:p w14:paraId="752C777D" w14:textId="77777777" w:rsidR="003D2695" w:rsidRPr="003D2695" w:rsidRDefault="003D2695" w:rsidP="003D2695">
      <w:pPr>
        <w:jc w:val="both"/>
        <w:rPr>
          <w:lang w:val="en-US"/>
        </w:rPr>
      </w:pPr>
    </w:p>
    <w:p w14:paraId="440466E4" w14:textId="562B6E95" w:rsidR="003D2695" w:rsidRPr="003D2695" w:rsidRDefault="003D2695" w:rsidP="003D2695">
      <w:pPr>
        <w:pStyle w:val="ListParagraph"/>
        <w:numPr>
          <w:ilvl w:val="0"/>
          <w:numId w:val="1"/>
        </w:numPr>
        <w:jc w:val="both"/>
        <w:rPr>
          <w:u w:val="single"/>
          <w:lang w:val="en-US"/>
        </w:rPr>
      </w:pPr>
      <w:r w:rsidRPr="003D2695">
        <w:rPr>
          <w:u w:val="single"/>
          <w:lang w:val="en-US"/>
        </w:rPr>
        <w:t>Objective 3: Teacher Availability vs Student Attendance</w:t>
      </w:r>
    </w:p>
    <w:p w14:paraId="68FA2AE2" w14:textId="406E1750" w:rsidR="003D2695" w:rsidRPr="003D2695" w:rsidRDefault="003D2695" w:rsidP="003D2695">
      <w:pPr>
        <w:pStyle w:val="ListParagraph"/>
        <w:jc w:val="both"/>
        <w:rPr>
          <w:lang w:val="en-US"/>
        </w:rPr>
      </w:pPr>
      <w:r w:rsidRPr="003D2695">
        <w:rPr>
          <w:lang w:val="en-US"/>
        </w:rPr>
        <w:t>To evaluate teacher-to-student ratios and the impact of teacher availability on student attendance, identifying states where staff shortages affect participation and educational outcomes.</w:t>
      </w:r>
    </w:p>
    <w:p w14:paraId="604C0E65" w14:textId="77777777" w:rsidR="003D2695" w:rsidRPr="003D2695" w:rsidRDefault="003D2695" w:rsidP="003D2695">
      <w:pPr>
        <w:jc w:val="both"/>
        <w:rPr>
          <w:lang w:val="en-US"/>
        </w:rPr>
      </w:pPr>
    </w:p>
    <w:p w14:paraId="51E8A43F" w14:textId="76F864DD" w:rsidR="003D2695" w:rsidRPr="003D2695" w:rsidRDefault="003D2695" w:rsidP="003D2695">
      <w:pPr>
        <w:pStyle w:val="ListParagraph"/>
        <w:numPr>
          <w:ilvl w:val="0"/>
          <w:numId w:val="1"/>
        </w:numPr>
        <w:jc w:val="both"/>
        <w:rPr>
          <w:u w:val="single"/>
          <w:lang w:val="en-US"/>
        </w:rPr>
      </w:pPr>
      <w:r w:rsidRPr="003D2695">
        <w:rPr>
          <w:u w:val="single"/>
          <w:lang w:val="en-US"/>
        </w:rPr>
        <w:t>Objective 4: Infrastructure Quality</w:t>
      </w:r>
    </w:p>
    <w:p w14:paraId="171AAE94" w14:textId="4AA7EC7A" w:rsidR="003D2695" w:rsidRPr="003D2695" w:rsidRDefault="003D2695" w:rsidP="003D2695">
      <w:pPr>
        <w:pStyle w:val="ListParagraph"/>
        <w:jc w:val="both"/>
        <w:rPr>
          <w:lang w:val="en-US"/>
        </w:rPr>
      </w:pPr>
      <w:r w:rsidRPr="003D2695">
        <w:rPr>
          <w:lang w:val="en-US"/>
        </w:rPr>
        <w:t>To assess the infrastructure quality of schools, focusing on key facilities like toilet availability and drinking water access, and to compare district-wise Infrastructure Quality Index rankings.</w:t>
      </w:r>
    </w:p>
    <w:p w14:paraId="75A82AF2" w14:textId="77777777" w:rsidR="003D2695" w:rsidRPr="003D2695" w:rsidRDefault="003D2695" w:rsidP="003D2695">
      <w:pPr>
        <w:jc w:val="both"/>
        <w:rPr>
          <w:lang w:val="en-US"/>
        </w:rPr>
      </w:pPr>
    </w:p>
    <w:p w14:paraId="27905BE0" w14:textId="6F590BBE" w:rsidR="003D2695" w:rsidRPr="003D2695" w:rsidRDefault="003D2695" w:rsidP="003D2695">
      <w:pPr>
        <w:pStyle w:val="ListParagraph"/>
        <w:numPr>
          <w:ilvl w:val="0"/>
          <w:numId w:val="1"/>
        </w:numPr>
        <w:jc w:val="both"/>
        <w:rPr>
          <w:u w:val="single"/>
          <w:lang w:val="en-US"/>
        </w:rPr>
      </w:pPr>
      <w:r w:rsidRPr="003D2695">
        <w:rPr>
          <w:u w:val="single"/>
          <w:lang w:val="en-US"/>
        </w:rPr>
        <w:t>Objective 5: Gender and Equity Analysis</w:t>
      </w:r>
    </w:p>
    <w:p w14:paraId="298A0E00" w14:textId="4C769323" w:rsidR="003D2695" w:rsidRPr="003D2695" w:rsidRDefault="003D2695" w:rsidP="003D2695">
      <w:pPr>
        <w:pStyle w:val="ListParagraph"/>
        <w:jc w:val="both"/>
        <w:rPr>
          <w:lang w:val="en-US"/>
        </w:rPr>
      </w:pPr>
      <w:r w:rsidRPr="003D2695">
        <w:rPr>
          <w:lang w:val="en-US"/>
        </w:rPr>
        <w:t>To examine gender-wise enrollment patterns (boys vs girls) and evaluate gender parity in education across states, identifying areas with disparities linked to facilities and staff availability.</w:t>
      </w:r>
    </w:p>
    <w:p w14:paraId="3047ED4B" w14:textId="77777777" w:rsidR="003D2695" w:rsidRPr="003D2695" w:rsidRDefault="003D2695" w:rsidP="003D2695">
      <w:pPr>
        <w:jc w:val="both"/>
        <w:rPr>
          <w:lang w:val="en-US"/>
        </w:rPr>
      </w:pPr>
    </w:p>
    <w:p w14:paraId="59708766" w14:textId="59D2623E" w:rsidR="003D2695" w:rsidRPr="003D2695" w:rsidRDefault="003D2695" w:rsidP="003D2695">
      <w:pPr>
        <w:pStyle w:val="ListParagraph"/>
        <w:numPr>
          <w:ilvl w:val="0"/>
          <w:numId w:val="1"/>
        </w:numPr>
        <w:jc w:val="both"/>
        <w:rPr>
          <w:u w:val="single"/>
          <w:lang w:val="en-US"/>
        </w:rPr>
      </w:pPr>
      <w:r w:rsidRPr="003D2695">
        <w:rPr>
          <w:u w:val="single"/>
          <w:lang w:val="en-US"/>
        </w:rPr>
        <w:t>Objective 6: Composite Education Readiness</w:t>
      </w:r>
    </w:p>
    <w:p w14:paraId="3F758C56" w14:textId="4D073BE8" w:rsidR="003D2695" w:rsidRPr="003D2695" w:rsidRDefault="003D2695" w:rsidP="003D2695">
      <w:pPr>
        <w:pStyle w:val="ListParagraph"/>
        <w:jc w:val="both"/>
        <w:rPr>
          <w:lang w:val="en-US"/>
        </w:rPr>
      </w:pPr>
      <w:r w:rsidRPr="003D2695">
        <w:rPr>
          <w:lang w:val="en-US"/>
        </w:rPr>
        <w:t>To combine teacher availability, infrastructure quality, and enrollment indicators into a Composite Education Readiness Index (ERI) — ranking states by their overall educational readiness and identifying improvement priorities.</w:t>
      </w:r>
    </w:p>
    <w:sectPr w:rsidR="003D2695" w:rsidRPr="003D2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66A21"/>
    <w:multiLevelType w:val="hybridMultilevel"/>
    <w:tmpl w:val="8A8818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87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95"/>
    <w:rsid w:val="002C5849"/>
    <w:rsid w:val="003D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3E65"/>
  <w15:chartTrackingRefBased/>
  <w15:docId w15:val="{FE7A602C-108A-46CA-8552-5B09442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S.Sai Tarun</dc:creator>
  <cp:keywords/>
  <dc:description/>
  <cp:lastModifiedBy>S.Sai Tarun</cp:lastModifiedBy>
  <cp:revision>1</cp:revision>
  <dcterms:created xsi:type="dcterms:W3CDTF">2025-11-04T01:40:00Z</dcterms:created>
  <dcterms:modified xsi:type="dcterms:W3CDTF">2025-11-04T01:49:00Z</dcterms:modified>
</cp:coreProperties>
</file>