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rootKey>w:p</rootKey>
    <rootKey>w:p</rootKey>
    <w:p>
      <w:pPr>
        <w:spacing w:after="110"/>
      </w:pPr>
      <w:r>
        <w:t xml:space="preserve">Reporting date: 26 October 2026 | Target: https://api.rcbmatka.com | Scope: player API automation and recorded related retests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1. Executive summary</w:t>
      </w:r>
    </w:p>
    <w:p>
      <w:pPr>
        <w:spacing w:after="110"/>
      </w:pPr>
      <w:r>
        <w:t xml:space="preserve">This report consolidates the test cases and evidence present in the project workspace. It covers functional API behavior, security-boundary checks, API integration/HTTP execution, input and response validation, pagination, authentication, routing, error handling, data minimization, and automation framework checks. The API-only workspace does not contain the mobile application, admin console, payment provider, or player API source.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Evidence set</w:t>
            </w:r>
          </w:p>
        </w:tc>
        <w:tc>
          <w:tcPr>
            <w:tcW w:type="dxa" w:w="8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Coverage / result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Postman full regression execution</w:t>
            </w:r>
          </w:p>
        </w:tc>
        <w:tc>
          <w:tcPr>
            <w:tcW w:type="dxa" w:w="8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 requests; 111 passed; 0 failed.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Focused production API run</w:t>
            </w:r>
          </w:p>
        </w:tc>
        <w:tc>
          <w:tcPr>
            <w:tcW w:type="dxa" w:w="8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57 passed; 0 failed; 0 not run.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 execution</w:t>
            </w:r>
          </w:p>
        </w:tc>
        <w:tc>
          <w:tcPr>
            <w:tcW w:type="dxa" w:w="8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9 low-rate checks completed; 3 low-severity hardening observations recorded.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automation framework</w:t>
            </w:r>
          </w:p>
        </w:tc>
        <w:tc>
          <w:tcPr>
            <w:tcW w:type="dxa" w:w="8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9 passed; 0 failed.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Latest app-scoped no-write run</w:t>
            </w:r>
          </w:p>
        </w:tc>
        <w:tc>
          <w:tcPr>
            <w:tcW w:type="dxa" w:w="8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6 passed; 1 auth-setup failure; 79 skipped.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Additional targeted live retest</w:t>
            </w:r>
          </w:p>
        </w:tc>
        <w:tc>
          <w:tcPr>
            <w:tcW w:type="dxa" w:w="8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24/24 retired-route probes returned 404; notice response and unauthenticated auth refusal matched expectation.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Developer local evidence</w:t>
            </w:r>
          </w:p>
        </w:tc>
        <w:tc>
          <w:tcPr>
            <w:tcW w:type="dxa" w:w="8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64/64 partial retest checks and 276 additional regression checks reported passing; not independently reproduced here.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17365D"/>
        </w:rPr>
        <w:t xml:space="preserve">2. Test coverage by category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Coverage area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What was exercised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Result / limitation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 API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Login/profile reads, market lists, game rates, bid histories, deposits/withdrawals read endpoints, Passbook, notices, support, referral/info endpoints.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Read-only behavior broadly exercised; writes requiring financial or account state were excluded.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/ HTTP contract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HTTP status and response shape/content checks; Cucumber/Postman runner execution; local Node test-framework validation.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111-case and 57-case recorded runs passed. Latest app run blocked by missing token and write guard.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and data validation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 values, missing/forged auth, empty filters, paging boundaries, unknown list type, malformed JSON, response field allowlists and numeric values.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Covered by historical/focused runs and developer local regression evidence. Live edge cases limited by account data.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Pagination and data consistency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 totals/pages, Passbook pages/counts/totals, market/result ordering and no-match/past-end behavior.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Developer local 64-case run fills missing shapes; authenticated live retest remains limited.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Missing/invalid token rejection, public-setting data minimization, HTTPS redirect, CORS and baseline security headers.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exploit testing. Three low-severity hardening observations remain for owner review.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Routing / error handling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Removed paths, incorrect method/path handling, malformed/oversized JSON and 404/400/413 behavior.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24 removed routes were independently re-probed: 24/24 expected 404. Other body/error cases were local developer evidence.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Automation quality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 ordering, variable handling, redaction, report generation, business-flag checks and file-availability guards.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framework tests passed 9/9.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Mobile application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Stake-entry UX, geo headers/region-block screens, pagination and UI empty states.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verified; mobile build/device testing not available in this API automation workspace.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/ payment integration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Deposit routing console, approval workflows, payment provider pay-in/payout and related email/log behavior.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tested; separate deployed systems, sandbox, access and approvals required.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17365D"/>
        </w:rPr>
        <w:t xml:space="preserve">3. Coverage scope and test safety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Production checks were low-volume and limited to read operations, expected refusals, authentication rejection, and removed-route probes.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No production bids, withdrawals, deposits, payout, bank-detail update, support conversation mutation, account block/unblock, or live configuration change was executed in this retest.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Credentials, tokens, account identifiers, payment details, and personal data are redacted from submitted evidence.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Historical execution results, current retest results, and developer-reported local results are separate evidence cycles and must not be added together as unique test cases.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4. Evidence files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master_Testcase_suite.csv — case-level execution and disposition register, with source evidence and cycle labels.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TEST_EXECUTION_REPORT.docx — execution totals, observed failures/blockers, and security observations.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TEST_CLOSURE_REPORT.docx — disposition, reported defects, accepted behaviors, and remaining closure conditions.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Existing reports: ALL_TEST_CASE_EXECUTION_REPORT.md, ALL_TEST_CASE_COVERAGE_BUGS.md, qa-all-resolved-bugs-retest-2026-10-26.md, qa-partial-retest-closure-2026-10-26.md, SECURITY_TEST_EXECUTION_REPORT.md.</w:t>
      </w:r>
    </w:p>
    <w:sectPr>
      <w:footerReference w:type="default" r:id="rId6"/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RCB Player API QA Client Report</dc:title>
  <dc:creator>RCB Player API QA</dc:creator>
  <dc:description>Consolidated test coverage, execution, and closure evidence.</dc:description>
  <cp:lastModifiedBy>Un-named</cp:lastModifiedBy>
  <cp:revision>1</cp:revision>
  <dcterms:created xsi:type="dcterms:W3CDTF">2026-10-26T11:16:49.733Z</dcterms:created>
  <dcterms:modified xsi:type="dcterms:W3CDTF">2026-10-26T11:16:49.735Z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