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6n5qpikmp02b" w:id="0"/>
      <w:bookmarkEnd w:id="0"/>
      <w:r w:rsidDel="00000000" w:rsidR="00000000" w:rsidRPr="00000000">
        <w:rPr>
          <w:b w:val="1"/>
          <w:rtl w:val="0"/>
        </w:rPr>
        <w:t xml:space="preserve">Labfinder UI Documentation - Varun Mokarala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lineRule="auto"/>
        <w:rPr>
          <w:rFonts w:ascii="Roboto Mono" w:cs="Roboto Mono" w:eastAsia="Roboto Mono" w:hAnsi="Roboto Mono"/>
          <w:color w:val="188038"/>
        </w:rPr>
      </w:pPr>
      <w:bookmarkStart w:colFirst="0" w:colLast="0" w:name="_qqq8z72m1324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Home Page </w:t>
      </w:r>
      <w:r w:rsidDel="00000000" w:rsidR="00000000" w:rsidRPr="00000000">
        <w:rPr>
          <w:b w:val="1"/>
          <w:sz w:val="34"/>
          <w:szCs w:val="34"/>
          <w:rtl w:val="0"/>
        </w:rPr>
        <w:t xml:space="preserve"> (</w:t>
      </w:r>
      <w:r w:rsidDel="00000000" w:rsidR="00000000" w:rsidRPr="00000000">
        <w:rPr>
          <w:b w:val="1"/>
          <w:sz w:val="22"/>
          <w:szCs w:val="22"/>
          <w:rtl w:val="0"/>
        </w:rPr>
        <w:t xml:space="preserve">URL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http://localhost:3000/)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is the main landing page of the Labfinder application. It serves as the entry point for users, offering navigation options to other parts of the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312922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9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3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0gicq361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Login Page URL: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http://localhost:3000/login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Allows existing users to log in using their credentials.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Username/Email Field: Input box for the user’s email or username.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Field: Password input box.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Button: Submits the form and authenticates the user.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/>
      </w:pPr>
      <w:bookmarkStart w:colFirst="0" w:colLast="0" w:name="_iifx2hclkit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Register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Button: Redirects to the registration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u93jw6xybj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Providers List Section URL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http://localhost:3000/providersInfo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Lists all available providers in a structured format.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 Cards: Each card contains the provider’s name, address, and contact information.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53t6bfu2c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Provider Details Section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Displays detailed information for a selected provider.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