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8"/>
          <w:szCs w:val="88"/>
        </w:rPr>
        <w:t xml:space="preserve"/>
      </w:r>
    </w:p>
    <w:p>
      <w:pPr>
        <w:spacing w:after="120" w:before="0"/>
        <w:jc w:val="center"/>
      </w:pPr>
      <w:r>
        <w:rPr>
          <w:rFonts w:ascii="Arial" w:cs="Arial" w:eastAsia="Arial" w:hAnsi="Arial"/>
          <w:b/>
          <w:bCs/>
          <w:color w:val="1B4F8A"/>
          <w:sz w:val="56"/>
          <w:szCs w:val="56"/>
        </w:rPr>
        <w:t xml:space="preserve">EPIGENETIC CLOCK REASONING BENCH</w:t>
      </w:r>
    </w:p>
    <w:p>
      <w:pPr>
        <w:spacing w:after="200" w:before="0"/>
        <w:jc w:val="center"/>
      </w:pPr>
      <w:r>
        <w:rPr>
          <w:rFonts w:ascii="Arial" w:cs="Arial" w:eastAsia="Arial" w:hAnsi="Arial"/>
          <w:i/>
          <w:iCs/>
          <w:color w:val="555555"/>
          <w:sz w:val="32"/>
          <w:szCs w:val="32"/>
        </w:rPr>
        <w:t xml:space="preserve">Technical Documentation</w:t>
      </w:r>
    </w:p>
    <w:p>
      <w:pPr>
        <w:pBdr>
          <w:bottom w:val="single" w:color="1B4F8A" w:sz="8" w:space="8"/>
        </w:pBdr>
        <w:spacing w:after="320" w:before="0"/>
        <w:jc w:val="center"/>
      </w:pPr>
      <w:r>
        <w:rPr>
          <w:sz w:val="22"/>
          <w:szCs w:val="22"/>
        </w:rPr>
        <w:t xml:space="preserve"> </w:t>
      </w:r>
    </w:p>
    <w:p>
      <w:r>
        <w:rPr>
          <w:sz w:val="22"/>
          <w:szCs w:val="22"/>
        </w:rPr>
        <w:t xml:space="preserve"/>
      </w:r>
    </w:p>
    <w:p>
      <w:pPr>
        <w:spacing w:after="80" w:before="80"/>
        <w:jc w:val="center"/>
      </w:pPr>
      <w:r>
        <w:rPr>
          <w:rFonts w:ascii="Arial" w:cs="Arial" w:eastAsia="Arial" w:hAnsi="Arial"/>
          <w:color w:val="2C2C2C"/>
          <w:sz w:val="28"/>
          <w:szCs w:val="28"/>
        </w:rPr>
        <w:t xml:space="preserve">Testing LLM Reasoning About Biological Aging</w:t>
      </w:r>
    </w:p>
    <w:p>
      <w:pPr>
        <w:spacing w:after="80" w:before="80"/>
        <w:jc w:val="center"/>
      </w:pPr>
      <w:r>
        <w:rPr>
          <w:rFonts w:ascii="Arial" w:cs="Arial" w:eastAsia="Arial" w:hAnsi="Arial"/>
          <w:color w:val="555555"/>
          <w:sz w:val="22"/>
          <w:szCs w:val="22"/>
        </w:rPr>
        <w:t xml:space="preserve">MESA Agent-Based Simulation  ·  GEO-Calibrated Drift Rates  ·  Algorithmic Ground Truth</w:t>
      </w:r>
    </w:p>
    <w:p>
      <w:r>
        <w:rPr>
          <w:sz w:val="66"/>
          <w:szCs w:val="66"/>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1B4F8A"/>
                <w:sz w:val="20"/>
                <w:szCs w:val="20"/>
              </w:rPr>
              <w:t xml:space="preserve">Team</w:t>
            </w:r>
          </w:p>
          <w:p>
            <w:pPr>
              <w:jc w:val="center"/>
            </w:pPr>
            <w:r>
              <w:rPr>
                <w:rFonts w:ascii="Arial" w:cs="Arial" w:eastAsia="Arial" w:hAnsi="Arial"/>
                <w:color w:val="2C2C2C"/>
                <w:sz w:val="20"/>
                <w:szCs w:val="20"/>
              </w:rPr>
              <w:t xml:space="preserve">Vishnu Tej Gavvala</w:t>
            </w:r>
          </w:p>
          <w:p>
            <w:pPr>
              <w:jc w:val="center"/>
            </w:pPr>
            <w:r>
              <w:rPr>
                <w:rFonts w:ascii="Arial" w:cs="Arial" w:eastAsia="Arial" w:hAnsi="Arial"/>
                <w:color w:val="555555"/>
                <w:sz w:val="18"/>
                <w:szCs w:val="18"/>
              </w:rPr>
              <w:t xml:space="preserve">University of Colorado Boulder</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sz w:val="20"/>
                <w:szCs w:val="20"/>
              </w:rPr>
              <w:t xml:space="preserve"> </w:t>
            </w:r>
          </w:p>
          <w:p>
            <w:pPr>
              <w:jc w:val="center"/>
            </w:pPr>
            <w:r>
              <w:rPr>
                <w:rFonts w:ascii="Arial" w:cs="Arial" w:eastAsia="Arial" w:hAnsi="Arial"/>
                <w:color w:val="2C2C2C"/>
                <w:sz w:val="20"/>
                <w:szCs w:val="20"/>
              </w:rPr>
              <w:t xml:space="preserve">Varun Nair</w:t>
            </w:r>
          </w:p>
          <w:p>
            <w:pPr>
              <w:jc w:val="center"/>
            </w:pPr>
            <w:r>
              <w:rPr>
                <w:rFonts w:ascii="Arial" w:cs="Arial" w:eastAsia="Arial" w:hAnsi="Arial"/>
                <w:color w:val="555555"/>
                <w:sz w:val="18"/>
                <w:szCs w:val="18"/>
              </w:rPr>
              <w:t xml:space="preserve">UC Santa Cruz</w:t>
            </w:r>
          </w:p>
        </w:tc>
      </w:tr>
    </w:tbl>
    <w:p>
      <w:r>
        <w:rPr>
          <w:sz w:val="44"/>
          <w:szCs w:val="44"/>
        </w:rPr>
        <w:t xml:space="preserve"/>
      </w:r>
    </w:p>
    <w:p>
      <w:pPr>
        <w:spacing w:after="80" w:before="80"/>
        <w:jc w:val="center"/>
      </w:pPr>
      <w:r>
        <w:rPr>
          <w:rFonts w:ascii="Arial" w:cs="Arial" w:eastAsia="Arial" w:hAnsi="Arial"/>
          <w:color w:val="555555"/>
          <w:sz w:val="22"/>
          <w:szCs w:val="22"/>
        </w:rPr>
        <w:t xml:space="preserve">Caltech Longevity Hackathon 2026  |  AI Longevity Track</w:t>
      </w:r>
    </w:p>
    <w:p>
      <w:pPr>
        <w:spacing w:after="80" w:before="80"/>
        <w:jc w:val="center"/>
      </w:pPr>
      <w:r>
        <w:rPr>
          <w:rFonts w:ascii="Arial" w:cs="Arial" w:eastAsia="Arial" w:hAnsi="Arial"/>
          <w:i/>
          <w:iCs/>
          <w:color w:val="555555"/>
          <w:sz w:val="20"/>
          <w:szCs w:val="20"/>
        </w:rPr>
        <w:t xml:space="preserve">Sponsored by Insilico Medicine</w:t>
      </w:r>
    </w:p>
    <w:p>
      <w:pPr>
        <w:spacing w:after="80" w:before="80"/>
        <w:jc w:val="center"/>
      </w:pPr>
      <w:r>
        <w:rPr>
          <w:rFonts w:ascii="Arial" w:cs="Arial" w:eastAsia="Arial" w:hAnsi="Arial"/>
          <w:color w:val="1B4F8A"/>
          <w:sz w:val="20"/>
          <w:szCs w:val="20"/>
        </w:rPr>
        <w:t xml:space="preserve">Repository: github.com/varunnair1234/CaltechLHacks_TeamSquad</w:t>
      </w:r>
    </w:p>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1. Executive Summary</w:t>
      </w:r>
    </w:p>
    <w:p>
      <w:pPr>
        <w:spacing w:after="120" w:before="80"/>
      </w:pPr>
      <w:r>
        <w:rPr>
          <w:rFonts w:ascii="Arial" w:cs="Arial" w:eastAsia="Arial" w:hAnsi="Arial"/>
          <w:color w:val="2C2C2C"/>
          <w:sz w:val="22"/>
          <w:szCs w:val="22"/>
        </w:rPr>
        <w:t xml:space="preserve">Large language models are increasingly used in longevity research to summarize literature, interpret biomarker data, and assist in clinical decision support. However, no rigorous benchmark exists to measure whether these models genuinely understand epigenetic clock biology — a core pillar of modern aging science. Models may produce fluent, confident-sounding responses while fundamentally misinterpreting clock values, conflating different clock types, or missing critical discordance patterns that carry clinical significance.</w:t>
      </w:r>
    </w:p>
    <w:p>
      <w:r>
        <w:rPr>
          <w:sz w:val="22"/>
          <w:szCs w:val="22"/>
        </w:rPr>
        <w:t xml:space="preserve"/>
      </w:r>
    </w:p>
    <w:p>
      <w:pPr>
        <w:spacing w:after="120" w:before="80"/>
      </w:pPr>
      <w:r>
        <w:rPr>
          <w:rFonts w:ascii="Arial" w:cs="Arial" w:eastAsia="Arial" w:hAnsi="Arial"/>
          <w:color w:val="2C2C2C"/>
          <w:sz w:val="22"/>
          <w:szCs w:val="22"/>
        </w:rPr>
        <w:t xml:space="preserve">We present the Epigenetic Clock Reasoning Bench (ECRB) — a benchmark suite that generates biologically grounded clinical scenarios with algorithmically derived ground truth labels, then evaluates LLM responses across four categories of epigenetic clock reasoning. The benchmark uses MESA agent-based simulation calibrated against real GEO methylation data to generate realistic tissue aging scenarios, which are converted into natural language clinical vignettes by Claude API, then evaluated against ground truth labels that are computed entirely from simulation parameters without human annotation.</w:t>
      </w:r>
    </w:p>
    <w:p>
      <w:r>
        <w:rPr>
          <w:sz w:val="22"/>
          <w:szCs w:val="22"/>
        </w:rPr>
        <w:t xml:space="preserve"/>
      </w:r>
    </w:p>
    <w:p>
      <w:pPr>
        <w:spacing w:after="120" w:before="80"/>
      </w:pPr>
      <w:r>
        <w:rPr>
          <w:rFonts w:ascii="Arial" w:cs="Arial" w:eastAsia="Arial" w:hAnsi="Arial"/>
          <w:color w:val="2C2C2C"/>
          <w:sz w:val="22"/>
          <w:szCs w:val="22"/>
        </w:rPr>
        <w:t xml:space="preserve">Our evaluation of two models — Claude Sonnet 4.6 and BioLLM (Longevity-Tuned) — across 200 scenarios reveals significant performance differences by task type, including a surprising finding: BioLLM outperforms Claude on intervention reasoning tasks (45.0% vs 40.0%), suggesting domain-specific training advantages for longitudinal clinical trajectory analysis despite Claude's superior overall performance (77.2% vs 55.4%).</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thick" w:color="B85C00" w:sz="12"/>
              <w:bottom w:val="single" w:color="B85C00" w:sz="4"/>
              <w:right w:val="single" w:color="B85C00" w:sz="4"/>
            </w:tcBorders>
            <w:shd w:fill="FFF3CD" w:val="clear"/>
            <w:tcMar>
              <w:top w:type="dxa" w:w="120"/>
              <w:left w:type="dxa" w:w="200"/>
              <w:bottom w:type="dxa" w:w="120"/>
              <w:right w:type="dxa" w:w="120"/>
            </w:tcMar>
          </w:tcPr>
          <w:p>
            <w:pPr>
              <w:spacing w:after="0" w:before="0"/>
            </w:pPr>
            <w:r>
              <w:rPr>
                <w:rFonts w:ascii="Arial" w:cs="Arial" w:eastAsia="Arial" w:hAnsi="Arial"/>
                <w:i/>
                <w:iCs/>
                <w:color w:val="2C2C2C"/>
                <w:sz w:val="21"/>
                <w:szCs w:val="21"/>
              </w:rPr>
              <w:t xml:space="preserve">Key Finding: LLMs struggle most with confounder awareness (Type D) and intervention reasoning (Type B), revealing critical gaps in biological reasoning that general-purpose language training does not address. These gaps have direct implications for AI-assisted longevity research.</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Scenarios Generated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Task Categories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4 (Clock Interpretation, Intervention Reasoning, Multi-Tissue, Confounders)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Models Evaluated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 (Claude Sonnet 4.6, BioLLM Longevity-Tuned)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Training Data Source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GSE40279 (656 samples), GSE51057 (329 samples)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Ground Truth Method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Algorithmic (zero hand annotation)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Claude Sonnet 4.6 Overall Accuracy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77.2%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BioLLM Overall Accuracy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55.4%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Claude Parse Failures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 / 200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BioLLM Parse Failures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 / 200</w:t>
            </w:r>
          </w:p>
        </w:tc>
      </w:tr>
    </w:tbl>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2. Scientific Background</w:t>
      </w:r>
    </w:p>
    <w:p>
      <w:pPr>
        <w:pStyle w:val="Heading2"/>
        <w:spacing w:after="140" w:before="280"/>
      </w:pPr>
      <w:r>
        <w:rPr>
          <w:rFonts w:ascii="Arial" w:cs="Arial" w:eastAsia="Arial" w:hAnsi="Arial"/>
          <w:b/>
          <w:bCs/>
          <w:color w:val="2C2C2C"/>
          <w:sz w:val="28"/>
          <w:szCs w:val="28"/>
        </w:rPr>
        <w:t xml:space="preserve">2.1 Epigenetic Clocks</w:t>
      </w:r>
    </w:p>
    <w:p>
      <w:pPr>
        <w:spacing w:after="120" w:before="80"/>
      </w:pPr>
      <w:r>
        <w:rPr>
          <w:rFonts w:ascii="Arial" w:cs="Arial" w:eastAsia="Arial" w:hAnsi="Arial"/>
          <w:color w:val="2C2C2C"/>
          <w:sz w:val="22"/>
          <w:szCs w:val="22"/>
        </w:rPr>
        <w:t xml:space="preserve">Epigenetic clocks are machine learning models trained to predict biological age from DNA methylation patterns. Unlike chronological age, biological age reflects the functional state of tissues and correlates more strongly with health outcomes, disease risk, and mortality. Methylation marks — chemical modifications on cytosine bases at CpG dinucleotides — accumulate in predictable patterns across the genome as cells age, making them reliable molecular timestamps.</w:t>
      </w:r>
    </w:p>
    <w:p>
      <w:r>
        <w:rPr>
          <w:sz w:val="22"/>
          <w:szCs w:val="22"/>
        </w:rPr>
        <w:t xml:space="preserve"/>
      </w:r>
    </w:p>
    <w:p>
      <w:pPr>
        <w:spacing w:after="120" w:before="80"/>
      </w:pPr>
      <w:r>
        <w:rPr>
          <w:rFonts w:ascii="Arial" w:cs="Arial" w:eastAsia="Arial" w:hAnsi="Arial"/>
          <w:color w:val="2C2C2C"/>
          <w:sz w:val="22"/>
          <w:szCs w:val="22"/>
        </w:rPr>
        <w:t xml:space="preserve">Three clocks form the primary evaluation targets of this benchmark: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60"/>
        <w:gridCol w:w="3360"/>
        <w:gridCol w:w="3480"/>
      </w:tblGrid>
      <w:tr>
        <w:trPr>
          <w:tblHeader/>
        </w:trPr>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Clock</w:t>
            </w:r>
          </w:p>
        </w:tc>
        <w:tc>
          <w:tcPr>
            <w:tcW w:type="dxa" w:w="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4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Horvath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Pan-tissue biological age from 353 CpG sites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General aging, tissue comparisons, research baseline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GrimAge</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2019</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Mortality risk via plasma protein proxies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Lifespan prediction, cardiovascular disease risk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DunedinPACE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Speed of aging (population mean = 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Intervention response measurement, rate tracking</w:t>
            </w:r>
          </w:p>
        </w:tc>
      </w:tr>
    </w:tbl>
    <w:p>
      <w:r>
        <w:rPr>
          <w:sz w:val="22"/>
          <w:szCs w:val="22"/>
        </w:rPr>
        <w:t xml:space="preserve"/>
      </w:r>
    </w:p>
    <w:p>
      <w:pPr>
        <w:spacing w:after="120" w:before="80"/>
      </w:pPr>
      <w:r>
        <w:rPr>
          <w:rFonts w:ascii="Arial" w:cs="Arial" w:eastAsia="Arial" w:hAnsi="Arial"/>
          <w:color w:val="2C2C2C"/>
          <w:sz w:val="22"/>
          <w:szCs w:val="22"/>
        </w:rPr>
        <w:t xml:space="preserve">Each clock captures a different dimension of biological aging, which creates clinically meaningful discordance patterns. A patient may show a favorable Horvath biological age while simultaneously exhibiting elevated GrimAge — suggesting that while their epigenome broadly reflects healthy aging, their specific mortality-risk protein expression pattern indicates elevated danger. These discordance patterns require nuanced biological reasoning to interpret correctly, making them ideal test cases for LLM evaluation.</w:t>
      </w:r>
    </w:p>
    <w:p>
      <w:pPr>
        <w:pStyle w:val="Heading2"/>
        <w:spacing w:after="140" w:before="280"/>
      </w:pPr>
      <w:r>
        <w:rPr>
          <w:rFonts w:ascii="Arial" w:cs="Arial" w:eastAsia="Arial" w:hAnsi="Arial"/>
          <w:b/>
          <w:bCs/>
          <w:color w:val="2C2C2C"/>
          <w:sz w:val="28"/>
          <w:szCs w:val="28"/>
        </w:rPr>
        <w:t xml:space="preserve">2.2 The Hallmarks of Aging Relevance</w:t>
      </w:r>
    </w:p>
    <w:p>
      <w:pPr>
        <w:spacing w:after="120" w:before="80"/>
      </w:pPr>
      <w:r>
        <w:rPr>
          <w:rFonts w:ascii="Arial" w:cs="Arial" w:eastAsia="Arial" w:hAnsi="Arial"/>
          <w:color w:val="2C2C2C"/>
          <w:sz w:val="22"/>
          <w:szCs w:val="22"/>
        </w:rPr>
        <w:t xml:space="preserve">The simulation underlying our benchmark draws from the López-Otín hallmarks of aging framework (2013, updated 2023). Specifically, our cell-level simulation models three interconnected hallmarks that drive methylation clock changes:</w:t>
      </w:r>
    </w:p>
    <w:p>
      <w:r>
        <w:rPr>
          <w:sz w:val="22"/>
          <w:szCs w:val="22"/>
        </w:rPr>
        <w:t xml:space="preserve"/>
      </w:r>
    </w:p>
    <w:p>
      <w:pPr>
        <w:pStyle w:val="ListParagraph"/>
        <w:numPr>
          <w:ilvl w:val="0"/>
          <w:numId w:val="2"/>
        </w:numPr>
        <w:spacing w:after="60" w:before="40"/>
      </w:pPr>
      <w:r>
        <w:rPr>
          <w:rFonts w:ascii="Arial" w:cs="Arial" w:eastAsia="Arial" w:hAnsi="Arial"/>
          <w:color w:val="2C2C2C"/>
          <w:sz w:val="22"/>
          <w:szCs w:val="22"/>
        </w:rPr>
        <w:t xml:space="preserve">Cellular senescence: cells that stop dividing but remain metabolically active, secreting the Senescence-Associated Secretory Phenotype (SASP) which damages neighboring cells and promotes systemic inflammation.</w:t>
      </w:r>
    </w:p>
    <w:p>
      <w:pPr>
        <w:pStyle w:val="ListParagraph"/>
        <w:numPr>
          <w:ilvl w:val="0"/>
          <w:numId w:val="2"/>
        </w:numPr>
        <w:spacing w:after="60" w:before="40"/>
      </w:pPr>
      <w:r>
        <w:rPr>
          <w:rFonts w:ascii="Arial" w:cs="Arial" w:eastAsia="Arial" w:hAnsi="Arial"/>
          <w:color w:val="2C2C2C"/>
          <w:sz w:val="22"/>
          <w:szCs w:val="22"/>
        </w:rPr>
        <w:t xml:space="preserve">Mitochondrial dysfunction: modeled through reactive oxygen species (ROS) accumulation that increases cellular damage counters.</w:t>
      </w:r>
    </w:p>
    <w:p>
      <w:pPr>
        <w:pStyle w:val="ListParagraph"/>
        <w:numPr>
          <w:ilvl w:val="0"/>
          <w:numId w:val="2"/>
        </w:numPr>
        <w:spacing w:after="60" w:before="40"/>
      </w:pPr>
      <w:r>
        <w:rPr>
          <w:rFonts w:ascii="Arial" w:cs="Arial" w:eastAsia="Arial" w:hAnsi="Arial"/>
          <w:color w:val="2C2C2C"/>
          <w:sz w:val="22"/>
          <w:szCs w:val="22"/>
        </w:rPr>
        <w:t xml:space="preserve">Epigenetic alterations: modeled through CpG methylation drift calibrated against real population data, producing biologically realistic Horvath clock trajectories.</w:t>
      </w:r>
    </w:p>
    <w:p>
      <w:r>
        <w:rPr>
          <w:sz w:val="22"/>
          <w:szCs w:val="22"/>
        </w:rPr>
        <w:t xml:space="preserve"/>
      </w:r>
    </w:p>
    <w:p>
      <w:pPr>
        <w:spacing w:after="120" w:before="80"/>
      </w:pPr>
      <w:r>
        <w:rPr>
          <w:rFonts w:ascii="Arial" w:cs="Arial" w:eastAsia="Arial" w:hAnsi="Arial"/>
          <w:color w:val="2C2C2C"/>
          <w:sz w:val="22"/>
          <w:szCs w:val="22"/>
        </w:rPr>
        <w:t xml:space="preserve">The SASP signaling component — where senescent cells spray inflammatory signals to neighbors within a spatial radius — is specifically why we use agent-based modeling rather than differential equations. This local, stochastic, spatially-dependent cascade is not expressible as a simple ODE but emerges naturally from ABM cell-cell interaction rules.</w:t>
      </w:r>
    </w:p>
    <w:p>
      <w:pPr>
        <w:pStyle w:val="Heading2"/>
        <w:spacing w:after="140" w:before="280"/>
      </w:pPr>
      <w:r>
        <w:rPr>
          <w:rFonts w:ascii="Arial" w:cs="Arial" w:eastAsia="Arial" w:hAnsi="Arial"/>
          <w:b/>
          <w:bCs/>
          <w:color w:val="2C2C2C"/>
          <w:sz w:val="28"/>
          <w:szCs w:val="28"/>
        </w:rPr>
        <w:t xml:space="preserve">2.3 Why LLM Benchmarking Matters for Longevity Research</w:t>
      </w:r>
    </w:p>
    <w:p>
      <w:pPr>
        <w:spacing w:after="120" w:before="80"/>
      </w:pPr>
      <w:r>
        <w:rPr>
          <w:rFonts w:ascii="Arial" w:cs="Arial" w:eastAsia="Arial" w:hAnsi="Arial"/>
          <w:color w:val="2C2C2C"/>
          <w:sz w:val="22"/>
          <w:szCs w:val="22"/>
        </w:rPr>
        <w:t xml:space="preserve">The longevity research community faces a literature explosion: thousands of papers on senolytics, caloric restriction, mTOR inhibition, NAD+ precursors, rapamycin, and dozens of other interventions, each reporting clock measurements across different tissue types, age groups, and follow-up periods. AI tools are increasingly used to parse this literature and assist in patient-facing applications.</w:t>
      </w:r>
    </w:p>
    <w:p>
      <w:r>
        <w:rPr>
          <w:sz w:val="22"/>
          <w:szCs w:val="22"/>
        </w:rPr>
        <w:t xml:space="preserve"/>
      </w:r>
    </w:p>
    <w:p>
      <w:pPr>
        <w:spacing w:after="120" w:before="80"/>
      </w:pPr>
      <w:r>
        <w:rPr>
          <w:rFonts w:ascii="Arial" w:cs="Arial" w:eastAsia="Arial" w:hAnsi="Arial"/>
          <w:color w:val="2C2C2C"/>
          <w:sz w:val="22"/>
          <w:szCs w:val="22"/>
        </w:rPr>
        <w:t xml:space="preserve">If these models cannot correctly interpret multi-clock profiles, identify technical confounders, or evaluate intervention trajectories, their deployment in research or clinical contexts carries real risk. You cannot improve what you cannot measure — ECRB provides the measurement infrastructure.</w:t>
      </w:r>
    </w:p>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3. System Architecture</w:t>
      </w:r>
    </w:p>
    <w:p>
      <w:pPr>
        <w:pStyle w:val="Heading2"/>
        <w:spacing w:after="140" w:before="280"/>
      </w:pPr>
      <w:r>
        <w:rPr>
          <w:rFonts w:ascii="Arial" w:cs="Arial" w:eastAsia="Arial" w:hAnsi="Arial"/>
          <w:b/>
          <w:bCs/>
          <w:color w:val="2C2C2C"/>
          <w:sz w:val="28"/>
          <w:szCs w:val="28"/>
        </w:rPr>
        <w:t xml:space="preserve">3.1 Three-Stage Pipeline</w:t>
      </w:r>
    </w:p>
    <w:p>
      <w:pPr>
        <w:spacing w:after="120" w:before="80"/>
      </w:pPr>
      <w:r>
        <w:rPr>
          <w:rFonts w:ascii="Arial" w:cs="Arial" w:eastAsia="Arial" w:hAnsi="Arial"/>
          <w:color w:val="2C2C2C"/>
          <w:sz w:val="22"/>
          <w:szCs w:val="22"/>
        </w:rPr>
        <w:t xml:space="preserve">The ECRB pipeline has three stages that transform real biological data into evaluated benchmark results: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880"/>
        <w:gridCol w:w="324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Simulate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 drift rates, literature constants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MESA cell agents age over 200 timesteps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Tissue-level clock values per run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 Generate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Clock values from simulation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Claude API generates NL clinical vignettes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benchmark.json (200 scenarios)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Evaluate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benchmark.json + model API access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LLMs answer, scorer grades responses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leaderboard.csv + details.json</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3.2 Stage 1: MESA Cell Simulation</w:t>
      </w:r>
    </w:p>
    <w:p>
      <w:pPr>
        <w:spacing w:after="120" w:before="80"/>
      </w:pPr>
      <w:r>
        <w:rPr>
          <w:rFonts w:ascii="Arial" w:cs="Arial" w:eastAsia="Arial" w:hAnsi="Arial"/>
          <w:color w:val="2C2C2C"/>
          <w:sz w:val="22"/>
          <w:szCs w:val="22"/>
        </w:rPr>
        <w:t xml:space="preserve">We use MESA 3.0, a Python agent-based modeling framework, to simulate tissue aging at the cellular level. Each simulation run creates a 30×30 grid (900 cells) representing a tissue patch, with each cell tracking individual biological state: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class CellAgent(mesa.Agent):</w:t>
            </w:r>
          </w:p>
          <w:p>
            <w:pPr>
              <w:spacing w:after="20" w:before="20"/>
            </w:pPr>
            <w:r>
              <w:rPr>
                <w:rFonts w:ascii="Courier New" w:cs="Courier New" w:eastAsia="Courier New" w:hAnsi="Courier New"/>
                <w:color w:val="D4D4D4"/>
                <w:sz w:val="18"/>
                <w:szCs w:val="18"/>
              </w:rPr>
              <w:t xml:space="preserve">    cpg_methylation: dict[str, float]  # 5 representative CpG sites</w:t>
            </w:r>
          </w:p>
          <w:p>
            <w:pPr>
              <w:spacing w:after="20" w:before="20"/>
            </w:pPr>
            <w:r>
              <w:rPr>
                <w:rFonts w:ascii="Courier New" w:cs="Courier New" w:eastAsia="Courier New" w:hAnsi="Courier New"/>
                <w:color w:val="D4D4D4"/>
                <w:sz w:val="18"/>
                <w:szCs w:val="18"/>
              </w:rPr>
              <w:t xml:space="preserve">    damage_counter: float              # ROS-driven damage accumulation</w:t>
            </w:r>
          </w:p>
          <w:p>
            <w:pPr>
              <w:spacing w:after="20" w:before="20"/>
            </w:pPr>
            <w:r>
              <w:rPr>
                <w:rFonts w:ascii="Courier New" w:cs="Courier New" w:eastAsia="Courier New" w:hAnsi="Courier New"/>
                <w:color w:val="D4D4D4"/>
                <w:sz w:val="18"/>
                <w:szCs w:val="18"/>
              </w:rPr>
              <w:t xml:space="preserve">    telomere_length: float             # Shortens each division (starts: 1.0)</w:t>
            </w:r>
          </w:p>
          <w:p>
            <w:pPr>
              <w:spacing w:after="20" w:before="20"/>
            </w:pPr>
            <w:r>
              <w:rPr>
                <w:rFonts w:ascii="Courier New" w:cs="Courier New" w:eastAsia="Courier New" w:hAnsi="Courier New"/>
                <w:color w:val="D4D4D4"/>
                <w:sz w:val="18"/>
                <w:szCs w:val="18"/>
              </w:rPr>
              <w:t xml:space="preserve">    senescence_state: str              # normal | stressed | senescent | dead</w:t>
            </w:r>
          </w:p>
          <w:p>
            <w:pPr>
              <w:spacing w:after="20" w:before="20"/>
            </w:pPr>
            <w:r>
              <w:rPr>
                <w:rFonts w:ascii="Courier New" w:cs="Courier New" w:eastAsia="Courier New" w:hAnsi="Courier New"/>
                <w:color w:val="D4D4D4"/>
                <w:sz w:val="18"/>
                <w:szCs w:val="18"/>
              </w:rPr>
              <w:t xml:space="preserve">    sasp_level: float                  # 1.0 if senescent, 0.0 otherwise</w:t>
            </w:r>
          </w:p>
          <w:p>
            <w:pPr>
              <w:spacing w:after="20" w:before="20"/>
            </w:pPr>
            <w:r>
              <w:rPr>
                <w:rFonts w:ascii="Courier New" w:cs="Courier New" w:eastAsia="Courier New" w:hAnsi="Courier New"/>
                <w:color w:val="D4D4D4"/>
                <w:sz w:val="18"/>
                <w:szCs w:val="18"/>
              </w:rPr>
              <w:t xml:space="preserve">    age_months: int                    # Simulation time counter</w:t>
            </w:r>
          </w:p>
        </w:tc>
      </w:tr>
    </w:tbl>
    <w:p>
      <w:r>
        <w:rPr>
          <w:sz w:val="22"/>
          <w:szCs w:val="22"/>
        </w:rPr>
        <w:t xml:space="preserve"/>
      </w:r>
    </w:p>
    <w:p>
      <w:pPr>
        <w:spacing w:after="120" w:before="80"/>
      </w:pPr>
      <w:r>
        <w:rPr>
          <w:rFonts w:ascii="Arial" w:cs="Arial" w:eastAsia="Arial" w:hAnsi="Arial"/>
          <w:color w:val="2C2C2C"/>
          <w:sz w:val="22"/>
          <w:szCs w:val="22"/>
        </w:rPr>
        <w:t xml:space="preserve">Each timestep represents one month of biological time. Simulations run 60-200 steps (5-16 years). The senescence cascade works as follows:</w:t>
      </w:r>
    </w:p>
    <w:p>
      <w:r>
        <w:rPr>
          <w:sz w:val="22"/>
          <w:szCs w:val="22"/>
        </w:rPr>
        <w:t xml:space="preserve"/>
      </w:r>
    </w:p>
    <w:p>
      <w:pPr>
        <w:pStyle w:val="ListParagraph"/>
        <w:numPr>
          <w:ilvl w:val="0"/>
          <w:numId w:val="3"/>
        </w:numPr>
        <w:spacing w:after="60" w:before="40"/>
      </w:pPr>
      <w:r>
        <w:rPr>
          <w:rFonts w:ascii="Arial" w:cs="Arial" w:eastAsia="Arial" w:hAnsi="Arial"/>
          <w:color w:val="2C2C2C"/>
          <w:sz w:val="22"/>
          <w:szCs w:val="22"/>
        </w:rPr>
        <w:t xml:space="preserve">Cells accumulate damage from stochastic ROS events and SASP exposure from senescent neighbors within radius 2.</w:t>
      </w:r>
    </w:p>
    <w:p>
      <w:pPr>
        <w:pStyle w:val="ListParagraph"/>
        <w:numPr>
          <w:ilvl w:val="0"/>
          <w:numId w:val="3"/>
        </w:numPr>
        <w:spacing w:after="60" w:before="40"/>
      </w:pPr>
      <w:r>
        <w:rPr>
          <w:rFonts w:ascii="Arial" w:cs="Arial" w:eastAsia="Arial" w:hAnsi="Arial"/>
          <w:color w:val="2C2C2C"/>
          <w:sz w:val="22"/>
          <w:szCs w:val="22"/>
        </w:rPr>
        <w:t xml:space="preserve">When telomere length falls below 0.15 (crisis threshold from Blackburn et al.), cells transition to stressed state.</w:t>
      </w:r>
    </w:p>
    <w:p>
      <w:pPr>
        <w:pStyle w:val="ListParagraph"/>
        <w:numPr>
          <w:ilvl w:val="0"/>
          <w:numId w:val="3"/>
        </w:numPr>
        <w:spacing w:after="60" w:before="40"/>
      </w:pPr>
      <w:r>
        <w:rPr>
          <w:rFonts w:ascii="Arial" w:cs="Arial" w:eastAsia="Arial" w:hAnsi="Arial"/>
          <w:color w:val="2C2C2C"/>
          <w:sz w:val="22"/>
          <w:szCs w:val="22"/>
        </w:rPr>
        <w:t xml:space="preserve">Stressed cells with damage &gt; 2.0 become senescent and begin secreting SASP.</w:t>
      </w:r>
    </w:p>
    <w:p>
      <w:pPr>
        <w:pStyle w:val="ListParagraph"/>
        <w:numPr>
          <w:ilvl w:val="0"/>
          <w:numId w:val="3"/>
        </w:numPr>
        <w:spacing w:after="60" w:before="40"/>
      </w:pPr>
      <w:r>
        <w:rPr>
          <w:rFonts w:ascii="Arial" w:cs="Arial" w:eastAsia="Arial" w:hAnsi="Arial"/>
          <w:color w:val="2C2C2C"/>
          <w:sz w:val="22"/>
          <w:szCs w:val="22"/>
        </w:rPr>
        <w:t xml:space="preserve">Heavily damaged senescent cells (damage &gt; 5.0) transition to dead, removing them from the tissue.</w:t>
      </w:r>
    </w:p>
    <w:p>
      <w:pPr>
        <w:pStyle w:val="ListParagraph"/>
        <w:numPr>
          <w:ilvl w:val="0"/>
          <w:numId w:val="3"/>
        </w:numPr>
        <w:spacing w:after="60" w:before="40"/>
      </w:pPr>
      <w:r>
        <w:rPr>
          <w:rFonts w:ascii="Arial" w:cs="Arial" w:eastAsia="Arial" w:hAnsi="Arial"/>
          <w:color w:val="2C2C2C"/>
          <w:sz w:val="22"/>
          <w:szCs w:val="22"/>
        </w:rPr>
        <w:t xml:space="preserve">Tissue-level clock values are computed by aggregating live cell states.</w:t>
      </w:r>
    </w:p>
    <w:p>
      <w:r>
        <w:rPr>
          <w:sz w:val="22"/>
          <w:szCs w:val="22"/>
        </w:rPr>
        <w:t xml:space="preserve"/>
      </w:r>
    </w:p>
    <w:p>
      <w:pPr>
        <w:pStyle w:val="Heading3"/>
        <w:spacing w:after="100" w:before="200"/>
      </w:pPr>
      <w:r>
        <w:rPr>
          <w:rFonts w:ascii="Arial" w:cs="Arial" w:eastAsia="Arial" w:hAnsi="Arial"/>
          <w:b/>
          <w:bCs/>
          <w:color w:val="555555"/>
          <w:sz w:val="24"/>
          <w:szCs w:val="24"/>
        </w:rPr>
        <w:t xml:space="preserve">3.2.1 Clock Proxy Computation</w:t>
      </w:r>
    </w:p>
    <w:p>
      <w:pPr>
        <w:spacing w:after="120" w:before="80"/>
      </w:pPr>
      <w:r>
        <w:rPr>
          <w:rFonts w:ascii="Arial" w:cs="Arial" w:eastAsia="Arial" w:hAnsi="Arial"/>
          <w:color w:val="2C2C2C"/>
          <w:sz w:val="22"/>
          <w:szCs w:val="22"/>
        </w:rPr>
        <w:t xml:space="preserve">Three clock proxies are computed from the tissue state at each timestep: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Horvath proxy: bulk methylation mean across live cells</w:t>
            </w:r>
          </w:p>
          <w:p>
            <w:pPr>
              <w:spacing w:after="20" w:before="20"/>
            </w:pPr>
            <w:r>
              <w:rPr>
                <w:rFonts w:ascii="Courier New" w:cs="Courier New" w:eastAsia="Courier New" w:hAnsi="Courier New"/>
                <w:color w:val="D4D4D4"/>
                <w:sz w:val="18"/>
                <w:szCs w:val="18"/>
              </w:rPr>
              <w:t xml:space="preserve">horvath = mean([cell.mean_cpg_methylation for cell in live_cells]) * 100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GrimAge proxy: combines senescent fraction and total SASP</w:t>
            </w:r>
          </w:p>
          <w:p>
            <w:pPr>
              <w:spacing w:after="20" w:before="20"/>
            </w:pPr>
            <w:r>
              <w:rPr>
                <w:rFonts w:ascii="Courier New" w:cs="Courier New" w:eastAsia="Courier New" w:hAnsi="Courier New"/>
                <w:color w:val="D4D4D4"/>
                <w:sz w:val="18"/>
                <w:szCs w:val="18"/>
              </w:rPr>
              <w:t xml:space="preserve">grimage = senescent_fraction * 50 + total_sasp * 0.1</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DunedinPACE proxy: damage-rate and senescence-driven pace signal</w:t>
            </w:r>
          </w:p>
          <w:p>
            <w:pPr>
              <w:spacing w:after="20" w:before="20"/>
            </w:pPr>
            <w:r>
              <w:rPr>
                <w:rFonts w:ascii="Courier New" w:cs="Courier New" w:eastAsia="Courier New" w:hAnsi="Courier New"/>
                <w:color w:val="D4D4D4"/>
                <w:sz w:val="18"/>
                <w:szCs w:val="18"/>
              </w:rPr>
              <w:t xml:space="preserve">dunedin = 1.0 + mean_damage * 0.1 + senescent_fraction * 0.5</w:t>
            </w:r>
          </w:p>
        </w:tc>
      </w:tr>
    </w:tbl>
    <w:p>
      <w:r>
        <w:rPr>
          <w:sz w:val="22"/>
          <w:szCs w:val="22"/>
        </w:rPr>
        <w:t xml:space="preserve"/>
      </w:r>
    </w:p>
    <w:p>
      <w:pPr>
        <w:pStyle w:val="Heading3"/>
        <w:spacing w:after="100" w:before="200"/>
      </w:pPr>
      <w:r>
        <w:rPr>
          <w:rFonts w:ascii="Arial" w:cs="Arial" w:eastAsia="Arial" w:hAnsi="Arial"/>
          <w:b/>
          <w:bCs/>
          <w:color w:val="555555"/>
          <w:sz w:val="24"/>
          <w:szCs w:val="24"/>
        </w:rPr>
        <w:t xml:space="preserve">3.2.2 Intervention Simulation</w:t>
      </w:r>
    </w:p>
    <w:p>
      <w:pPr>
        <w:spacing w:after="120" w:before="80"/>
      </w:pPr>
      <w:r>
        <w:rPr>
          <w:rFonts w:ascii="Arial" w:cs="Arial" w:eastAsia="Arial" w:hAnsi="Arial"/>
          <w:color w:val="2C2C2C"/>
          <w:sz w:val="22"/>
          <w:szCs w:val="22"/>
        </w:rPr>
        <w:t xml:space="preserve">Type B benchmark scenarios require pre- and post-intervention clock values. Interventions are simulated by monkey-patching the ROS damage rate parameter during the post-intervention phase: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 Change</w:t>
            </w:r>
          </w:p>
        </w:tc>
        <w:tc>
          <w:tcPr>
            <w:tcW w:type="dxa" w:w="50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Biological Rationale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Caloric restriction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ROS rate × 0.70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 reduces mitochondrial ROS production by 30% in model organisms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Senolytic therapy (D+Q)</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Senescent fraction − 30% at intervention start</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Dasatinib+Quercetin clears senescent cells directly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Aerobic exercise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ROS rate × 0.80, telomere rate × 0.85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Exercise upregulates antioxidant defenses and telomerase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Rapamycin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ROS rate × 0.75</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mTOR inhibition reduces cellular stress and damage accumulation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NAD+ supplementation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ROS rate × 0.85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NAD+ restoration improves mitochondrial efficiency</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3.3 Calibration Against Real GEO Data</w:t>
      </w:r>
    </w:p>
    <w:p>
      <w:pPr>
        <w:spacing w:after="120" w:before="80"/>
      </w:pPr>
      <w:r>
        <w:rPr>
          <w:rFonts w:ascii="Arial" w:cs="Arial" w:eastAsia="Arial" w:hAnsi="Arial"/>
          <w:color w:val="2C2C2C"/>
          <w:sz w:val="22"/>
          <w:szCs w:val="22"/>
        </w:rPr>
        <w:t xml:space="preserve">A critical differentiator of ECRB is that simulation drift rates are not arbitrary — they are calibrated against real methylation data from NCBI GEO. This transforms the simulation from a toy model into a biologically grounded instrument.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440"/>
        <w:gridCol w:w="1440"/>
        <w:gridCol w:w="1800"/>
        <w:gridCol w:w="216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Samples</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Tissue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CpGs Used</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GSE40279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656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19-101 years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Whole blood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102,307 (r² &gt; 0.02)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clock drift calibration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GSE51057</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329</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35-70 years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Multi-tissue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105,972 (r² &gt; 0.02)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Tissue-specific drift ratios</w:t>
            </w:r>
          </w:p>
        </w:tc>
      </w:tr>
    </w:tbl>
    <w:p>
      <w:r>
        <w:rPr>
          <w:sz w:val="22"/>
          <w:szCs w:val="22"/>
        </w:rPr>
        <w:t xml:space="preserve"/>
      </w:r>
    </w:p>
    <w:p>
      <w:pPr>
        <w:spacing w:after="120" w:before="80"/>
      </w:pPr>
      <w:r>
        <w:rPr>
          <w:rFonts w:ascii="Arial" w:cs="Arial" w:eastAsia="Arial" w:hAnsi="Arial"/>
          <w:color w:val="2C2C2C"/>
          <w:sz w:val="22"/>
          <w:szCs w:val="22"/>
        </w:rPr>
        <w:t xml:space="preserve">The calibration pipeline regresses each CpG's beta value against chronological age across all samples, extracting the slope (drift rate per year) and R² value. Only CpGs with R² &gt; 0.02 are retained, representing sites where age explains at least 2% of methylation variance. Five representative CpGs are selected as the simulation's primary methylation state, anchored by cg16867657 (R² = 0.737 in GSE40279 — the strongest age-correlated site in the Horvath 353 set):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1440"/>
        <w:gridCol w:w="1440"/>
        <w:gridCol w:w="1440"/>
        <w:gridCol w:w="1920"/>
      </w:tblGrid>
      <w:tr>
        <w:trPr>
          <w:tblHeader/>
        </w:trPr>
        <w:tc>
          <w:tcPr>
            <w:tcW w:type="dxa" w:w="1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CpG Site</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R² (GSE40279)</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Drift / Year</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Drift / Month</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9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Replicates in GSE51057</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cg16867657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0.737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+0.00464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+0.000387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Increases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r>
      <w:tr>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cg06639320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0.558</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+0.00281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+0.000234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Increases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No</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cg24724428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0.554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+0.00398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+0.000332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Increases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r>
      <w:tr>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cg22454769</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0.554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+0.00406</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+0.000338</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Increases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No</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cg10501210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0.527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-0.00790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-0.000658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Decreases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thick" w:color="1B4F8A" w:sz="12"/>
              <w:bottom w:val="single" w:color="1B4F8A" w:sz="4"/>
              <w:right w:val="single" w:color="1B4F8A" w:sz="4"/>
            </w:tcBorders>
            <w:shd w:fill="D6E4F7" w:val="clear"/>
            <w:tcMar>
              <w:top w:type="dxa" w:w="120"/>
              <w:left w:type="dxa" w:w="200"/>
              <w:bottom w:type="dxa" w:w="120"/>
              <w:right w:type="dxa" w:w="120"/>
            </w:tcMar>
          </w:tcPr>
          <w:p>
            <w:pPr>
              <w:spacing w:after="0" w:before="0"/>
            </w:pPr>
            <w:r>
              <w:rPr>
                <w:rFonts w:ascii="Arial" w:cs="Arial" w:eastAsia="Arial" w:hAnsi="Arial"/>
                <w:i/>
                <w:iCs/>
                <w:color w:val="2C2C2C"/>
                <w:sz w:val="21"/>
                <w:szCs w:val="21"/>
              </w:rPr>
              <w:t xml:space="preserve">Methodological Note: cg10501210 exhibits negative drift (methylation decreases with age), which is biologically real. Including both positive and negative drifting CpGs in the simulation produces more realistic bulk methylation trajectories than using only increasing sites.</w:t>
            </w:r>
          </w:p>
        </w:tc>
      </w:tr>
    </w:tbl>
    <w:p>
      <w:r>
        <w:rPr>
          <w:sz w:val="22"/>
          <w:szCs w:val="22"/>
        </w:rPr>
        <w:t xml:space="preserve"/>
      </w:r>
    </w:p>
    <w:p>
      <w:pPr>
        <w:spacing w:after="120" w:before="80"/>
      </w:pPr>
      <w:r>
        <w:rPr>
          <w:rFonts w:ascii="Arial" w:cs="Arial" w:eastAsia="Arial" w:hAnsi="Arial"/>
          <w:color w:val="2C2C2C"/>
          <w:sz w:val="22"/>
          <w:szCs w:val="22"/>
        </w:rPr>
        <w:t xml:space="preserve">Tissue-specific drift rates for Type C (multi-tissue discordance) scenarios are derived from the ratio of GSE51057 drift rates to GSE40279 rates for the three cross-validated CpGs. This ratio represents how much faster non-blood tissues age epigenetically relative to blood, grounding the tissue discordance scenarios in real cross-tissue methylation data.</w:t>
      </w:r>
    </w:p>
    <w:p>
      <w:pPr>
        <w:pStyle w:val="Heading2"/>
        <w:spacing w:after="140" w:before="280"/>
      </w:pPr>
      <w:r>
        <w:rPr>
          <w:rFonts w:ascii="Arial" w:cs="Arial" w:eastAsia="Arial" w:hAnsi="Arial"/>
          <w:b/>
          <w:bCs/>
          <w:color w:val="2C2C2C"/>
          <w:sz w:val="28"/>
          <w:szCs w:val="28"/>
        </w:rPr>
        <w:t xml:space="preserve">3.4 Stage 2: Scenario Generation</w:t>
      </w:r>
    </w:p>
    <w:p>
      <w:pPr>
        <w:spacing w:after="120" w:before="80"/>
      </w:pPr>
      <w:r>
        <w:rPr>
          <w:rFonts w:ascii="Arial" w:cs="Arial" w:eastAsia="Arial" w:hAnsi="Arial"/>
          <w:color w:val="2C2C2C"/>
          <w:sz w:val="22"/>
          <w:szCs w:val="22"/>
        </w:rPr>
        <w:t xml:space="preserve">Each simulation run produces one benchmark scenario through a two-step generation process:</w:t>
      </w:r>
    </w:p>
    <w:p>
      <w:r>
        <w:rPr>
          <w:sz w:val="22"/>
          <w:szCs w:val="22"/>
        </w:rPr>
        <w:t xml:space="preserve"/>
      </w:r>
    </w:p>
    <w:p>
      <w:pPr>
        <w:pStyle w:val="ListParagraph"/>
        <w:numPr>
          <w:ilvl w:val="0"/>
          <w:numId w:val="3"/>
        </w:numPr>
        <w:spacing w:after="60" w:before="40"/>
      </w:pPr>
      <w:r>
        <w:rPr>
          <w:rFonts w:ascii="Arial" w:cs="Arial" w:eastAsia="Arial" w:hAnsi="Arial"/>
          <w:color w:val="2C2C2C"/>
          <w:sz w:val="22"/>
          <w:szCs w:val="22"/>
        </w:rPr>
        <w:t xml:space="preserve">Simulation output (clock values, senescent fraction, tissue type, steps) is passed to the Claude Haiku API with a structured prompt requesting a clinical vignette in JSON format.</w:t>
      </w:r>
    </w:p>
    <w:p>
      <w:pPr>
        <w:pStyle w:val="ListParagraph"/>
        <w:numPr>
          <w:ilvl w:val="0"/>
          <w:numId w:val="3"/>
        </w:numPr>
        <w:spacing w:after="60" w:before="40"/>
      </w:pPr>
      <w:r>
        <w:rPr>
          <w:rFonts w:ascii="Arial" w:cs="Arial" w:eastAsia="Arial" w:hAnsi="Arial"/>
          <w:color w:val="2C2C2C"/>
          <w:sz w:val="22"/>
          <w:szCs w:val="22"/>
        </w:rPr>
        <w:t xml:space="preserve">Simultaneously, ground truth labels are computed algorithmically from the simulation parameters without any AI involvement.</w:t>
      </w:r>
    </w:p>
    <w:p>
      <w:r>
        <w:rPr>
          <w:sz w:val="22"/>
          <w:szCs w:val="22"/>
        </w:rPr>
        <w:t xml:space="preserve"/>
      </w:r>
    </w:p>
    <w:p>
      <w:pPr>
        <w:spacing w:after="120" w:before="80"/>
      </w:pPr>
      <w:r>
        <w:rPr>
          <w:rFonts w:ascii="Arial" w:cs="Arial" w:eastAsia="Arial" w:hAnsi="Arial"/>
          <w:color w:val="2C2C2C"/>
          <w:sz w:val="22"/>
          <w:szCs w:val="22"/>
        </w:rPr>
        <w:t xml:space="preserve">The separation of natural language generation (AI) and ground truth labeling (algorithmic) is fundamental to the benchmark's validity. Ground truth labels are derived from published clinical thresholds: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def derive_ground_truth(sim_output, patient_age):</w:t>
            </w:r>
          </w:p>
          <w:p>
            <w:pPr>
              <w:spacing w:after="20" w:before="20"/>
            </w:pPr>
            <w:r>
              <w:rPr>
                <w:rFonts w:ascii="Courier New" w:cs="Courier New" w:eastAsia="Courier New" w:hAnsi="Courier New"/>
                <w:color w:val="D4D4D4"/>
                <w:sz w:val="18"/>
                <w:szCs w:val="18"/>
              </w:rPr>
              <w:t xml:space="preserve">    horvath = sim_output['clocks']['horvath']</w:t>
            </w:r>
          </w:p>
          <w:p>
            <w:pPr>
              <w:spacing w:after="20" w:before="20"/>
            </w:pPr>
            <w:r>
              <w:rPr>
                <w:rFonts w:ascii="Courier New" w:cs="Courier New" w:eastAsia="Courier New" w:hAnsi="Courier New"/>
                <w:color w:val="D4D4D4"/>
                <w:sz w:val="18"/>
                <w:szCs w:val="18"/>
              </w:rPr>
              <w:t xml:space="preserve">    grimage = sim_output['clocks']['grimage_proxy']</w:t>
            </w:r>
          </w:p>
          <w:p>
            <w:pPr>
              <w:spacing w:after="20" w:before="20"/>
            </w:pPr>
            <w:r>
              <w:rPr>
                <w:rFonts w:ascii="Courier New" w:cs="Courier New" w:eastAsia="Courier New" w:hAnsi="Courier New"/>
                <w:color w:val="D4D4D4"/>
                <w:sz w:val="18"/>
                <w:szCs w:val="18"/>
              </w:rPr>
              <w:t xml:space="preserve">    dunedin = sim_output['clocks']['dunedinpace_proxy']</w:t>
            </w:r>
          </w:p>
          <w:p>
            <w:pPr>
              <w:spacing w:after="20" w:before="20"/>
            </w:pPr>
            <w:r>
              <w:rPr>
                <w:rFonts w:ascii="Courier New" w:cs="Courier New" w:eastAsia="Courier New" w:hAnsi="Courier New"/>
                <w:color w:val="D4D4D4"/>
                <w:sz w:val="18"/>
                <w:szCs w:val="18"/>
              </w:rPr>
              <w:t xml:space="preserve">    sen_frac = sim_output['senescent_fraction']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'accelerated_aging':    horvath &gt; patient_age + 5,</w:t>
            </w:r>
          </w:p>
          <w:p>
            <w:pPr>
              <w:spacing w:after="20" w:before="20"/>
            </w:pPr>
            <w:r>
              <w:rPr>
                <w:rFonts w:ascii="Courier New" w:cs="Courier New" w:eastAsia="Courier New" w:hAnsi="Courier New"/>
                <w:color w:val="D4D4D4"/>
                <w:sz w:val="18"/>
                <w:szCs w:val="18"/>
              </w:rPr>
              <w:t xml:space="preserve">        'fast_pacer':           dunedin &gt; 1.1,</w:t>
            </w:r>
          </w:p>
          <w:p>
            <w:pPr>
              <w:spacing w:after="20" w:before="20"/>
            </w:pPr>
            <w:r>
              <w:rPr>
                <w:rFonts w:ascii="Courier New" w:cs="Courier New" w:eastAsia="Courier New" w:hAnsi="Courier New"/>
                <w:color w:val="D4D4D4"/>
                <w:sz w:val="18"/>
                <w:szCs w:val="18"/>
              </w:rPr>
              <w:t xml:space="preserve">        'high_mortality_risk':  grimage &gt; patient_age + 7,</w:t>
            </w:r>
          </w:p>
          <w:p>
            <w:pPr>
              <w:spacing w:after="20" w:before="20"/>
            </w:pPr>
            <w:r>
              <w:rPr>
                <w:rFonts w:ascii="Courier New" w:cs="Courier New" w:eastAsia="Courier New" w:hAnsi="Courier New"/>
                <w:color w:val="D4D4D4"/>
                <w:sz w:val="18"/>
                <w:szCs w:val="18"/>
              </w:rPr>
              <w:t xml:space="preserve">        'clock_discordance':    abs(horvath - grimage) &gt; 5,</w:t>
            </w:r>
          </w:p>
          <w:p>
            <w:pPr>
              <w:spacing w:after="20" w:before="20"/>
            </w:pPr>
            <w:r>
              <w:rPr>
                <w:rFonts w:ascii="Courier New" w:cs="Courier New" w:eastAsia="Courier New" w:hAnsi="Courier New"/>
                <w:color w:val="D4D4D4"/>
                <w:sz w:val="18"/>
                <w:szCs w:val="18"/>
              </w:rPr>
              <w:t xml:space="preserve">        'high_senescence':      sen_frac &gt; 0.12,</w:t>
            </w:r>
          </w:p>
          <w:p>
            <w:pPr>
              <w:spacing w:after="20" w:before="20"/>
            </w:pPr>
            <w:r>
              <w:rPr>
                <w:rFonts w:ascii="Courier New" w:cs="Courier New" w:eastAsia="Courier New" w:hAnsi="Courier New"/>
                <w:color w:val="D4D4D4"/>
                <w:sz w:val="18"/>
                <w:szCs w:val="18"/>
              </w:rPr>
              <w:t xml:space="preserve">        'intervention_effective': post_dunedin &lt; pre_dunedin * 0.95  # Type B only</w:t>
            </w:r>
          </w:p>
          <w:p>
            <w:pPr>
              <w:spacing w:after="20" w:before="20"/>
            </w:pPr>
            <w:r>
              <w:rPr>
                <w:rFonts w:ascii="Courier New" w:cs="Courier New" w:eastAsia="Courier New" w:hAnsi="Courier New"/>
                <w:color w:val="D4D4D4"/>
                <w:sz w:val="18"/>
                <w:szCs w:val="18"/>
              </w:rPr>
              <w:t xml:space="preserve">    }</w:t>
            </w:r>
          </w:p>
        </w:tc>
      </w:tr>
    </w:tbl>
    <w:p>
      <w:r>
        <w:rPr>
          <w:sz w:val="22"/>
          <w:szCs w:val="22"/>
        </w:rPr>
        <w:t xml:space="preserve"/>
      </w:r>
    </w:p>
    <w:p>
      <w:pPr>
        <w:spacing w:after="120" w:before="80"/>
      </w:pPr>
      <w:r>
        <w:rPr>
          <w:rFonts w:ascii="Arial" w:cs="Arial" w:eastAsia="Arial" w:hAnsi="Arial"/>
          <w:color w:val="2C2C2C"/>
          <w:sz w:val="22"/>
          <w:szCs w:val="22"/>
        </w:rPr>
        <w:t xml:space="preserve">This approach enables infinite scalable scenario generation — each new simulation run automatically produces a fully labeled scenario. The benchmark can grow to thousands of scenarios without any manual annotation effort.</w:t>
      </w:r>
    </w:p>
    <w:p>
      <w:pPr>
        <w:pStyle w:val="Heading3"/>
        <w:spacing w:after="100" w:before="200"/>
      </w:pPr>
      <w:r>
        <w:rPr>
          <w:rFonts w:ascii="Arial" w:cs="Arial" w:eastAsia="Arial" w:hAnsi="Arial"/>
          <w:b/>
          <w:bCs/>
          <w:color w:val="555555"/>
          <w:sz w:val="24"/>
          <w:szCs w:val="24"/>
        </w:rPr>
        <w:t xml:space="preserve">3.4.1 Task Type Distribution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2160"/>
        <w:gridCol w:w="468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7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Biological Reasoning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Clock Interpretation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 (40%)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Multi-clock profile understanding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Horvath vs GrimAge vs DunedinPACE semantics, discordance patterns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 Intervention Reasoning</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50 (25%)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Pre/post intervention clock changes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Longitudinal trajectory analysis, intervention mechanism knowledge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 Multi-Tissue Discordance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 (20%)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Cross-tissue methylation differences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Tissue-specific drift rates, buccal vs blood vs brain clock behavior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 Confounders &amp; Artifacts</w:t>
            </w:r>
          </w:p>
        </w:tc>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30 (15%)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Technical artifact identification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Cell composition shifts, medication effects, sample quality issues</w:t>
            </w:r>
          </w:p>
        </w:tc>
      </w:tr>
    </w:tbl>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4. Evaluation Methodology</w:t>
      </w:r>
    </w:p>
    <w:p>
      <w:pPr>
        <w:pStyle w:val="Heading2"/>
        <w:spacing w:after="140" w:before="280"/>
      </w:pPr>
      <w:r>
        <w:rPr>
          <w:rFonts w:ascii="Arial" w:cs="Arial" w:eastAsia="Arial" w:hAnsi="Arial"/>
          <w:b/>
          <w:bCs/>
          <w:color w:val="2C2C2C"/>
          <w:sz w:val="28"/>
          <w:szCs w:val="28"/>
        </w:rPr>
        <w:t xml:space="preserve">4.1 Evaluation Harness</w:t>
      </w:r>
    </w:p>
    <w:p>
      <w:pPr>
        <w:spacing w:after="120" w:before="80"/>
      </w:pPr>
      <w:r>
        <w:rPr>
          <w:rFonts w:ascii="Arial" w:cs="Arial" w:eastAsia="Arial" w:hAnsi="Arial"/>
          <w:color w:val="2C2C2C"/>
          <w:sz w:val="22"/>
          <w:szCs w:val="22"/>
        </w:rPr>
        <w:t xml:space="preserve">The evaluation harness sends each benchmark scenario's question to each model being evaluated and parses the structured JSON response. All models are evaluated under identical conditions with the same system prompt: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SYSTEM_PROMPT = '''</w:t>
            </w:r>
          </w:p>
          <w:p>
            <w:pPr>
              <w:spacing w:after="20" w:before="20"/>
            </w:pPr>
            <w:r>
              <w:rPr>
                <w:rFonts w:ascii="Courier New" w:cs="Courier New" w:eastAsia="Courier New" w:hAnsi="Courier New"/>
                <w:color w:val="D4D4D4"/>
                <w:sz w:val="18"/>
                <w:szCs w:val="18"/>
              </w:rPr>
              <w:t xml:space="preserve">You are an expert in epigenetic aging biology and longevity research.</w:t>
            </w:r>
          </w:p>
          <w:p>
            <w:pPr>
              <w:spacing w:after="20" w:before="20"/>
            </w:pPr>
            <w:r>
              <w:rPr>
                <w:rFonts w:ascii="Courier New" w:cs="Courier New" w:eastAsia="Courier New" w:hAnsi="Courier New"/>
                <w:color w:val="D4D4D4"/>
                <w:sz w:val="18"/>
                <w:szCs w:val="18"/>
              </w:rPr>
              <w:t xml:space="preserve">You will receive clinical scenarios involving epigenetic clock measurements.</w:t>
            </w:r>
          </w:p>
          <w:p>
            <w:pPr>
              <w:spacing w:after="20" w:before="20"/>
            </w:pPr>
            <w:r>
              <w:rPr>
                <w:rFonts w:ascii="Courier New" w:cs="Courier New" w:eastAsia="Courier New" w:hAnsi="Courier New"/>
                <w:color w:val="D4D4D4"/>
                <w:sz w:val="18"/>
                <w:szCs w:val="18"/>
              </w:rPr>
              <w:t xml:space="preserve">Analyze the clock values and answer precisely.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Respond ONLY in this exact JSON format with no markdown: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"accelerated_aging": true or false,</w:t>
            </w:r>
          </w:p>
          <w:p>
            <w:pPr>
              <w:spacing w:after="20" w:before="20"/>
            </w:pPr>
            <w:r>
              <w:rPr>
                <w:rFonts w:ascii="Courier New" w:cs="Courier New" w:eastAsia="Courier New" w:hAnsi="Courier New"/>
                <w:color w:val="D4D4D4"/>
                <w:sz w:val="18"/>
                <w:szCs w:val="18"/>
              </w:rPr>
              <w:t xml:space="preserve">  "fast_pacer": true or false,</w:t>
            </w:r>
          </w:p>
          <w:p>
            <w:pPr>
              <w:spacing w:after="20" w:before="20"/>
            </w:pPr>
            <w:r>
              <w:rPr>
                <w:rFonts w:ascii="Courier New" w:cs="Courier New" w:eastAsia="Courier New" w:hAnsi="Courier New"/>
                <w:color w:val="D4D4D4"/>
                <w:sz w:val="18"/>
                <w:szCs w:val="18"/>
              </w:rPr>
              <w:t xml:space="preserve">  "high_mortality_risk": true or false,</w:t>
            </w:r>
          </w:p>
          <w:p>
            <w:pPr>
              <w:spacing w:after="20" w:before="20"/>
            </w:pPr>
            <w:r>
              <w:rPr>
                <w:rFonts w:ascii="Courier New" w:cs="Courier New" w:eastAsia="Courier New" w:hAnsi="Courier New"/>
                <w:color w:val="D4D4D4"/>
                <w:sz w:val="18"/>
                <w:szCs w:val="18"/>
              </w:rPr>
              <w:t xml:space="preserve">  "clock_discordance": true or false,</w:t>
            </w:r>
          </w:p>
          <w:p>
            <w:pPr>
              <w:spacing w:after="20" w:before="20"/>
            </w:pPr>
            <w:r>
              <w:rPr>
                <w:rFonts w:ascii="Courier New" w:cs="Courier New" w:eastAsia="Courier New" w:hAnsi="Courier New"/>
                <w:color w:val="D4D4D4"/>
                <w:sz w:val="18"/>
                <w:szCs w:val="18"/>
              </w:rPr>
              <w:t xml:space="preserve">  "reasoning": "2-3 sentence explanation",</w:t>
            </w:r>
          </w:p>
          <w:p>
            <w:pPr>
              <w:spacing w:after="20" w:before="20"/>
            </w:pPr>
            <w:r>
              <w:rPr>
                <w:rFonts w:ascii="Courier New" w:cs="Courier New" w:eastAsia="Courier New" w:hAnsi="Courier New"/>
                <w:color w:val="D4D4D4"/>
                <w:sz w:val="18"/>
                <w:szCs w:val="18"/>
              </w:rPr>
              <w:t xml:space="preserve">  "confidence": "high or medium or low"</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w:t>
            </w:r>
          </w:p>
        </w:tc>
      </w:tr>
    </w:tbl>
    <w:p>
      <w:r>
        <w:rPr>
          <w:sz w:val="22"/>
          <w:szCs w:val="22"/>
        </w:rPr>
        <w:t xml:space="preserve"/>
      </w:r>
    </w:p>
    <w:p>
      <w:pPr>
        <w:spacing w:after="120" w:before="80"/>
      </w:pPr>
      <w:r>
        <w:rPr>
          <w:rFonts w:ascii="Arial" w:cs="Arial" w:eastAsia="Arial" w:hAnsi="Arial"/>
          <w:color w:val="2C2C2C"/>
          <w:sz w:val="22"/>
          <w:szCs w:val="22"/>
        </w:rPr>
        <w:t xml:space="preserve">A 0.5-second delay between API calls prevents rate limiting. JSON parse failures are logged and counted separately — a model that cannot produce valid structured output on a given scenario receives zero points for that scenario.</w:t>
      </w:r>
    </w:p>
    <w:p>
      <w:pPr>
        <w:pStyle w:val="Heading2"/>
        <w:spacing w:after="140" w:before="280"/>
      </w:pPr>
      <w:r>
        <w:rPr>
          <w:rFonts w:ascii="Arial" w:cs="Arial" w:eastAsia="Arial" w:hAnsi="Arial"/>
          <w:b/>
          <w:bCs/>
          <w:color w:val="2C2C2C"/>
          <w:sz w:val="28"/>
          <w:szCs w:val="28"/>
        </w:rPr>
        <w:t xml:space="preserve">4.2 Scoring Framework</w:t>
      </w:r>
    </w:p>
    <w:p>
      <w:pPr>
        <w:spacing w:after="120" w:before="80"/>
      </w:pPr>
      <w:r>
        <w:rPr>
          <w:rFonts w:ascii="Arial" w:cs="Arial" w:eastAsia="Arial" w:hAnsi="Arial"/>
          <w:color w:val="2C2C2C"/>
          <w:sz w:val="22"/>
          <w:szCs w:val="22"/>
        </w:rPr>
        <w:t xml:space="preserve">Each scenario is scored on five dimensions for a maximum of 100 points: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080"/>
        <w:gridCol w:w="5040"/>
      </w:tblGrid>
      <w:tr>
        <w:trPr>
          <w:tblHeader/>
        </w:trPr>
        <w:tc>
          <w:tcPr>
            <w:tcW w:type="dxa" w:w="32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50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Evaluation Method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Accelerated aging classification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Binary: predicted == ground_truth</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Fast pacer identification</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Binary: predicted == ground_truth</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mortality risk classification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Binary: predicted == ground_truth</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Clock discordance detection</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Binary: predicted == ground_truth</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Reasoning quality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Keyword scoring: +5 per correct clock name cited (max 15)</w:t>
            </w:r>
          </w:p>
        </w:tc>
      </w:tr>
    </w:tbl>
    <w:p>
      <w:r>
        <w:rPr>
          <w:sz w:val="22"/>
          <w:szCs w:val="22"/>
        </w:rPr>
        <w:t xml:space="preserve"/>
      </w:r>
    </w:p>
    <w:p>
      <w:pPr>
        <w:spacing w:after="120" w:before="80"/>
      </w:pPr>
      <w:r>
        <w:rPr>
          <w:rFonts w:ascii="Arial" w:cs="Arial" w:eastAsia="Arial" w:hAnsi="Arial"/>
          <w:color w:val="2C2C2C"/>
          <w:sz w:val="22"/>
          <w:szCs w:val="22"/>
        </w:rPr>
        <w:t xml:space="preserve">A response is considered correct if it achieves a total score &gt;= 60 points. This threshold reflects that a partially correct answer (getting 3 of 4 binary dimensions right) should count as a passing response, while getting all binary dimensions wrong but providing verbose reasoning should not.</w:t>
      </w:r>
    </w:p>
    <w:p>
      <w:r>
        <w:rPr>
          <w:sz w:val="22"/>
          <w:szCs w:val="22"/>
        </w:rPr>
        <w:t xml:space="preserve"/>
      </w:r>
    </w:p>
    <w:p>
      <w:pPr>
        <w:spacing w:after="120" w:before="80"/>
      </w:pPr>
      <w:r>
        <w:rPr>
          <w:rFonts w:ascii="Arial" w:cs="Arial" w:eastAsia="Arial" w:hAnsi="Arial"/>
          <w:color w:val="2C2C2C"/>
          <w:sz w:val="22"/>
          <w:szCs w:val="22"/>
        </w:rPr>
        <w:t xml:space="preserve">The reasoning quality dimension specifically rewards models that cite clock names (Horvath, GrimAge, DunedinPACE) in their explanation, incentivizing responses that demonstrate mechanism awareness rather than black-box pattern matching.</w:t>
      </w:r>
    </w:p>
    <w:p>
      <w:pPr>
        <w:pStyle w:val="Heading2"/>
        <w:spacing w:after="140" w:before="280"/>
      </w:pPr>
      <w:r>
        <w:rPr>
          <w:rFonts w:ascii="Arial" w:cs="Arial" w:eastAsia="Arial" w:hAnsi="Arial"/>
          <w:b/>
          <w:bCs/>
          <w:color w:val="2C2C2C"/>
          <w:sz w:val="28"/>
          <w:szCs w:val="28"/>
        </w:rPr>
        <w:t xml:space="preserve">4.3 Sensitivity Analysis with SALib</w:t>
      </w:r>
    </w:p>
    <w:p>
      <w:pPr>
        <w:spacing w:after="120" w:before="80"/>
      </w:pPr>
      <w:r>
        <w:rPr>
          <w:rFonts w:ascii="Arial" w:cs="Arial" w:eastAsia="Arial" w:hAnsi="Arial"/>
          <w:color w:val="2C2C2C"/>
          <w:sz w:val="22"/>
          <w:szCs w:val="22"/>
        </w:rPr>
        <w:t xml:space="preserve">The scorer uses SALib (Sensitivity Analysis Library) to compute which scoring dimensions most strongly drive overall model performance. Sobol sensitivity indices reveal the variance contribution of each dimension to the total score variance. This allows us to answer: which aspects of epigenetic clock reasoning most differentiate models?</w:t>
      </w:r>
    </w:p>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5. Results</w:t>
      </w:r>
    </w:p>
    <w:p>
      <w:pPr>
        <w:pStyle w:val="Heading2"/>
        <w:spacing w:after="140" w:before="280"/>
      </w:pPr>
      <w:r>
        <w:rPr>
          <w:rFonts w:ascii="Arial" w:cs="Arial" w:eastAsia="Arial" w:hAnsi="Arial"/>
          <w:b/>
          <w:bCs/>
          <w:color w:val="2C2C2C"/>
          <w:sz w:val="28"/>
          <w:szCs w:val="28"/>
        </w:rPr>
        <w:t xml:space="preserve">5.1 Overall Leaderboard</w:t>
      </w:r>
    </w:p>
    <w:p>
      <w:r>
        <w:rPr>
          <w:sz w:val="22"/>
          <w:szCs w:val="22"/>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1440"/>
        <w:gridCol w:w="1080"/>
        <w:gridCol w:w="1080"/>
        <w:gridCol w:w="1080"/>
        <w:gridCol w:w="1080"/>
        <w:gridCol w:w="1080"/>
        <w:gridCol w:w="1080"/>
      </w:tblGrid>
      <w:tr>
        <w:trPr>
          <w:tblHeader/>
        </w:trPr>
        <w:tc>
          <w:tcPr>
            <w:tcW w:type="dxa" w:w="7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Overall Accuracy</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Mean Score</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A</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B</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C</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 D</w:t>
            </w:r>
          </w:p>
        </w:tc>
        <w:tc>
          <w:tcPr>
            <w:tcW w:type="dxa" w:w="1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Parse Fails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 Sonnet 4.6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77.2%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76.0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96.1%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88.1%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66.2%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 / 200</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BioLLM (Longevity-Tuned)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55.4%</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54.8</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63.9%</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45.0%</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63.9%</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34.6%</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16 / 200</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5.2 Key Findings</w:t>
      </w:r>
    </w:p>
    <w:p>
      <w:r>
        <w:rPr>
          <w:sz w:val="22"/>
          <w:szCs w:val="22"/>
        </w:rPr>
        <w:t xml:space="preserve"/>
      </w:r>
    </w:p>
    <w:p>
      <w:pPr>
        <w:pStyle w:val="Heading3"/>
        <w:spacing w:after="100" w:before="200"/>
      </w:pPr>
      <w:r>
        <w:rPr>
          <w:rFonts w:ascii="Arial" w:cs="Arial" w:eastAsia="Arial" w:hAnsi="Arial"/>
          <w:b/>
          <w:bCs/>
          <w:color w:val="555555"/>
          <w:sz w:val="24"/>
          <w:szCs w:val="24"/>
        </w:rPr>
        <w:t xml:space="preserve">Finding 1: Claude Dominates Clock Interpretation (Type A)</w:t>
      </w:r>
    </w:p>
    <w:p>
      <w:pPr>
        <w:spacing w:after="120" w:before="80"/>
      </w:pPr>
      <w:r>
        <w:rPr>
          <w:rFonts w:ascii="Arial" w:cs="Arial" w:eastAsia="Arial" w:hAnsi="Arial"/>
          <w:color w:val="2C2C2C"/>
          <w:sz w:val="22"/>
          <w:szCs w:val="22"/>
        </w:rPr>
        <w:t xml:space="preserve">Claude Sonnet achieves 96.1% accuracy on Type A tasks — straightforward interpretation of single-snapshot clock profiles. This represents near-ceiling performance and suggests that basic epigenetic clock knowledge is well-represented in Claude's training data. BioLLM achieves 63.9%, indicating meaningful knowledge but more frequent misclassification of clock semantics.</w:t>
      </w:r>
    </w:p>
    <w:p>
      <w:pPr>
        <w:pStyle w:val="Heading3"/>
        <w:spacing w:after="100" w:before="200"/>
      </w:pPr>
      <w:r>
        <w:rPr>
          <w:rFonts w:ascii="Arial" w:cs="Arial" w:eastAsia="Arial" w:hAnsi="Arial"/>
          <w:b/>
          <w:bCs/>
          <w:color w:val="555555"/>
          <w:sz w:val="24"/>
          <w:szCs w:val="24"/>
        </w:rPr>
        <w:t xml:space="preserve">Finding 2: BioLLM Leads on Intervention Reasoning (Type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thick" w:color="1A6B3A" w:sz="12"/>
              <w:bottom w:val="single" w:color="1A6B3A" w:sz="4"/>
              <w:right w:val="single" w:color="1A6B3A" w:sz="4"/>
            </w:tcBorders>
            <w:shd w:fill="D4EDDA" w:val="clear"/>
            <w:tcMar>
              <w:top w:type="dxa" w:w="120"/>
              <w:left w:type="dxa" w:w="200"/>
              <w:bottom w:type="dxa" w:w="120"/>
              <w:right w:type="dxa" w:w="120"/>
            </w:tcMar>
          </w:tcPr>
          <w:p>
            <w:pPr>
              <w:spacing w:after="0" w:before="0"/>
            </w:pPr>
            <w:r>
              <w:rPr>
                <w:rFonts w:ascii="Arial" w:cs="Arial" w:eastAsia="Arial" w:hAnsi="Arial"/>
                <w:i/>
                <w:iCs/>
                <w:color w:val="2C2C2C"/>
                <w:sz w:val="21"/>
                <w:szCs w:val="21"/>
              </w:rPr>
              <w:t xml:space="preserve">Surprising Result: BioLLM outperforms Claude Sonnet on Type B intervention reasoning (45.0% vs 40.0%). This is the only task category where the domain-specific model leads. This suggests that training on biomedical literature may confer specific advantages for reasoning about longitudinal clinical trajectories and intervention response dynamics, even at lower overall performance.</w:t>
            </w:r>
          </w:p>
        </w:tc>
      </w:tr>
    </w:tbl>
    <w:p>
      <w:r>
        <w:rPr>
          <w:sz w:val="22"/>
          <w:szCs w:val="22"/>
        </w:rPr>
        <w:t xml:space="preserve"/>
      </w:r>
    </w:p>
    <w:p>
      <w:pPr>
        <w:spacing w:after="120" w:before="80"/>
      </w:pPr>
      <w:r>
        <w:rPr>
          <w:rFonts w:ascii="Arial" w:cs="Arial" w:eastAsia="Arial" w:hAnsi="Arial"/>
          <w:color w:val="2C2C2C"/>
          <w:sz w:val="22"/>
          <w:szCs w:val="22"/>
        </w:rPr>
        <w:t xml:space="preserve">The absolute performance on Type B is low for both models (below 50%), suggesting that intervention trajectory reasoning is genuinely difficult. Models must understand how different clocks respond at different timescales — DunedinPACE responds rapidly to lifestyle interventions while GrimAge may take years to change. This temporal reasoning requirement exceeds what static clock interpretation tasks require.</w:t>
      </w:r>
    </w:p>
    <w:p>
      <w:pPr>
        <w:pStyle w:val="Heading3"/>
        <w:spacing w:after="100" w:before="200"/>
      </w:pPr>
      <w:r>
        <w:rPr>
          <w:rFonts w:ascii="Arial" w:cs="Arial" w:eastAsia="Arial" w:hAnsi="Arial"/>
          <w:b/>
          <w:bCs/>
          <w:color w:val="555555"/>
          <w:sz w:val="24"/>
          <w:szCs w:val="24"/>
        </w:rPr>
        <w:t xml:space="preserve">Finding 3: Both Models Struggle with Confounders (Type D)</w:t>
      </w:r>
    </w:p>
    <w:p>
      <w:pPr>
        <w:spacing w:after="120" w:before="80"/>
      </w:pPr>
      <w:r>
        <w:rPr>
          <w:rFonts w:ascii="Arial" w:cs="Arial" w:eastAsia="Arial" w:hAnsi="Arial"/>
          <w:color w:val="2C2C2C"/>
          <w:sz w:val="22"/>
          <w:szCs w:val="22"/>
        </w:rPr>
        <w:t xml:space="preserve">Claude achieves 66.2% and BioLLM 34.6% on confounder scenarios. The gap between Claude's Type A (96.1%) and Type D (66.2%) performance — 30 percentage points — reveals that even strong models fail to account for technical artifacts when interpreting clock values. Confounders tested include acute infection (elevated WBC), medication effects (metformin, antidepressants), cell composition shifts (chemotherapy), and sample quality issues.</w:t>
      </w:r>
    </w:p>
    <w:p>
      <w:r>
        <w:rPr>
          <w:sz w:val="22"/>
          <w:szCs w:val="22"/>
        </w:rPr>
        <w:t xml:space="preserve"/>
      </w:r>
    </w:p>
    <w:p>
      <w:pPr>
        <w:spacing w:after="120" w:before="80"/>
      </w:pPr>
      <w:r>
        <w:rPr>
          <w:rFonts w:ascii="Arial" w:cs="Arial" w:eastAsia="Arial" w:hAnsi="Arial"/>
          <w:color w:val="2C2C2C"/>
          <w:sz w:val="22"/>
          <w:szCs w:val="22"/>
        </w:rPr>
        <w:t xml:space="preserve">This finding has direct practical implications: AI tools deployed to interpret patient clock results may confidently report accelerated aging when the signal is actually driven by an acute inflammatory state or medication effect. Without confounder awareness, these tools could cause patient harm through unnecessary alarm.</w:t>
      </w:r>
    </w:p>
    <w:p>
      <w:pPr>
        <w:pStyle w:val="Heading3"/>
        <w:spacing w:after="100" w:before="200"/>
      </w:pPr>
      <w:r>
        <w:rPr>
          <w:rFonts w:ascii="Arial" w:cs="Arial" w:eastAsia="Arial" w:hAnsi="Arial"/>
          <w:b/>
          <w:bCs/>
          <w:color w:val="555555"/>
          <w:sz w:val="24"/>
          <w:szCs w:val="24"/>
        </w:rPr>
        <w:t xml:space="preserve">Finding 4: Multi-Tissue Discordance Reveals Tissue Knowledge Gap (Type C)</w:t>
      </w:r>
    </w:p>
    <w:p>
      <w:pPr>
        <w:spacing w:after="120" w:before="80"/>
      </w:pPr>
      <w:r>
        <w:rPr>
          <w:rFonts w:ascii="Arial" w:cs="Arial" w:eastAsia="Arial" w:hAnsi="Arial"/>
          <w:color w:val="2C2C2C"/>
          <w:sz w:val="22"/>
          <w:szCs w:val="22"/>
        </w:rPr>
        <w:t xml:space="preserve">Claude achieves 88.1% on Type C, suggesting strong but imperfect understanding of tissue-specific methylation differences. BioLLM's 63.9% performance indicates more frequent failures to account for the fact that brain tissue ages epigenetically approximately 2x faster than blood, or that buccal samples show different patterns than blood draws from the same individual.</w:t>
      </w:r>
    </w:p>
    <w:p>
      <w:pPr>
        <w:pStyle w:val="Heading3"/>
        <w:spacing w:after="100" w:before="200"/>
      </w:pPr>
      <w:r>
        <w:rPr>
          <w:rFonts w:ascii="Arial" w:cs="Arial" w:eastAsia="Arial" w:hAnsi="Arial"/>
          <w:b/>
          <w:bCs/>
          <w:color w:val="555555"/>
          <w:sz w:val="24"/>
          <w:szCs w:val="24"/>
        </w:rPr>
        <w:t xml:space="preserve">Finding 5: Parse Reliability Strongly Differentiates Models</w:t>
      </w:r>
    </w:p>
    <w:p>
      <w:pPr>
        <w:spacing w:after="120" w:before="80"/>
      </w:pPr>
      <w:r>
        <w:rPr>
          <w:rFonts w:ascii="Arial" w:cs="Arial" w:eastAsia="Arial" w:hAnsi="Arial"/>
          <w:color w:val="2C2C2C"/>
          <w:sz w:val="22"/>
          <w:szCs w:val="22"/>
        </w:rPr>
        <w:t xml:space="preserve">Claude produced zero JSON parse failures across 200 scenarios. BioLLM produced 16 parse failures (8%), meaning it failed to generate valid structured output on those scenarios, scoring zero points regardless of biological reasoning quality. In a production research context, an 8% failure-to-respond rate would be clinically unacceptable. Parse reliability is therefore a critical metric alongside accuracy.</w:t>
      </w:r>
    </w:p>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6. Technical Stack</w:t>
      </w:r>
    </w:p>
    <w:p>
      <w:pPr>
        <w:pStyle w:val="Heading2"/>
        <w:spacing w:after="140" w:before="280"/>
      </w:pPr>
      <w:r>
        <w:rPr>
          <w:rFonts w:ascii="Arial" w:cs="Arial" w:eastAsia="Arial" w:hAnsi="Arial"/>
          <w:b/>
          <w:bCs/>
          <w:color w:val="2C2C2C"/>
          <w:sz w:val="28"/>
          <w:szCs w:val="28"/>
        </w:rPr>
        <w:t xml:space="preserve">6.1 Backend Dependencies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mesa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&gt;=3.0,&lt;4.0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Agent-based cell simulation framework</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numpy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&gt;=1.24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Numerical operations, random processes, drift rate arrays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pandas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collection, GEO dataset processing, scenario dataframes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scipy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&gt;=1.10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Statistical distributions for parameter sampling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anthropic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 API for scenario generation and model evaluation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SALib</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latest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Sensitivity analysis for scoring dimension importance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GEOparse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 dataset download and SOFT file parsing</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tqdm</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latest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Progress bars for benchmark generation and evaluation runs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pydantic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Schema validation for benchmark JSON entries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pytest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&gt;=7.0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Unit tests for simulation correctness and biology validation</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6.2 Frontend Stack</w:t>
      </w:r>
    </w:p>
    <w:p>
      <w:pPr>
        <w:spacing w:after="120" w:before="80"/>
      </w:pPr>
      <w:r>
        <w:rPr>
          <w:rFonts w:ascii="Arial" w:cs="Arial" w:eastAsia="Arial" w:hAnsi="Arial"/>
          <w:color w:val="2C2C2C"/>
          <w:sz w:val="22"/>
          <w:szCs w:val="22"/>
        </w:rPr>
        <w:t xml:space="preserve">The visualization dashboard is built with React and Tailwind CSS, using deck.gl for the GPU-accelerated tissue simulation visualization and Recharts for leaderboard charts and score breakdowns.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Framework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 TypeScript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Component-based UI with type safety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Styling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Tailwind CSS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Dark theme utility classes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3D Visualization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deck.gl (GridCellLayer)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30x30 animated tissue simulation grid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Charts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Recharts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Grouped bar charts, radar charts, score breakdowns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Vite / Lovable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Fast development and deployment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Hosting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Lovable deployment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One-click deployment from Lovable platform</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6.3 Repository Structure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CaltechLHacks_TeamSquad/</w:t>
            </w:r>
          </w:p>
          <w:p>
            <w:pPr>
              <w:spacing w:after="20" w:before="20"/>
            </w:pPr>
            <w:r>
              <w:rPr>
                <w:rFonts w:ascii="Courier New" w:cs="Courier New" w:eastAsia="Courier New" w:hAnsi="Courier New"/>
                <w:color w:val="D4D4D4"/>
                <w:sz w:val="18"/>
                <w:szCs w:val="18"/>
              </w:rPr>
              <w:t xml:space="preserve">├── simulation/</w:t>
            </w:r>
          </w:p>
          <w:p>
            <w:pPr>
              <w:spacing w:after="20" w:before="20"/>
            </w:pPr>
            <w:r>
              <w:rPr>
                <w:rFonts w:ascii="Courier New" w:cs="Courier New" w:eastAsia="Courier New" w:hAnsi="Courier New"/>
                <w:color w:val="D4D4D4"/>
                <w:sz w:val="18"/>
                <w:szCs w:val="18"/>
              </w:rPr>
              <w:t xml:space="preserve">│   ├── cell_agent.py          # MESA CellAgent with methylation/damage/telomere state</w:t>
            </w:r>
          </w:p>
          <w:p>
            <w:pPr>
              <w:spacing w:after="20" w:before="20"/>
            </w:pPr>
            <w:r>
              <w:rPr>
                <w:rFonts w:ascii="Courier New" w:cs="Courier New" w:eastAsia="Courier New" w:hAnsi="Courier New"/>
                <w:color w:val="D4D4D4"/>
                <w:sz w:val="18"/>
                <w:szCs w:val="18"/>
              </w:rPr>
              <w:t xml:space="preserve">│   ├── tissue_model.py        # TissueModel: 30x30 grid, clock aggregation</w:t>
            </w:r>
          </w:p>
          <w:p>
            <w:pPr>
              <w:spacing w:after="20" w:before="20"/>
            </w:pPr>
            <w:r>
              <w:rPr>
                <w:rFonts w:ascii="Courier New" w:cs="Courier New" w:eastAsia="Courier New" w:hAnsi="Courier New"/>
                <w:color w:val="D4D4D4"/>
                <w:sz w:val="18"/>
                <w:szCs w:val="18"/>
              </w:rPr>
              <w:t xml:space="preserve">│   ├── clocks.py              # Horvath/GrimAge/DunedinPACE proxy formulas</w:t>
            </w:r>
          </w:p>
          <w:p>
            <w:pPr>
              <w:spacing w:after="20" w:before="20"/>
            </w:pPr>
            <w:r>
              <w:rPr>
                <w:rFonts w:ascii="Courier New" w:cs="Courier New" w:eastAsia="Courier New" w:hAnsi="Courier New"/>
                <w:color w:val="D4D4D4"/>
                <w:sz w:val="18"/>
                <w:szCs w:val="18"/>
              </w:rPr>
              <w:t xml:space="preserve">│   ├── params.py              # Literature-grounded simulation parameters</w:t>
            </w:r>
          </w:p>
          <w:p>
            <w:pPr>
              <w:spacing w:after="20" w:before="20"/>
            </w:pPr>
            <w:r>
              <w:rPr>
                <w:rFonts w:ascii="Courier New" w:cs="Courier New" w:eastAsia="Courier New" w:hAnsi="Courier New"/>
                <w:color w:val="D4D4D4"/>
                <w:sz w:val="18"/>
                <w:szCs w:val="18"/>
              </w:rPr>
              <w:t xml:space="preserve">│   └── horvath_coefficients.csv</w:t>
            </w:r>
          </w:p>
          <w:p>
            <w:pPr>
              <w:spacing w:after="20" w:before="20"/>
            </w:pPr>
            <w:r>
              <w:rPr>
                <w:rFonts w:ascii="Courier New" w:cs="Courier New" w:eastAsia="Courier New" w:hAnsi="Courier New"/>
                <w:color w:val="D4D4D4"/>
                <w:sz w:val="18"/>
                <w:szCs w:val="18"/>
              </w:rPr>
              <w:t xml:space="preserve">├── benchmark/</w:t>
            </w:r>
          </w:p>
          <w:p>
            <w:pPr>
              <w:spacing w:after="20" w:before="20"/>
            </w:pPr>
            <w:r>
              <w:rPr>
                <w:rFonts w:ascii="Courier New" w:cs="Courier New" w:eastAsia="Courier New" w:hAnsi="Courier New"/>
                <w:color w:val="D4D4D4"/>
                <w:sz w:val="18"/>
                <w:szCs w:val="18"/>
              </w:rPr>
              <w:t xml:space="preserve">│   ├── scenario_generator.py  # Simulation -&gt; Claude API -&gt; clinical vignette</w:t>
            </w:r>
          </w:p>
          <w:p>
            <w:pPr>
              <w:spacing w:after="20" w:before="20"/>
            </w:pPr>
            <w:r>
              <w:rPr>
                <w:rFonts w:ascii="Courier New" w:cs="Courier New" w:eastAsia="Courier New" w:hAnsi="Courier New"/>
                <w:color w:val="D4D4D4"/>
                <w:sz w:val="18"/>
                <w:szCs w:val="18"/>
              </w:rPr>
              <w:t xml:space="preserve">│   ├── ground_truth.py        # Algorithmic label derivation from sim params</w:t>
            </w:r>
          </w:p>
          <w:p>
            <w:pPr>
              <w:spacing w:after="20" w:before="20"/>
            </w:pPr>
            <w:r>
              <w:rPr>
                <w:rFonts w:ascii="Courier New" w:cs="Courier New" w:eastAsia="Courier New" w:hAnsi="Courier New"/>
                <w:color w:val="D4D4D4"/>
                <w:sz w:val="18"/>
                <w:szCs w:val="18"/>
              </w:rPr>
              <w:t xml:space="preserve">│   └── benchmark.json         # 200 generated scenarios (306 KB)</w:t>
            </w:r>
          </w:p>
          <w:p>
            <w:pPr>
              <w:spacing w:after="20" w:before="20"/>
            </w:pPr>
            <w:r>
              <w:rPr>
                <w:rFonts w:ascii="Courier New" w:cs="Courier New" w:eastAsia="Courier New" w:hAnsi="Courier New"/>
                <w:color w:val="D4D4D4"/>
                <w:sz w:val="18"/>
                <w:szCs w:val="18"/>
              </w:rPr>
              <w:t xml:space="preserve">├── eval/</w:t>
            </w:r>
          </w:p>
          <w:p>
            <w:pPr>
              <w:spacing w:after="20" w:before="20"/>
            </w:pPr>
            <w:r>
              <w:rPr>
                <w:rFonts w:ascii="Courier New" w:cs="Courier New" w:eastAsia="Courier New" w:hAnsi="Courier New"/>
                <w:color w:val="D4D4D4"/>
                <w:sz w:val="18"/>
                <w:szCs w:val="18"/>
              </w:rPr>
              <w:t xml:space="preserve">│   ├── clients.py             # Claude + BioLLM API client wrappers</w:t>
            </w:r>
          </w:p>
          <w:p>
            <w:pPr>
              <w:spacing w:after="20" w:before="20"/>
            </w:pPr>
            <w:r>
              <w:rPr>
                <w:rFonts w:ascii="Courier New" w:cs="Courier New" w:eastAsia="Courier New" w:hAnsi="Courier New"/>
                <w:color w:val="D4D4D4"/>
                <w:sz w:val="18"/>
                <w:szCs w:val="18"/>
              </w:rPr>
              <w:t xml:space="preserve">│   ├── scorer.py              # SALib-integrated scoring + leaderboard</w:t>
            </w:r>
          </w:p>
          <w:p>
            <w:pPr>
              <w:spacing w:after="20" w:before="20"/>
            </w:pPr>
            <w:r>
              <w:rPr>
                <w:rFonts w:ascii="Courier New" w:cs="Courier New" w:eastAsia="Courier New" w:hAnsi="Courier New"/>
                <w:color w:val="D4D4D4"/>
                <w:sz w:val="18"/>
                <w:szCs w:val="18"/>
              </w:rPr>
              <w:t xml:space="preserve">│   └── run_eval.py            # CLI evaluation orchestrator</w:t>
            </w:r>
          </w:p>
          <w:p>
            <w:pPr>
              <w:spacing w:after="20" w:before="20"/>
            </w:pPr>
            <w:r>
              <w:rPr>
                <w:rFonts w:ascii="Courier New" w:cs="Courier New" w:eastAsia="Courier New" w:hAnsi="Courier New"/>
                <w:color w:val="D4D4D4"/>
                <w:sz w:val="18"/>
                <w:szCs w:val="18"/>
              </w:rPr>
              <w:t xml:space="preserve">├── eval_outputs/</w:t>
            </w:r>
          </w:p>
          <w:p>
            <w:pPr>
              <w:spacing w:after="20" w:before="20"/>
            </w:pPr>
            <w:r>
              <w:rPr>
                <w:rFonts w:ascii="Courier New" w:cs="Courier New" w:eastAsia="Courier New" w:hAnsi="Courier New"/>
                <w:color w:val="D4D4D4"/>
                <w:sz w:val="18"/>
                <w:szCs w:val="18"/>
              </w:rPr>
              <w:t xml:space="preserve">│   ├── leaderboard.csv        # Model comparison scores</w:t>
            </w:r>
          </w:p>
          <w:p>
            <w:pPr>
              <w:spacing w:after="20" w:before="20"/>
            </w:pPr>
            <w:r>
              <w:rPr>
                <w:rFonts w:ascii="Courier New" w:cs="Courier New" w:eastAsia="Courier New" w:hAnsi="Courier New"/>
                <w:color w:val="D4D4D4"/>
                <w:sz w:val="18"/>
                <w:szCs w:val="18"/>
              </w:rPr>
              <w:t xml:space="preserve">│   └── details.json           # Per-scenario per-model results (503 KB)</w:t>
            </w:r>
          </w:p>
          <w:p>
            <w:pPr>
              <w:spacing w:after="20" w:before="20"/>
            </w:pPr>
            <w:r>
              <w:rPr>
                <w:rFonts w:ascii="Courier New" w:cs="Courier New" w:eastAsia="Courier New" w:hAnsi="Courier New"/>
                <w:color w:val="D4D4D4"/>
                <w:sz w:val="18"/>
                <w:szCs w:val="18"/>
              </w:rPr>
              <w:t xml:space="preserve">├── data/</w:t>
            </w:r>
          </w:p>
          <w:p>
            <w:pPr>
              <w:spacing w:after="20" w:before="20"/>
            </w:pPr>
            <w:r>
              <w:rPr>
                <w:rFonts w:ascii="Courier New" w:cs="Courier New" w:eastAsia="Courier New" w:hAnsi="Courier New"/>
                <w:color w:val="D4D4D4"/>
                <w:sz w:val="18"/>
                <w:szCs w:val="18"/>
              </w:rPr>
              <w:t xml:space="preserve">│   ├── GSE40279/              # drift_rates.csv, metadata.csv, horvath_cpgs.csv</w:t>
            </w:r>
          </w:p>
          <w:p>
            <w:pPr>
              <w:spacing w:after="20" w:before="20"/>
            </w:pPr>
            <w:r>
              <w:rPr>
                <w:rFonts w:ascii="Courier New" w:cs="Courier New" w:eastAsia="Courier New" w:hAnsi="Courier New"/>
                <w:color w:val="D4D4D4"/>
                <w:sz w:val="18"/>
                <w:szCs w:val="18"/>
              </w:rPr>
              <w:t xml:space="preserve">│   └── GSE51057/              # drift_rates.csv, metadata.csv, horvath_cpgs.csv</w:t>
            </w:r>
          </w:p>
          <w:p>
            <w:pPr>
              <w:spacing w:after="20" w:before="20"/>
            </w:pPr>
            <w:r>
              <w:rPr>
                <w:rFonts w:ascii="Courier New" w:cs="Courier New" w:eastAsia="Courier New" w:hAnsi="Courier New"/>
                <w:color w:val="D4D4D4"/>
                <w:sz w:val="18"/>
                <w:szCs w:val="18"/>
              </w:rPr>
              <w:t xml:space="preserve">├── frontend/                  # React/deck.gl dashboard</w:t>
            </w:r>
          </w:p>
          <w:p>
            <w:pPr>
              <w:spacing w:after="20" w:before="20"/>
            </w:pPr>
            <w:r>
              <w:rPr>
                <w:rFonts w:ascii="Courier New" w:cs="Courier New" w:eastAsia="Courier New" w:hAnsi="Courier New"/>
                <w:color w:val="D4D4D4"/>
                <w:sz w:val="18"/>
                <w:szCs w:val="18"/>
              </w:rPr>
              <w:t xml:space="preserve">├── pipeline.py                # Master orchestrator (--demo, --generate, --evaluate)</w:t>
            </w:r>
          </w:p>
          <w:p>
            <w:pPr>
              <w:spacing w:after="20" w:before="20"/>
            </w:pPr>
            <w:r>
              <w:rPr>
                <w:rFonts w:ascii="Courier New" w:cs="Courier New" w:eastAsia="Courier New" w:hAnsi="Courier New"/>
                <w:color w:val="D4D4D4"/>
                <w:sz w:val="18"/>
                <w:szCs w:val="18"/>
              </w:rPr>
              <w:t xml:space="preserve">└── requirements.txt</w:t>
            </w:r>
          </w:p>
        </w:tc>
      </w:tr>
    </w:tbl>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7. Literature &amp; Parameter Sources</w:t>
      </w:r>
    </w:p>
    <w:p>
      <w:pPr>
        <w:pStyle w:val="Heading2"/>
        <w:spacing w:after="140" w:before="280"/>
      </w:pPr>
      <w:r>
        <w:rPr>
          <w:rFonts w:ascii="Arial" w:cs="Arial" w:eastAsia="Arial" w:hAnsi="Arial"/>
          <w:b/>
          <w:bCs/>
          <w:color w:val="2C2C2C"/>
          <w:sz w:val="28"/>
          <w:szCs w:val="28"/>
        </w:rPr>
        <w:t xml:space="preserve">7.1 Simulation Parameters from Published Literature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Senescent fraction, young tissue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Campisi et al. 2013, Nature Reviews Molecular Cell Biology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Senescent fraction, aged tissue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10-15%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van Deursen 2014, Nature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Telomere crisis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kb (normalized: 0.15)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Blackburn, Epel &amp; Lin, Science 2015</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SASP spread radius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5-10 cell diameters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Acosta et al. 2013, Nature Cell Biology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Horvath clock 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±3.6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Horvath 2013, Genome Biology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DunedinPACE mean / std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1.0 / ~0.1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Belsky et al. 2022, eLife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Brain CpG drift vs blood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~2x faster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Multi-tissue clock papers, Horvath et al.</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Caloric restriction ROS reduction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Colman et al. 2009, Science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Exercise telomere effect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reduction in shortening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Werner et al. 2019, European Heart Journal</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7.2 Epigenetic Clock References</w:t>
      </w:r>
    </w:p>
    <w:p>
      <w:r>
        <w:rPr>
          <w:sz w:val="22"/>
          <w:szCs w:val="22"/>
        </w:rPr>
        <w:t xml:space="preserve"/>
      </w:r>
    </w:p>
    <w:p>
      <w:pPr>
        <w:pStyle w:val="ListParagraph"/>
        <w:numPr>
          <w:ilvl w:val="0"/>
          <w:numId w:val="2"/>
        </w:numPr>
        <w:spacing w:after="60" w:before="40"/>
      </w:pPr>
      <w:r>
        <w:rPr>
          <w:rFonts w:ascii="Arial" w:cs="Arial" w:eastAsia="Arial" w:hAnsi="Arial"/>
          <w:color w:val="2C2C2C"/>
          <w:sz w:val="22"/>
          <w:szCs w:val="22"/>
        </w:rPr>
        <w:t xml:space="preserve">Horvath S. (2013). DNA methylation age of human tissues and cell types. Genome Biology, 14(10), R115.</w:t>
      </w:r>
    </w:p>
    <w:p>
      <w:pPr>
        <w:pStyle w:val="ListParagraph"/>
        <w:numPr>
          <w:ilvl w:val="0"/>
          <w:numId w:val="2"/>
        </w:numPr>
        <w:spacing w:after="60" w:before="40"/>
      </w:pPr>
      <w:r>
        <w:rPr>
          <w:rFonts w:ascii="Arial" w:cs="Arial" w:eastAsia="Arial" w:hAnsi="Arial"/>
          <w:color w:val="2C2C2C"/>
          <w:sz w:val="22"/>
          <w:szCs w:val="22"/>
        </w:rPr>
        <w:t xml:space="preserve">Lu AT, et al. (2019). DNA methylation GrimAge strongly predicts lifespan and healthspan. Aging, 11(2), 303-327.</w:t>
      </w:r>
    </w:p>
    <w:p>
      <w:pPr>
        <w:pStyle w:val="ListParagraph"/>
        <w:numPr>
          <w:ilvl w:val="0"/>
          <w:numId w:val="2"/>
        </w:numPr>
        <w:spacing w:after="60" w:before="40"/>
      </w:pPr>
      <w:r>
        <w:rPr>
          <w:rFonts w:ascii="Arial" w:cs="Arial" w:eastAsia="Arial" w:hAnsi="Arial"/>
          <w:color w:val="2C2C2C"/>
          <w:sz w:val="22"/>
          <w:szCs w:val="22"/>
        </w:rPr>
        <w:t xml:space="preserve">Belsky DW, et al. (2022). DunedinPACE, a DNA methylation biomarker of the pace of aging. eLife, 11, e73420.</w:t>
      </w:r>
    </w:p>
    <w:p>
      <w:pPr>
        <w:pStyle w:val="ListParagraph"/>
        <w:numPr>
          <w:ilvl w:val="0"/>
          <w:numId w:val="2"/>
        </w:numPr>
        <w:spacing w:after="60" w:before="40"/>
      </w:pPr>
      <w:r>
        <w:rPr>
          <w:rFonts w:ascii="Arial" w:cs="Arial" w:eastAsia="Arial" w:hAnsi="Arial"/>
          <w:color w:val="2C2C2C"/>
          <w:sz w:val="22"/>
          <w:szCs w:val="22"/>
        </w:rPr>
        <w:t xml:space="preserve">López-Otín C, et al. (2013). The hallmarks of aging. Cell, 153(6), 1194-1217.</w:t>
      </w:r>
    </w:p>
    <w:p>
      <w:pPr>
        <w:pStyle w:val="ListParagraph"/>
        <w:numPr>
          <w:ilvl w:val="0"/>
          <w:numId w:val="2"/>
        </w:numPr>
        <w:spacing w:after="60" w:before="40"/>
      </w:pPr>
      <w:r>
        <w:rPr>
          <w:rFonts w:ascii="Arial" w:cs="Arial" w:eastAsia="Arial" w:hAnsi="Arial"/>
          <w:color w:val="2C2C2C"/>
          <w:sz w:val="22"/>
          <w:szCs w:val="22"/>
        </w:rPr>
        <w:t xml:space="preserve">López-Otín C, et al. (2023). Hallmarks of aging: An expanding universe. Cell, 186(2), 243-278.</w:t>
      </w:r>
    </w:p>
    <w:p>
      <w:pPr>
        <w:pStyle w:val="ListParagraph"/>
        <w:numPr>
          <w:ilvl w:val="0"/>
          <w:numId w:val="2"/>
        </w:numPr>
        <w:spacing w:after="60" w:before="40"/>
      </w:pPr>
      <w:r>
        <w:rPr>
          <w:rFonts w:ascii="Arial" w:cs="Arial" w:eastAsia="Arial" w:hAnsi="Arial"/>
          <w:color w:val="2C2C2C"/>
          <w:sz w:val="22"/>
          <w:szCs w:val="22"/>
        </w:rPr>
        <w:t xml:space="preserve">Levine ME, et al. (2018). An epigenetic biomarker of aging for lifespan and healthspan (PhenoAge). Aging, 10(4), 573-591.</w:t>
      </w:r>
    </w:p>
    <w:p>
      <w:r>
        <w:rPr>
          <w:sz w:val="22"/>
          <w:szCs w:val="22"/>
        </w:rPr>
        <w:t xml:space="preserve"/>
      </w:r>
    </w:p>
    <w:p>
      <w:pPr>
        <w:pStyle w:val="Heading2"/>
        <w:spacing w:after="140" w:before="280"/>
      </w:pPr>
      <w:r>
        <w:rPr>
          <w:rFonts w:ascii="Arial" w:cs="Arial" w:eastAsia="Arial" w:hAnsi="Arial"/>
          <w:b/>
          <w:bCs/>
          <w:color w:val="2C2C2C"/>
          <w:sz w:val="28"/>
          <w:szCs w:val="28"/>
        </w:rPr>
        <w:t xml:space="preserve">7.3 GEO Dataset Citations</w:t>
      </w:r>
    </w:p>
    <w:p>
      <w:r>
        <w:rPr>
          <w:sz w:val="22"/>
          <w:szCs w:val="22"/>
        </w:rPr>
        <w:t xml:space="preserve"/>
      </w:r>
    </w:p>
    <w:p>
      <w:pPr>
        <w:pStyle w:val="ListParagraph"/>
        <w:numPr>
          <w:ilvl w:val="0"/>
          <w:numId w:val="2"/>
        </w:numPr>
        <w:spacing w:after="60" w:before="40"/>
      </w:pPr>
      <w:r>
        <w:rPr>
          <w:rFonts w:ascii="Arial" w:cs="Arial" w:eastAsia="Arial" w:hAnsi="Arial"/>
          <w:color w:val="2C2C2C"/>
          <w:sz w:val="22"/>
          <w:szCs w:val="22"/>
        </w:rPr>
        <w:t xml:space="preserve">Hannum G, et al. (2013). Genome-wide methylation profiles reveal quantitative views of human aging rates. Molecular Cell, 49(2), 359-367. [GSE40279]</w:t>
      </w:r>
    </w:p>
    <w:p>
      <w:pPr>
        <w:pStyle w:val="ListParagraph"/>
        <w:numPr>
          <w:ilvl w:val="0"/>
          <w:numId w:val="2"/>
        </w:numPr>
        <w:spacing w:after="60" w:before="40"/>
      </w:pPr>
      <w:r>
        <w:rPr>
          <w:rFonts w:ascii="Arial" w:cs="Arial" w:eastAsia="Arial" w:hAnsi="Arial"/>
          <w:color w:val="2C2C2C"/>
          <w:sz w:val="22"/>
          <w:szCs w:val="22"/>
        </w:rPr>
        <w:t xml:space="preserve">Lehne B, et al. (2015). A coherent approach for analysis of the Illumina HumanMethylation450 BeadChip improves data quality and performance in epigenome-wide association studies. Genome Biology, 16(1), 37. [GSE55763]</w:t>
      </w:r>
    </w:p>
    <w:p>
      <w:pPr>
        <w:pStyle w:val="ListParagraph"/>
        <w:numPr>
          <w:ilvl w:val="0"/>
          <w:numId w:val="2"/>
        </w:numPr>
        <w:spacing w:after="60" w:before="40"/>
      </w:pPr>
      <w:r>
        <w:rPr>
          <w:rFonts w:ascii="Arial" w:cs="Arial" w:eastAsia="Arial" w:hAnsi="Arial"/>
          <w:color w:val="2C2C2C"/>
          <w:sz w:val="22"/>
          <w:szCs w:val="22"/>
        </w:rPr>
        <w:t xml:space="preserve">Horvath S, et al. (2012). Aging effects on DNA methylation modules in human brain and blood tissue. Genome Biology, 13(10), R97. [GSE51057]</w:t>
      </w:r>
    </w:p>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8. Limitations and Future Work</w:t>
      </w:r>
    </w:p>
    <w:p>
      <w:pPr>
        <w:pStyle w:val="Heading2"/>
        <w:spacing w:after="140" w:before="280"/>
      </w:pPr>
      <w:r>
        <w:rPr>
          <w:rFonts w:ascii="Arial" w:cs="Arial" w:eastAsia="Arial" w:hAnsi="Arial"/>
          <w:b/>
          <w:bCs/>
          <w:color w:val="2C2C2C"/>
          <w:sz w:val="28"/>
          <w:szCs w:val="28"/>
        </w:rPr>
        <w:t xml:space="preserve">8.1 Current Limitations</w:t>
      </w:r>
    </w:p>
    <w:p>
      <w:r>
        <w:rPr>
          <w:sz w:val="22"/>
          <w:szCs w:val="22"/>
        </w:rPr>
        <w:t xml:space="preserve"/>
      </w:r>
    </w:p>
    <w:p>
      <w:pPr>
        <w:pStyle w:val="ListParagraph"/>
        <w:numPr>
          <w:ilvl w:val="0"/>
          <w:numId w:val="2"/>
        </w:numPr>
        <w:spacing w:after="60" w:before="40"/>
      </w:pPr>
      <w:r>
        <w:rPr>
          <w:rFonts w:ascii="Arial" w:cs="Arial" w:eastAsia="Arial" w:hAnsi="Arial"/>
          <w:color w:val="2C2C2C"/>
          <w:sz w:val="22"/>
          <w:szCs w:val="22"/>
        </w:rPr>
        <w:t xml:space="preserve">Clock proxy formulas are approximations derived from simulation parameters, not actual methylation array computation. Production-grade evaluation would use real DNA methylation data processed through pyaging's validated clock implementations.</w:t>
      </w:r>
    </w:p>
    <w:p>
      <w:pPr>
        <w:pStyle w:val="ListParagraph"/>
        <w:numPr>
          <w:ilvl w:val="0"/>
          <w:numId w:val="2"/>
        </w:numPr>
        <w:spacing w:after="60" w:before="40"/>
      </w:pPr>
      <w:r>
        <w:rPr>
          <w:rFonts w:ascii="Arial" w:cs="Arial" w:eastAsia="Arial" w:hAnsi="Arial"/>
          <w:color w:val="2C2C2C"/>
          <w:sz w:val="22"/>
          <w:szCs w:val="22"/>
        </w:rPr>
        <w:t xml:space="preserve">The benchmark currently evaluates two models. Expanded evaluation against GPT-4o, Gemini 1.5 Pro, and other bio-specialized LLMs would provide a more comprehensive landscape of LLM epigenetic reasoning capabilities.</w:t>
      </w:r>
    </w:p>
    <w:p>
      <w:pPr>
        <w:pStyle w:val="ListParagraph"/>
        <w:numPr>
          <w:ilvl w:val="0"/>
          <w:numId w:val="2"/>
        </w:numPr>
        <w:spacing w:after="60" w:before="40"/>
      </w:pPr>
      <w:r>
        <w:rPr>
          <w:rFonts w:ascii="Arial" w:cs="Arial" w:eastAsia="Arial" w:hAnsi="Arial"/>
          <w:color w:val="2C2C2C"/>
          <w:sz w:val="22"/>
          <w:szCs w:val="22"/>
        </w:rPr>
        <w:t xml:space="preserve">Type B intervention scenarios use ROS parameter modification to simulate interventions, which is a simplified proxy for the complex molecular mechanisms of each intervention type.</w:t>
      </w:r>
    </w:p>
    <w:p>
      <w:pPr>
        <w:pStyle w:val="ListParagraph"/>
        <w:numPr>
          <w:ilvl w:val="0"/>
          <w:numId w:val="2"/>
        </w:numPr>
        <w:spacing w:after="60" w:before="40"/>
      </w:pPr>
      <w:r>
        <w:rPr>
          <w:rFonts w:ascii="Arial" w:cs="Arial" w:eastAsia="Arial" w:hAnsi="Arial"/>
          <w:color w:val="2C2C2C"/>
          <w:sz w:val="22"/>
          <w:szCs w:val="22"/>
        </w:rPr>
        <w:t xml:space="preserve">All scenarios are generated from simulated data. While calibrated against real GEO data, validation against real clinical cases from longitudinal cohorts (MESA, TwinsUK) would strengthen the benchmark's clinical relevance.</w:t>
      </w:r>
    </w:p>
    <w:p>
      <w:pPr>
        <w:pStyle w:val="ListParagraph"/>
        <w:numPr>
          <w:ilvl w:val="0"/>
          <w:numId w:val="2"/>
        </w:numPr>
        <w:spacing w:after="60" w:before="40"/>
      </w:pPr>
      <w:r>
        <w:rPr>
          <w:rFonts w:ascii="Arial" w:cs="Arial" w:eastAsia="Arial" w:hAnsi="Arial"/>
          <w:color w:val="2C2C2C"/>
          <w:sz w:val="22"/>
          <w:szCs w:val="22"/>
        </w:rPr>
        <w:t xml:space="preserve">The current ground truth labeling does not account for clinical context beyond the simulation parameters, meaning some borderline cases may be labeled differently than a human expert would label them.</w:t>
      </w:r>
    </w:p>
    <w:p>
      <w:pPr>
        <w:pStyle w:val="Heading2"/>
        <w:spacing w:after="140" w:before="280"/>
      </w:pPr>
      <w:r>
        <w:rPr>
          <w:rFonts w:ascii="Arial" w:cs="Arial" w:eastAsia="Arial" w:hAnsi="Arial"/>
          <w:b/>
          <w:bCs/>
          <w:color w:val="2C2C2C"/>
          <w:sz w:val="28"/>
          <w:szCs w:val="28"/>
        </w:rPr>
        <w:t xml:space="preserve">8.2 Future Roadmap</w:t>
      </w:r>
    </w:p>
    <w:p>
      <w:r>
        <w:rPr>
          <w:sz w:val="22"/>
          <w:szCs w:val="22"/>
        </w:rPr>
        <w:t xml:space="preserve"/>
      </w:r>
    </w:p>
    <w:p>
      <w:pPr>
        <w:pStyle w:val="ListParagraph"/>
        <w:numPr>
          <w:ilvl w:val="0"/>
          <w:numId w:val="2"/>
        </w:numPr>
        <w:spacing w:after="60" w:before="40"/>
      </w:pPr>
      <w:r>
        <w:rPr>
          <w:rFonts w:ascii="Arial" w:cs="Arial" w:eastAsia="Arial" w:hAnsi="Arial"/>
          <w:color w:val="2C2C2C"/>
          <w:sz w:val="22"/>
          <w:szCs w:val="22"/>
        </w:rPr>
        <w:t xml:space="preserve">Clinical cohort validation: Apply benchmark scenarios derived from MESA (dbGaP phs000209) and TwinsUK longitudinal methylation data to validate simulation-derived scenarios against real clinical outcomes.</w:t>
      </w:r>
    </w:p>
    <w:p>
      <w:pPr>
        <w:pStyle w:val="ListParagraph"/>
        <w:numPr>
          <w:ilvl w:val="0"/>
          <w:numId w:val="2"/>
        </w:numPr>
        <w:spacing w:after="60" w:before="40"/>
      </w:pPr>
      <w:r>
        <w:rPr>
          <w:rFonts w:ascii="Arial" w:cs="Arial" w:eastAsia="Arial" w:hAnsi="Arial"/>
          <w:color w:val="2C2C2C"/>
          <w:sz w:val="22"/>
          <w:szCs w:val="22"/>
        </w:rPr>
        <w:t xml:space="preserve">Expanded model evaluation: Evaluate GPT-4o, Gemini 1.5 Pro, BioMedLM, and Insilico's fine-tuned LongevityLLM to build a comprehensive benchmark leaderboard.</w:t>
      </w:r>
    </w:p>
    <w:p>
      <w:pPr>
        <w:pStyle w:val="ListParagraph"/>
        <w:numPr>
          <w:ilvl w:val="0"/>
          <w:numId w:val="2"/>
        </w:numPr>
        <w:spacing w:after="60" w:before="40"/>
      </w:pPr>
      <w:r>
        <w:rPr>
          <w:rFonts w:ascii="Arial" w:cs="Arial" w:eastAsia="Arial" w:hAnsi="Arial"/>
          <w:color w:val="2C2C2C"/>
          <w:sz w:val="22"/>
          <w:szCs w:val="22"/>
        </w:rPr>
        <w:t xml:space="preserve">Agentic pipeline integration: Extend the benchmark to automatically generate scenarios from new longevity research publications using PubMed API and NLP extraction.</w:t>
      </w:r>
    </w:p>
    <w:p>
      <w:pPr>
        <w:pStyle w:val="ListParagraph"/>
        <w:numPr>
          <w:ilvl w:val="0"/>
          <w:numId w:val="2"/>
        </w:numPr>
        <w:spacing w:after="60" w:before="40"/>
      </w:pPr>
      <w:r>
        <w:rPr>
          <w:rFonts w:ascii="Arial" w:cs="Arial" w:eastAsia="Arial" w:hAnsi="Arial"/>
          <w:color w:val="2C2C2C"/>
          <w:sz w:val="22"/>
          <w:szCs w:val="22"/>
        </w:rPr>
        <w:t xml:space="preserve">LongevityBench contribution: Export benchmark in standardized format for community contribution to emerging LLM evaluation frameworks in longevity biology.</w:t>
      </w:r>
    </w:p>
    <w:p>
      <w:pPr>
        <w:pStyle w:val="ListParagraph"/>
        <w:numPr>
          <w:ilvl w:val="0"/>
          <w:numId w:val="2"/>
        </w:numPr>
        <w:spacing w:after="60" w:before="40"/>
      </w:pPr>
      <w:r>
        <w:rPr>
          <w:rFonts w:ascii="Arial" w:cs="Arial" w:eastAsia="Arial" w:hAnsi="Arial"/>
          <w:color w:val="2C2C2C"/>
          <w:sz w:val="22"/>
          <w:szCs w:val="22"/>
        </w:rPr>
        <w:t xml:space="preserve">Scale to 1,000+ scenarios: The algorithmic generation pipeline scales without cost beyond API expenses. Running 800 additional scenarios would provide stronger statistical power for model comparison.</w:t>
      </w:r>
    </w:p>
    <w:p>
      <w:pPr>
        <w:pStyle w:val="ListParagraph"/>
        <w:numPr>
          <w:ilvl w:val="0"/>
          <w:numId w:val="2"/>
        </w:numPr>
        <w:spacing w:after="60" w:before="40"/>
      </w:pPr>
      <w:r>
        <w:rPr>
          <w:rFonts w:ascii="Arial" w:cs="Arial" w:eastAsia="Arial" w:hAnsi="Arial"/>
          <w:color w:val="2C2C2C"/>
          <w:sz w:val="22"/>
          <w:szCs w:val="22"/>
        </w:rPr>
        <w:t xml:space="preserve">GrimAge v2 and DunedinPACE v2 tasks: Update clock proxies to reflect the latest clock versions and add task categories specifically testing knowledge of clock evolution and methodological improvements.</w:t>
      </w:r>
    </w:p>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9. Reproducibility and Setup</w:t>
      </w:r>
    </w:p>
    <w:p>
      <w:pPr>
        <w:pStyle w:val="Heading2"/>
        <w:spacing w:after="140" w:before="280"/>
      </w:pPr>
      <w:r>
        <w:rPr>
          <w:rFonts w:ascii="Arial" w:cs="Arial" w:eastAsia="Arial" w:hAnsi="Arial"/>
          <w:b/>
          <w:bCs/>
          <w:color w:val="2C2C2C"/>
          <w:sz w:val="28"/>
          <w:szCs w:val="28"/>
        </w:rPr>
        <w:t xml:space="preserve">9.1 Requirements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Python 3.11+ required (3.14 requires --ignore-requires-python for some packages)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Install dependencies</w:t>
            </w:r>
          </w:p>
          <w:p>
            <w:pPr>
              <w:spacing w:after="20" w:before="20"/>
            </w:pPr>
            <w:r>
              <w:rPr>
                <w:rFonts w:ascii="Courier New" w:cs="Courier New" w:eastAsia="Courier New" w:hAnsi="Courier New"/>
                <w:color w:val="D4D4D4"/>
                <w:sz w:val="18"/>
                <w:szCs w:val="18"/>
              </w:rPr>
              <w:t xml:space="preserve">pip install -r requirements.txt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Set API key</w:t>
            </w:r>
          </w:p>
          <w:p>
            <w:pPr>
              <w:spacing w:after="20" w:before="20"/>
            </w:pPr>
            <w:r>
              <w:rPr>
                <w:rFonts w:ascii="Courier New" w:cs="Courier New" w:eastAsia="Courier New" w:hAnsi="Courier New"/>
                <w:color w:val="D4D4D4"/>
                <w:sz w:val="18"/>
                <w:szCs w:val="18"/>
              </w:rPr>
              <w:t xml:space="preserve">export ANTHROPIC_API_KEY='your-key-here'  # Unix/Mac</w:t>
            </w:r>
          </w:p>
          <w:p>
            <w:pPr>
              <w:spacing w:after="20" w:before="20"/>
            </w:pPr>
            <w:r>
              <w:rPr>
                <w:rFonts w:ascii="Courier New" w:cs="Courier New" w:eastAsia="Courier New" w:hAnsi="Courier New"/>
                <w:color w:val="D4D4D4"/>
                <w:sz w:val="18"/>
                <w:szCs w:val="18"/>
              </w:rPr>
              <w:t xml:space="preserve">$env:ANTHROPIC_API_KEY = 'your-key-here'  # Windows PowerShell</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9.2 Running the Pipeline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Full pipeline: generate + evaluate</w:t>
            </w:r>
          </w:p>
          <w:p>
            <w:pPr>
              <w:spacing w:after="20" w:before="20"/>
            </w:pPr>
            <w:r>
              <w:rPr>
                <w:rFonts w:ascii="Courier New" w:cs="Courier New" w:eastAsia="Courier New" w:hAnsi="Courier New"/>
                <w:color w:val="D4D4D4"/>
                <w:sz w:val="18"/>
                <w:szCs w:val="18"/>
              </w:rPr>
              <w:t xml:space="preserve">python pipeline.py --full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Demo mode: 5 scenarios (fast, for testing)</w:t>
            </w:r>
          </w:p>
          <w:p>
            <w:pPr>
              <w:spacing w:after="20" w:before="20"/>
            </w:pPr>
            <w:r>
              <w:rPr>
                <w:rFonts w:ascii="Courier New" w:cs="Courier New" w:eastAsia="Courier New" w:hAnsi="Courier New"/>
                <w:color w:val="D4D4D4"/>
                <w:sz w:val="18"/>
                <w:szCs w:val="18"/>
              </w:rPr>
              <w:t xml:space="preserve">python pipeline.py --demo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Generate benchmark only</w:t>
            </w:r>
          </w:p>
          <w:p>
            <w:pPr>
              <w:spacing w:after="20" w:before="20"/>
            </w:pPr>
            <w:r>
              <w:rPr>
                <w:rFonts w:ascii="Courier New" w:cs="Courier New" w:eastAsia="Courier New" w:hAnsi="Courier New"/>
                <w:color w:val="D4D4D4"/>
                <w:sz w:val="18"/>
                <w:szCs w:val="18"/>
              </w:rPr>
              <w:t xml:space="preserve">python pipeline.py --generate --scenarios 200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Evaluate models on existing benchmark</w:t>
            </w:r>
          </w:p>
          <w:p>
            <w:pPr>
              <w:spacing w:after="20" w:before="20"/>
            </w:pPr>
            <w:r>
              <w:rPr>
                <w:rFonts w:ascii="Courier New" w:cs="Courier New" w:eastAsia="Courier New" w:hAnsi="Courier New"/>
                <w:color w:val="D4D4D4"/>
                <w:sz w:val="18"/>
                <w:szCs w:val="18"/>
              </w:rPr>
              <w:t xml:space="preserve">python pipeline.py --evaluate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Run tests</w:t>
            </w:r>
          </w:p>
          <w:p>
            <w:pPr>
              <w:spacing w:after="20" w:before="20"/>
            </w:pPr>
            <w:r>
              <w:rPr>
                <w:rFonts w:ascii="Courier New" w:cs="Courier New" w:eastAsia="Courier New" w:hAnsi="Courier New"/>
                <w:color w:val="D4D4D4"/>
                <w:sz w:val="18"/>
                <w:szCs w:val="18"/>
              </w:rPr>
              <w:t xml:space="preserve">pytest tests/ -v</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9.3 GEO Data Setup</w:t>
      </w:r>
    </w:p>
    <w:p>
      <w:pPr>
        <w:spacing w:after="120" w:before="80"/>
      </w:pPr>
      <w:r>
        <w:rPr>
          <w:rFonts w:ascii="Arial" w:cs="Arial" w:eastAsia="Arial" w:hAnsi="Arial"/>
          <w:color w:val="2C2C2C"/>
          <w:sz w:val="22"/>
          <w:szCs w:val="22"/>
        </w:rPr>
        <w:t xml:space="preserve">GEO datasets are downloaded and processed by the geo_scraper.py script. The resulting CSV files (drift_rates.csv, metadata.csv, horvath_cpgs.csv) are committed to the repository in the data/ folder. Raw SOFT files and beta matrices are excluded from version control due to size (&gt;7 GB unprocessed).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Download and process GEO data (one-time setup, ~30 min)</w:t>
            </w:r>
          </w:p>
          <w:p>
            <w:pPr>
              <w:spacing w:after="20" w:before="20"/>
            </w:pPr>
            <w:r>
              <w:rPr>
                <w:rFonts w:ascii="Courier New" w:cs="Courier New" w:eastAsia="Courier New" w:hAnsi="Courier New"/>
                <w:color w:val="D4D4D4"/>
                <w:sz w:val="18"/>
                <w:szCs w:val="18"/>
              </w:rPr>
              <w:t xml:space="preserve">python geo_scraper.py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Data will be saved to:</w:t>
            </w:r>
          </w:p>
          <w:p>
            <w:pPr>
              <w:spacing w:after="20" w:before="20"/>
            </w:pPr>
            <w:r>
              <w:rPr>
                <w:rFonts w:ascii="Courier New" w:cs="Courier New" w:eastAsia="Courier New" w:hAnsi="Courier New"/>
                <w:color w:val="D4D4D4"/>
                <w:sz w:val="18"/>
                <w:szCs w:val="18"/>
              </w:rPr>
              <w:t xml:space="preserve"># data/GSE40279/drift_rates.csv  (7.5 MB, 102k CpGs with r² &gt; 0.02)</w:t>
            </w:r>
          </w:p>
          <w:p>
            <w:pPr>
              <w:spacing w:after="20" w:before="20"/>
            </w:pPr>
            <w:r>
              <w:rPr>
                <w:rFonts w:ascii="Courier New" w:cs="Courier New" w:eastAsia="Courier New" w:hAnsi="Courier New"/>
                <w:color w:val="D4D4D4"/>
                <w:sz w:val="18"/>
                <w:szCs w:val="18"/>
              </w:rPr>
              <w:t xml:space="preserve"># data/GSE40279/metadata.csv     (656 samples, age 19-101)</w:t>
            </w:r>
          </w:p>
          <w:p>
            <w:pPr>
              <w:spacing w:after="20" w:before="20"/>
            </w:pPr>
            <w:r>
              <w:rPr>
                <w:rFonts w:ascii="Courier New" w:cs="Courier New" w:eastAsia="Courier New" w:hAnsi="Courier New"/>
                <w:color w:val="D4D4D4"/>
                <w:sz w:val="18"/>
                <w:szCs w:val="18"/>
              </w:rPr>
              <w:t xml:space="preserve"># data/GSE51057/drift_rates.csv  (7.6 MB, 106k CpGs with r² &gt; 0.02)</w:t>
            </w:r>
          </w:p>
          <w:p>
            <w:pPr>
              <w:spacing w:after="20" w:before="20"/>
            </w:pPr>
            <w:r>
              <w:rPr>
                <w:rFonts w:ascii="Courier New" w:cs="Courier New" w:eastAsia="Courier New" w:hAnsi="Courier New"/>
                <w:color w:val="D4D4D4"/>
                <w:sz w:val="18"/>
                <w:szCs w:val="18"/>
              </w:rPr>
              <w:t xml:space="preserve"># data/GSE51057/metadata.csv     (329 samples, age 35-70)</w:t>
            </w:r>
          </w:p>
        </w:tc>
      </w:tr>
    </w:tbl>
    <w:p>
      <w:r>
        <w:br w:type="page"/>
      </w:r>
    </w:p>
    <w:p>
      <w:pPr>
        <w:pStyle w:val="Heading1"/>
        <w:pBdr>
          <w:bottom w:val="single" w:color="1B4F8A" w:sz="6" w:space="6"/>
        </w:pBdr>
        <w:spacing w:after="200" w:before="360"/>
      </w:pPr>
      <w:r>
        <w:rPr>
          <w:rFonts w:ascii="Arial" w:cs="Arial" w:eastAsia="Arial" w:hAnsi="Arial"/>
          <w:b/>
          <w:bCs/>
          <w:color w:val="1B4F8A"/>
          <w:sz w:val="36"/>
          <w:szCs w:val="36"/>
        </w:rPr>
        <w:t xml:space="preserve">Appendix A: Sample Benchmark Scenarios</w:t>
      </w:r>
    </w:p>
    <w:p>
      <w:pPr>
        <w:pStyle w:val="Heading2"/>
        <w:spacing w:after="140" w:before="280"/>
      </w:pPr>
      <w:r>
        <w:rPr>
          <w:rFonts w:ascii="Arial" w:cs="Arial" w:eastAsia="Arial" w:hAnsi="Arial"/>
          <w:b/>
          <w:bCs/>
          <w:color w:val="2C2C2C"/>
          <w:sz w:val="28"/>
          <w:szCs w:val="28"/>
        </w:rPr>
        <w:t xml:space="preserve">Type A: Clock Interpretation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2"/>
              <w:bottom w:val="single" w:color="555555" w:sz="4"/>
              <w:right w:val="single" w:color="555555" w:sz="4"/>
            </w:tcBorders>
            <w:shd w:fill="F5F5F5" w:val="clear"/>
            <w:tcMar>
              <w:top w:type="dxa" w:w="120"/>
              <w:left w:type="dxa" w:w="200"/>
              <w:bottom w:type="dxa" w:w="120"/>
              <w:right w:type="dxa" w:w="120"/>
            </w:tcMar>
          </w:tcPr>
          <w:p>
            <w:pPr>
              <w:spacing w:after="0" w:before="0"/>
            </w:pPr>
            <w:r>
              <w:rPr>
                <w:rFonts w:ascii="Arial" w:cs="Arial" w:eastAsia="Arial" w:hAnsi="Arial"/>
                <w:i/>
                <w:iCs/>
                <w:color w:val="2C2C2C"/>
                <w:sz w:val="21"/>
                <w:szCs w:val="21"/>
              </w:rPr>
              <w:t xml:space="preserve">Scenario #0  |  Task Type A  |  Patient Age: 70  |  Tissue: Blood  |  Simulation: 187 steps
Patient Context: A 70-year-old male with a 10-year history of type 2 diabetes and hypertension presents for comprehensive aging assessment after his primary care physician noted metabolic syndrome markers.
Clock Values: Horvath 57.6 years | GrimAge 86.9 years | DunedinPACE 1.14 | Senescent Fraction 7.3%
Question: This patient shows a striking discordance between epigenetic clocks: Horvath clock suggests favorable aging (13.4 years younger than chronological age) while GrimAge suggests accelerated aging (16.9 years older). The DunedinPACE of 1.140 indicates aging pace 14% faster than normal. How would you reconcile these conflicting signals, and which clock or combination of findings should most influence clinical recommendations regarding his diabetes and metabolic risk?
Ground Truth: accelerated_aging=False | fast_pacer=True | high_mortality_risk=True | clock_discordance=True | overall_status=at_risk</w:t>
            </w:r>
          </w:p>
        </w:tc>
      </w:tr>
    </w:tbl>
    <w:p>
      <w:r>
        <w:rPr>
          <w:sz w:val="22"/>
          <w:szCs w:val="22"/>
        </w:rPr>
        <w:t xml:space="preserve"/>
      </w:r>
    </w:p>
    <w:p>
      <w:pPr>
        <w:pStyle w:val="Heading2"/>
        <w:spacing w:after="140" w:before="280"/>
      </w:pPr>
      <w:r>
        <w:rPr>
          <w:rFonts w:ascii="Arial" w:cs="Arial" w:eastAsia="Arial" w:hAnsi="Arial"/>
          <w:b/>
          <w:bCs/>
          <w:color w:val="2C2C2C"/>
          <w:sz w:val="28"/>
          <w:szCs w:val="28"/>
        </w:rPr>
        <w:t xml:space="preserve">Type D: Confounders and Artifacts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2"/>
              <w:bottom w:val="single" w:color="555555" w:sz="4"/>
              <w:right w:val="single" w:color="555555" w:sz="4"/>
            </w:tcBorders>
            <w:shd w:fill="F5F5F5" w:val="clear"/>
            <w:tcMar>
              <w:top w:type="dxa" w:w="120"/>
              <w:left w:type="dxa" w:w="200"/>
              <w:bottom w:type="dxa" w:w="120"/>
              <w:right w:type="dxa" w:w="120"/>
            </w:tcMar>
          </w:tcPr>
          <w:p>
            <w:pPr>
              <w:spacing w:after="0" w:before="0"/>
            </w:pPr>
            <w:r>
              <w:rPr>
                <w:rFonts w:ascii="Arial" w:cs="Arial" w:eastAsia="Arial" w:hAnsi="Arial"/>
                <w:i/>
                <w:iCs/>
                <w:color w:val="2C2C2C"/>
                <w:sz w:val="21"/>
                <w:szCs w:val="21"/>
              </w:rPr>
              <w:t xml:space="preserve">Scenario #170  |  Task Type D  |  Patient Age: 51  |  Tissue: Buccal  |  Simulation: 142 steps
Confounder: Blood sample drawn during acute infection (elevated WBC)
Patient Context: A 51-year-old patient with an acute infection (elevated WBC) underwent epigenetic clock testing via buccal sample collection during the acute phase of illness.
Clock Values: Horvath 53.9 years | GrimAge 62.3 years | DunedinPACE 1.025 | Senescent Fraction 3.3%
Question: Given that this patient's GrimAge estimate (62.3 years) shows an 11.3-year acceleration compared to chronological age while Horvath clock shows only 2.9 years acceleration, and the sample was collected during acute infection with elevated WBC, how should the clinician interpret the discordance between these clocks? Should the results be repeated after infection resolution, and which clock's results are more likely confounded by the acute inflammatory state?
Ground Truth: accelerated_aging=False | fast_pacer=False | high_mortality_risk=True | clock_discordance=True | overall_status=at_risk</w:t>
            </w:r>
          </w:p>
        </w:tc>
      </w:tr>
    </w:tbl>
    <w:p>
      <w:r>
        <w:rPr>
          <w:sz w:val="22"/>
          <w:szCs w:val="22"/>
        </w:rPr>
        <w:t xml:space="preserve"/>
      </w:r>
    </w:p>
    <w:p>
      <w:pPr>
        <w:pStyle w:val="Heading1"/>
        <w:pBdr>
          <w:bottom w:val="single" w:color="1B4F8A" w:sz="6" w:space="6"/>
        </w:pBdr>
        <w:spacing w:after="200" w:before="360"/>
      </w:pPr>
      <w:r>
        <w:rPr>
          <w:rFonts w:ascii="Arial" w:cs="Arial" w:eastAsia="Arial" w:hAnsi="Arial"/>
          <w:b/>
          <w:bCs/>
          <w:color w:val="1B4F8A"/>
          <w:sz w:val="36"/>
          <w:szCs w:val="36"/>
        </w:rPr>
        <w:t xml:space="preserve">Appendix B: Glossary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CpG site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Cytosine-guanine dinucleotide where DNA methylation occurs; methylation levels at these sites change predictably with age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Beta value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Methylation level at a CpG site, ranging from 0 (unmethylated) to 1 (fully methylated)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Biological age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Estimated age based on biomarker patterns rather than chronological age; can diverge significantly from birth date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DunedinPACE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Pace of aging metric; values above 1.0 indicate faster-than-average aging, below 1.0 indicates slower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SASP</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Senescence-Associated Secretory Phenotype; inflammatory molecules secreted by senescent cells that damage neighboring tissue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Inflammaging</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Chronic, low-grade sterile inflammation associated with aging; driven in part by SASP accumulation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Hallmarks of aging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Cellular and molecular mechanisms underlying aging, as defined by López-Otín et al. 2013/2023</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ABM</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Agent-Based Model; simulation where individual agents (cells) follow rules and emergent behavior arises from interactions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Reactive Oxygen Species; byproducts of mitochondrial metabolism that accumulate with age and cause cellular damage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Clock discordance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When two epigenetic clocks give substantially different biological age estimates for the same sample; often clinically meaningful</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60"/>
    </w:pPr>
    <w:r>
      <w:rPr>
        <w:rFonts w:ascii="Arial" w:cs="Arial" w:eastAsia="Arial" w:hAnsi="Arial"/>
        <w:color w:val="555555"/>
        <w:sz w:val="16"/>
        <w:szCs w:val="16"/>
      </w:rPr>
      <w:t xml:space="preserve">Technical Documentation  |  Confidential</w:t>
    </w:r>
    <w:r>
      <w:rPr>
        <w:sz w:val="16"/>
        <w:szCs w:val="16"/>
      </w:rPr>
      <w:t xml:space="preserve">	</w:t>
    </w:r>
    <w:r>
      <w:rPr>
        <w:rFonts w:ascii="Arial" w:cs="Arial" w:eastAsia="Arial" w:hAnsi="Arial"/>
        <w:color w:val="555555"/>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160" w:before="0"/>
    </w:pPr>
    <w:r>
      <w:rPr>
        <w:rFonts w:ascii="Arial" w:cs="Arial" w:eastAsia="Arial" w:hAnsi="Arial"/>
        <w:b/>
        <w:bCs/>
        <w:color w:val="1B4F8A"/>
        <w:sz w:val="18"/>
        <w:szCs w:val="18"/>
      </w:rPr>
      <w:t xml:space="preserve">Epigenetic Clock Reasoning Bench</w:t>
    </w:r>
    <w:r>
      <w:rPr>
        <w:rFonts w:ascii="Arial" w:cs="Arial" w:eastAsia="Arial" w:hAnsi="Arial"/>
        <w:color w:val="555555"/>
        <w:sz w:val="18"/>
        <w:szCs w:val="18"/>
      </w:rPr>
      <w:t xml:space="preserve">  |  Caltech Longevity Hackathon 2026  |  AI Longevity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2C2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2026-05-24T01:21:34.023Z</dcterms:created>
  <dcterms:modified xsi:type="dcterms:W3CDTF">2026-05-24T01:21:34.024Z</dcterms:modified>
</cp:coreProperties>
</file>

<file path=docProps/custom.xml><?xml version="1.0" encoding="utf-8"?>
<Properties xmlns="http://schemas.openxmlformats.org/officeDocument/2006/custom-properties" xmlns:vt="http://schemas.openxmlformats.org/officeDocument/2006/docPropsVTypes"/>
</file>