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5374" w14:textId="661242B0" w:rsidR="002A1F6A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References for Measles </w:t>
      </w:r>
      <w:r w:rsidR="00002FFD">
        <w:rPr>
          <w:rFonts w:ascii="Times New Roman" w:hAnsi="Times New Roman" w:cs="Times New Roman"/>
          <w:b/>
          <w:bCs/>
        </w:rPr>
        <w:t>Outbreak Risk and Population Susceptibility</w:t>
      </w:r>
    </w:p>
    <w:p w14:paraId="22FD013D" w14:textId="7DAA178A" w:rsidR="00CE6E20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</w:p>
    <w:p w14:paraId="418C9248" w14:textId="10EA34DA" w:rsidR="00E22189" w:rsidRPr="00CB7A80" w:rsidRDefault="00E22189" w:rsidP="00E22189">
      <w:pPr>
        <w:pStyle w:val="EndNoteBibliography"/>
        <w:ind w:left="720" w:hanging="720"/>
      </w:pPr>
      <w:bookmarkStart w:id="0" w:name="_ENREF_21"/>
      <w:r w:rsidRPr="00CB7A80">
        <w:t>1.</w:t>
      </w:r>
      <w:r w:rsidRPr="00CB7A80">
        <w:tab/>
        <w:t xml:space="preserve">Bednarczyk RA, Orenstein WA, Omer SB. Estimating the Number of Measles-Susceptible Children and Adolescents in the United States Using Data From the National Immunization Survey-Teen (NIS-Teen). </w:t>
      </w:r>
      <w:r w:rsidRPr="00CB7A80">
        <w:rPr>
          <w:i/>
        </w:rPr>
        <w:t xml:space="preserve">Am J Epidemiol. </w:t>
      </w:r>
      <w:r w:rsidRPr="00CB7A80">
        <w:t>2016;184(2):148-156.</w:t>
      </w:r>
      <w:bookmarkEnd w:id="0"/>
    </w:p>
    <w:p w14:paraId="48D4B69D" w14:textId="1EB12637" w:rsidR="00E22189" w:rsidRPr="00CB7A80" w:rsidRDefault="00E22189" w:rsidP="00E22189">
      <w:pPr>
        <w:pStyle w:val="EndNoteBibliography"/>
        <w:ind w:left="720" w:hanging="720"/>
      </w:pPr>
      <w:bookmarkStart w:id="1" w:name="_ENREF_22"/>
      <w:r w:rsidRPr="00CB7A80">
        <w:t>2.</w:t>
      </w:r>
      <w:r w:rsidRPr="00CB7A80">
        <w:tab/>
        <w:t xml:space="preserve">Lo NC, Hotez PJ. Public Health and Economic Consequences of Vaccine Hesitancy for Measles in the United States. </w:t>
      </w:r>
      <w:r w:rsidRPr="00CB7A80">
        <w:rPr>
          <w:i/>
        </w:rPr>
        <w:t xml:space="preserve">JAMA Pediatr. </w:t>
      </w:r>
      <w:r w:rsidRPr="00CB7A80">
        <w:t>2017;171(9):887-892.</w:t>
      </w:r>
      <w:bookmarkEnd w:id="1"/>
    </w:p>
    <w:p w14:paraId="236E7270" w14:textId="67AD52FC" w:rsidR="00E22189" w:rsidRPr="00CB7A80" w:rsidRDefault="00E22189" w:rsidP="00E22189">
      <w:pPr>
        <w:pStyle w:val="EndNoteBibliography"/>
        <w:ind w:left="720" w:hanging="720"/>
      </w:pPr>
      <w:bookmarkStart w:id="2" w:name="_ENREF_23"/>
      <w:r w:rsidRPr="00CB7A80">
        <w:t>3.</w:t>
      </w:r>
      <w:r w:rsidRPr="00CB7A80">
        <w:tab/>
        <w:t xml:space="preserve">Sinclair DR, Grefenstette JJ, Krauland MG, et al. Forecasted Size of Measles Outbreaks Associated With Vaccination Exemptions for Schoolchildren. </w:t>
      </w:r>
      <w:r w:rsidRPr="00CB7A80">
        <w:rPr>
          <w:i/>
        </w:rPr>
        <w:t xml:space="preserve">JAMA Netw Open. </w:t>
      </w:r>
      <w:r w:rsidRPr="00CB7A80">
        <w:t>2019;2(8):e199768.</w:t>
      </w:r>
      <w:bookmarkEnd w:id="2"/>
    </w:p>
    <w:p w14:paraId="5F28FE83" w14:textId="6CDF68DA" w:rsidR="00E22189" w:rsidRPr="00CB7A80" w:rsidRDefault="00E22189" w:rsidP="00E22189">
      <w:pPr>
        <w:pStyle w:val="EndNoteBibliography"/>
        <w:ind w:left="720" w:hanging="720"/>
      </w:pPr>
      <w:bookmarkStart w:id="3" w:name="_ENREF_24"/>
      <w:r w:rsidRPr="00CB7A80">
        <w:t>4.</w:t>
      </w:r>
      <w:r w:rsidRPr="00CB7A80">
        <w:tab/>
        <w:t xml:space="preserve">Glasser JW, Feng Z, Omer SB, Smith PJ, Rodewald LE. The effect of heterogeneity in uptake of the measles, mumps, and rubella vaccine on the potential for outbreaks of measles: a modelling study. </w:t>
      </w:r>
      <w:r w:rsidRPr="00CB7A80">
        <w:rPr>
          <w:i/>
        </w:rPr>
        <w:t xml:space="preserve">Lancet Infect Dis. </w:t>
      </w:r>
      <w:r w:rsidRPr="00CB7A80">
        <w:t>2016;16(5):599-605.</w:t>
      </w:r>
      <w:bookmarkEnd w:id="3"/>
    </w:p>
    <w:p w14:paraId="33F08567" w14:textId="392018F9" w:rsidR="00CE6E20" w:rsidRPr="00CE6E20" w:rsidRDefault="00E22189" w:rsidP="00E22189">
      <w:pPr>
        <w:pStyle w:val="EndNoteBibliography"/>
        <w:ind w:left="720" w:hanging="720"/>
      </w:pPr>
      <w:bookmarkStart w:id="4" w:name="_ENREF_25"/>
      <w:r w:rsidRPr="00CB7A80">
        <w:t>5.</w:t>
      </w:r>
      <w:r w:rsidRPr="00CB7A80">
        <w:tab/>
        <w:t xml:space="preserve">Hyle EP, Fields NF, Fiebelkorn AP, et al. The Clinical Impact and Cost-effectiveness of Measles-Mumps-Rubella Vaccination to Prevent Measles Importations Among International Travelers From the United States. </w:t>
      </w:r>
      <w:r w:rsidRPr="00CB7A80">
        <w:rPr>
          <w:i/>
        </w:rPr>
        <w:t xml:space="preserve">Clin Infect Dis. </w:t>
      </w:r>
      <w:r w:rsidRPr="00CB7A80">
        <w:t>2019;69(2):306-315.</w:t>
      </w:r>
      <w:bookmarkEnd w:id="4"/>
    </w:p>
    <w:sectPr w:rsidR="00CE6E20" w:rsidRPr="00CE6E20" w:rsidSect="00CE6E2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0"/>
    <w:rsid w:val="00002FFD"/>
    <w:rsid w:val="002A1F6A"/>
    <w:rsid w:val="00417875"/>
    <w:rsid w:val="004211AC"/>
    <w:rsid w:val="00512DBF"/>
    <w:rsid w:val="00590402"/>
    <w:rsid w:val="00AD50BB"/>
    <w:rsid w:val="00CE6E20"/>
    <w:rsid w:val="00E22189"/>
    <w:rsid w:val="00E810C3"/>
    <w:rsid w:val="00F8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F557"/>
  <w15:chartTrackingRefBased/>
  <w15:docId w15:val="{BD5A0ADD-DDD5-4A33-A5AB-7E2A27A9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02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E6E20"/>
  </w:style>
  <w:style w:type="paragraph" w:customStyle="1" w:styleId="EndNoteBibliography">
    <w:name w:val="EndNote Bibliography"/>
    <w:basedOn w:val="Normal"/>
    <w:link w:val="EndNoteBibliographyChar"/>
    <w:rsid w:val="00CE6E20"/>
    <w:pPr>
      <w:spacing w:after="0" w:line="48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E6E20"/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CE6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Phadke</dc:creator>
  <cp:keywords/>
  <dc:description/>
  <cp:lastModifiedBy>Varun Phadke</cp:lastModifiedBy>
  <cp:revision>4</cp:revision>
  <dcterms:created xsi:type="dcterms:W3CDTF">2020-06-05T11:16:00Z</dcterms:created>
  <dcterms:modified xsi:type="dcterms:W3CDTF">2020-06-05T11:17:00Z</dcterms:modified>
</cp:coreProperties>
</file>