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2E"/>
          <w:sz w:val="40"/>
        </w:rPr>
        <w:t>Ioana Criclevit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 xml:space="preserve">London • 07759124932 • ioanapcriclevit@gmail.com • </w:t>
      </w:r>
      <w:hyperlink r:id="rId9">
        <w:r>
          <w:rPr>
            <w:color w:val="0563C1"/>
            <w:u w:val="single"/>
          </w:rPr>
          <w:t xml:space="preserve">LinkedIn</w:t>
        </w:r>
      </w:hyperlink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SUMMARY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Senior data analyst with deep experience producing regulatory-grade analytical outputs, building trusted reporting infrastructure, and generating insights that shape policy outcomes for people in financial difficulty. At DWP, closed an eight-year measurement gap in Universal Credit health applications – producing the first reliable, publicly verified statistics on one of the UK's most vulnerable claimant groups. Strong technical foundation in SQL and SAS across large-scale production environments, with experience designing automated data quality controls, building data governance frameworks, and partnering with senior stakeholders to turn ambiguous requirements into decision-ready data. Currently building dbt, BigQuery SQL, Looker, and Python to extend into modern analytics stacks.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KEY SKILLS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Data &amp; Reporting: </w:t>
      </w:r>
      <w:r>
        <w:rPr>
          <w:b w:val="0"/>
          <w:i w:val="0"/>
          <w:color w:val="1A1A2E"/>
          <w:sz w:val="19"/>
        </w:rPr>
        <w:t>SQL (production ETL, joins, aggregations, deduplication) • SAS (expert) • R (ggplot2, plotly, R Markdown) • Excel (advanced)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Technical Skills: </w:t>
      </w:r>
      <w:r>
        <w:rPr>
          <w:b w:val="0"/>
          <w:i w:val="0"/>
          <w:color w:val="1A1A2E"/>
          <w:sz w:val="19"/>
        </w:rPr>
        <w:t>SAS • SQL • R • BigQuery • Python • Looker • Excel • Git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Regulatory &amp; Governance: </w:t>
      </w:r>
      <w:r>
        <w:rPr>
          <w:b w:val="0"/>
          <w:i w:val="0"/>
          <w:color w:val="1A1A2E"/>
          <w:sz w:val="19"/>
        </w:rPr>
        <w:t>Data governance • Regulatory-grade statistical publication • Data quality frameworks • Automated validation controls • Official Statistics sign-off processes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Stakeholder Partnership: </w:t>
      </w:r>
      <w:r>
        <w:rPr>
          <w:b w:val="0"/>
          <w:i w:val="0"/>
          <w:color w:val="1A1A2E"/>
          <w:sz w:val="19"/>
        </w:rPr>
        <w:t>Product and policy stakeholder engagement • Requirements translation • Cross-functional analytical delivery • Junior analyst coaching and development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EXPERIENCE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Senior 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DWP – London | Nov 2021 – Jan 2024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Resolved an eight-year reporting gap on Universal Credit health applications – publishing the first verified statistics on financial health outcomes for a population of financially vulnerable claimants, subject to UK Statistics Authority scrutiny and director-level governance panels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Designed and implemented production ETL pipelines in SAS and SQL, processing 800M+ records with disciplined code versioning to ensure reproducibility, auditability, and analytical trust at scale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spine data products by integrating multiple complex source datasets into unified analytical bases, enabling downstream analysis and automating previously manual reporting workflows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data governance frameworks and automated validation controls across multiple large-scale sources, materially reducing inconsistencies and improving reliability of analytical outputs – directly analogous to ensuring trusted data underpins business operations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Translated ambiguous business requirements into defined metrics and automated reporting solutions, improving access to timely, decision-ready performance data aligned with operational goals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agile cross-functional delivery, managing priorities, risks, and timelines across concurrent analytical workstreams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Developed intuitive data visualisations in R and Excel, prioritising usability for operational and policy decision-makers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Managed and coached junior analysts, setting objectives, reviewing outputs, and building team capability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Head of Data Sharing and Identity Fraud Policy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Home Office – London | Jan 2024 – Mar 2026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Shaped the fraud component of the UK's new mandatory digital ID system, embedding risk as a core design consideration and structuring complex analysis for public consultation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strategic review of a national identity fraud database, quantifying prevention value and translating findings into a business case that secured £200k in funding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Created and ran a cross-sector working group of 85+ organisations across banking, fintech, telecoms and law enforcement, surfacing barriers to economic crime data sharing and informing government policy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the UK's first public consultation on economic crime data sharing, structuring ambiguous requirements into a defined analytical framework and evidence base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Influenced two commitments in the UK's National Fraud Strategy through targeted analytical recommendations and structured performance reporting to senior officials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DWP – London | Oct 2019 – Nov 2021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Automated QA processes in SAS from scratch, reducing a week-long manual process to a single day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intuitive data visualisations in R (ggplot2, plotly, R Markdown) for non-technical stakeholders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concurrent data publication projects under tight deadlines, achieving 100% on-time delivery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a team of 4, managed and coached junior analysts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DLUHC – London | Apr 2018 – Oct 2019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and automated data processing pipelines in R, reducing manual effort by 66%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Consolidated and analysed data from 317 sources to build a unified analytical dataset for national housing policy reporting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Produced data summaries and stakeholder briefings translating complex outputs into actionable insights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EDUCATION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MSc Social Statistics, Research Methods — Distinction: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BSc Criminology — First Class Honours: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DEVELOPMENT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Microsoft Power BI Data Analyst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Basic Statistics, University of Amsterdam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GitHub Foundations (Part 1 of 2) – Microsoft • 2025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PUBLISHED WORK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Universal Credit Work Capability Assessment statistics</w:t>
      </w:r>
      <w:r>
        <w:rPr>
          <w:b w:val="0"/>
          <w:i w:val="0"/>
          <w:color w:val="1A1A2E"/>
          <w:sz w:val="19"/>
        </w:rPr>
        <w:t xml:space="preserve"> – DWP Official Statistics (regulatory-grade publication, UK Statistics Authority compliant)</w:t>
      </w: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ESA Work Capability Assessment statistics</w:t>
      </w:r>
      <w:r>
        <w:rPr>
          <w:b w:val="0"/>
          <w:i w:val="0"/>
          <w:color w:val="1A1A2E"/>
          <w:sz w:val="19"/>
        </w:rPr>
        <w:t xml:space="preserve"> – DWP Official Statistics</w:t>
      </w: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Economic Crime Information Sharing Call for Evidence</w:t>
      </w:r>
      <w:r>
        <w:rPr>
          <w:b w:val="0"/>
          <w:i w:val="0"/>
          <w:color w:val="1A1A2E"/>
          <w:sz w:val="19"/>
        </w:rPr>
        <w:t xml:space="preserve"> – UK Government, Home Office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ioana-priscila-c-60880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