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5500"/>
        <w:gridCol w:w="5300"/>
      </w:tblGrid>
      <w:tr w:rsidR="00CF271E" w:rsidRPr="00AF628E" w14:paraId="1A2C7146" w14:textId="77777777" w:rsidTr="00C66A50">
        <w:trPr>
          <w:trHeight w:val="2160"/>
        </w:trPr>
        <w:tc>
          <w:tcPr>
            <w:tcW w:w="5508" w:type="dxa"/>
            <w:shd w:val="clear" w:color="auto" w:fill="auto"/>
            <w:vAlign w:val="bottom"/>
          </w:tcPr>
          <w:p w14:paraId="239242E4" w14:textId="77777777" w:rsidR="00CF271E" w:rsidRPr="00AF628E" w:rsidRDefault="00CF271E" w:rsidP="00C66A50">
            <w:pPr>
              <w:rPr>
                <w:rFonts w:ascii="Century Gothic" w:hAnsi="Century Gothic"/>
              </w:rPr>
            </w:pPr>
            <w:r w:rsidRPr="00AF628E">
              <w:rPr>
                <w:rFonts w:ascii="Century Gothic" w:hAnsi="Century Gothic"/>
                <w:noProof/>
              </w:rPr>
              <w:drawing>
                <wp:inline distT="0" distB="0" distL="0" distR="0" wp14:anchorId="3F00A380" wp14:editId="168D3A8C">
                  <wp:extent cx="3234690" cy="725762"/>
                  <wp:effectExtent l="0" t="0" r="381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vMed Circle Logo 2013_hTag_PMS114.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34690" cy="725762"/>
                          </a:xfrm>
                          <a:prstGeom prst="rect">
                            <a:avLst/>
                          </a:prstGeom>
                          <a:noFill/>
                          <a:ln>
                            <a:noFill/>
                          </a:ln>
                        </pic:spPr>
                      </pic:pic>
                    </a:graphicData>
                  </a:graphic>
                </wp:inline>
              </w:drawing>
            </w:r>
          </w:p>
        </w:tc>
        <w:tc>
          <w:tcPr>
            <w:tcW w:w="5508" w:type="dxa"/>
            <w:shd w:val="clear" w:color="auto" w:fill="auto"/>
            <w:vAlign w:val="bottom"/>
          </w:tcPr>
          <w:p w14:paraId="3D1CEFE8" w14:textId="77777777" w:rsidR="00CF271E" w:rsidRPr="00AF628E" w:rsidRDefault="00CF271E" w:rsidP="00C66A50">
            <w:pPr>
              <w:jc w:val="right"/>
              <w:rPr>
                <w:rFonts w:ascii="Century Gothic" w:hAnsi="Century Gothic"/>
              </w:rPr>
            </w:pPr>
          </w:p>
        </w:tc>
      </w:tr>
      <w:tr w:rsidR="00CF271E" w:rsidRPr="005B1C1E" w14:paraId="6A0CCF90" w14:textId="77777777" w:rsidTr="00C66A50">
        <w:trPr>
          <w:trHeight w:val="2016"/>
        </w:trPr>
        <w:tc>
          <w:tcPr>
            <w:tcW w:w="11016" w:type="dxa"/>
            <w:gridSpan w:val="2"/>
            <w:shd w:val="clear" w:color="auto" w:fill="auto"/>
            <w:vAlign w:val="center"/>
          </w:tcPr>
          <w:p w14:paraId="360243AD" w14:textId="77777777" w:rsidR="00CF271E" w:rsidRPr="005B1C1E" w:rsidRDefault="00CF271E" w:rsidP="00C66A50">
            <w:pPr>
              <w:rPr>
                <w:rFonts w:ascii="Century Gothic" w:hAnsi="Century Gothic"/>
                <w:noProof/>
              </w:rPr>
            </w:pPr>
          </w:p>
          <w:p w14:paraId="0FEB1500" w14:textId="77777777" w:rsidR="00CF271E" w:rsidRPr="005B1C1E" w:rsidRDefault="00CF271E" w:rsidP="00C66A50">
            <w:pPr>
              <w:rPr>
                <w:rFonts w:ascii="Century Gothic" w:hAnsi="Century Gothic"/>
              </w:rPr>
            </w:pPr>
          </w:p>
          <w:p w14:paraId="4891499C" w14:textId="77777777" w:rsidR="00CF271E" w:rsidRPr="005B1C1E" w:rsidRDefault="00CF271E" w:rsidP="00C66A50">
            <w:pPr>
              <w:rPr>
                <w:rFonts w:ascii="Century Gothic" w:hAnsi="Century Gothic"/>
              </w:rPr>
            </w:pPr>
          </w:p>
          <w:p w14:paraId="08C1D0C0" w14:textId="77777777" w:rsidR="00CF271E" w:rsidRPr="005B1C1E" w:rsidRDefault="00CF271E" w:rsidP="00C66A50">
            <w:pPr>
              <w:rPr>
                <w:rFonts w:ascii="Century Gothic" w:hAnsi="Century Gothic"/>
              </w:rPr>
            </w:pPr>
          </w:p>
          <w:p w14:paraId="0E71F885" w14:textId="77777777" w:rsidR="00CF271E" w:rsidRPr="005B1C1E" w:rsidRDefault="00CF271E" w:rsidP="00C66A50">
            <w:pPr>
              <w:rPr>
                <w:rFonts w:ascii="Century Gothic" w:hAnsi="Century Gothic"/>
              </w:rPr>
            </w:pPr>
          </w:p>
          <w:p w14:paraId="4557C495" w14:textId="77777777" w:rsidR="00CF271E" w:rsidRPr="005B1C1E" w:rsidRDefault="00CF271E" w:rsidP="00C66A50">
            <w:pPr>
              <w:rPr>
                <w:rFonts w:ascii="Century Gothic" w:hAnsi="Century Gothic"/>
              </w:rPr>
            </w:pPr>
          </w:p>
          <w:p w14:paraId="531D5FCB" w14:textId="77777777" w:rsidR="00CF271E" w:rsidRPr="005B1C1E" w:rsidRDefault="00CF271E" w:rsidP="00C66A50">
            <w:pPr>
              <w:rPr>
                <w:rFonts w:ascii="Century Gothic" w:hAnsi="Century Gothic"/>
              </w:rPr>
            </w:pPr>
          </w:p>
          <w:p w14:paraId="28F0DC85" w14:textId="77777777" w:rsidR="00CF271E" w:rsidRPr="005B1C1E" w:rsidRDefault="00CF271E" w:rsidP="00C66A50">
            <w:pPr>
              <w:rPr>
                <w:rFonts w:ascii="Century Gothic" w:hAnsi="Century Gothic"/>
              </w:rPr>
            </w:pPr>
          </w:p>
          <w:p w14:paraId="3B4891C4" w14:textId="77777777" w:rsidR="00CF271E" w:rsidRPr="00A86373" w:rsidRDefault="00CF271E" w:rsidP="00C66A50">
            <w:pPr>
              <w:autoSpaceDE w:val="0"/>
              <w:autoSpaceDN w:val="0"/>
              <w:adjustRightInd w:val="0"/>
              <w:rPr>
                <w:rFonts w:ascii="Century Gothic" w:hAnsi="Century Gothic" w:cs="Arial"/>
                <w:b/>
                <w:bCs/>
                <w:color w:val="0067C3"/>
                <w:sz w:val="36"/>
                <w:szCs w:val="36"/>
              </w:rPr>
            </w:pPr>
            <w:r w:rsidRPr="00A86373">
              <w:rPr>
                <w:rFonts w:ascii="Century Gothic" w:hAnsi="Century Gothic" w:cs="Arial"/>
                <w:b/>
                <w:bCs/>
                <w:sz w:val="36"/>
                <w:szCs w:val="36"/>
              </w:rPr>
              <w:t>Small Group Plan Benefits Proposal</w:t>
            </w:r>
          </w:p>
        </w:tc>
      </w:tr>
    </w:tbl>
    <w:p w14:paraId="0883AC78" w14:textId="77777777" w:rsidR="00CF271E" w:rsidRPr="005B1C1E" w:rsidRDefault="00CF271E" w:rsidP="00CF271E">
      <w:pPr>
        <w:rPr>
          <w:rFonts w:ascii="Century Gothic" w:hAnsi="Century Gothic"/>
        </w:rPr>
      </w:pPr>
    </w:p>
    <w:p w14:paraId="3E7C3350" w14:textId="77777777" w:rsidR="00CF271E" w:rsidRPr="005B1C1E" w:rsidRDefault="00CF271E" w:rsidP="00CF271E">
      <w:pPr>
        <w:rPr>
          <w:rFonts w:ascii="Century Gothic" w:hAnsi="Century Gothic"/>
        </w:rPr>
      </w:pPr>
    </w:p>
    <w:p w14:paraId="3DC954FC" w14:textId="77777777" w:rsidR="00CF271E" w:rsidRPr="005B1C1E" w:rsidRDefault="00CF271E" w:rsidP="00CF271E">
      <w:pPr>
        <w:rPr>
          <w:rFonts w:ascii="Century Gothic" w:hAnsi="Century Gothic"/>
        </w:rPr>
      </w:pPr>
    </w:p>
    <w:p w14:paraId="6FCE27FA" w14:textId="77777777" w:rsidR="00CF271E" w:rsidRPr="005B1C1E" w:rsidRDefault="00CF271E" w:rsidP="00CF271E">
      <w:pPr>
        <w:rPr>
          <w:rFonts w:ascii="Century Gothic" w:hAnsi="Century Gothic"/>
        </w:rPr>
      </w:pPr>
    </w:p>
    <w:p w14:paraId="52E09941" w14:textId="77777777" w:rsidR="00CF271E" w:rsidRPr="005B1C1E" w:rsidRDefault="00CF271E" w:rsidP="00CF271E">
      <w:pPr>
        <w:rPr>
          <w:rFonts w:ascii="Century Gothic" w:hAnsi="Century Gothic"/>
        </w:rPr>
      </w:pPr>
    </w:p>
    <w:p w14:paraId="0D644123" w14:textId="77777777" w:rsidR="00CF271E" w:rsidRPr="005B1C1E" w:rsidRDefault="00CF271E" w:rsidP="00CF271E">
      <w:pPr>
        <w:rPr>
          <w:rFonts w:ascii="Century Gothic" w:hAnsi="Century Gothic"/>
        </w:rPr>
      </w:pPr>
    </w:p>
    <w:p w14:paraId="5A238C1E" w14:textId="692EFFD8" w:rsidR="00CF271E" w:rsidRPr="00E35397" w:rsidRDefault="00CF271E" w:rsidP="00CF271E">
      <w:pPr>
        <w:spacing w:after="200" w:line="276" w:lineRule="auto"/>
        <w:rPr>
          <w:rFonts w:ascii="Century Gothic" w:hAnsi="Century Gothic" w:cs="Arial"/>
          <w:b/>
          <w:sz w:val="22"/>
          <w:szCs w:val="22"/>
        </w:rPr>
      </w:pPr>
      <w:r w:rsidRPr="00E35397">
        <w:rPr>
          <w:rFonts w:ascii="Century Gothic" w:hAnsi="Century Gothic" w:cs="Arial"/>
          <w:b/>
          <w:sz w:val="22"/>
          <w:szCs w:val="22"/>
        </w:rPr>
        <w:t xml:space="preserve">Prepared for: </w:t>
      </w:r>
      <w:r>
        <w:rPr>
          <w:rFonts w:ascii="Century Gothic" w:hAnsi="Century Gothic" w:cs="Arial"/>
          <w:b/>
          <w:sz w:val="22"/>
          <w:szCs w:val="22"/>
        </w:rPr>
        <w:t>Test Employer Group</w:t>
      </w:r>
    </w:p>
    <w:p w14:paraId="20C341C7" w14:textId="2A166027" w:rsidR="00CF271E" w:rsidRPr="00E35397" w:rsidRDefault="00CF271E" w:rsidP="00CF271E">
      <w:pPr>
        <w:spacing w:after="200" w:line="276" w:lineRule="auto"/>
        <w:rPr>
          <w:rFonts w:ascii="Century Gothic" w:hAnsi="Century Gothic" w:cs="Arial"/>
          <w:b/>
          <w:sz w:val="22"/>
          <w:szCs w:val="22"/>
        </w:rPr>
        <w:sectPr w:rsidR="00CF271E" w:rsidRPr="00E35397" w:rsidSect="00A21043">
          <w:footerReference w:type="default" r:id="rId9"/>
          <w:pgSz w:w="12240" w:h="15840"/>
          <w:pgMar w:top="720" w:right="720" w:bottom="720" w:left="720" w:header="720" w:footer="720" w:gutter="0"/>
          <w:cols w:space="720"/>
          <w:titlePg/>
          <w:docGrid w:linePitch="360"/>
        </w:sectPr>
      </w:pPr>
      <w:r w:rsidRPr="00E35397">
        <w:rPr>
          <w:rFonts w:ascii="Century Gothic" w:hAnsi="Century Gothic" w:cs="Arial"/>
          <w:b/>
          <w:sz w:val="22"/>
          <w:szCs w:val="22"/>
        </w:rPr>
        <w:t xml:space="preserve">Effective Date: </w:t>
      </w:r>
      <w:r>
        <w:rPr>
          <w:rFonts w:ascii="Century Gothic" w:hAnsi="Century Gothic" w:cs="Arial"/>
          <w:b/>
          <w:sz w:val="22"/>
          <w:szCs w:val="22"/>
        </w:rPr>
        <w:t>11/01/2018</w:t>
      </w:r>
    </w:p>
    <w:p w14:paraId="7DBF31D3" w14:textId="2D2849BD" w:rsidR="00CF271E" w:rsidRPr="000C1F41" w:rsidRDefault="00CF271E" w:rsidP="00CF271E">
      <w:pPr>
        <w:pStyle w:val="NoSpacing"/>
        <w:rPr>
          <w:rFonts w:ascii="Arial" w:hAnsi="Arial" w:cs="Arial"/>
          <w:sz w:val="21"/>
          <w:szCs w:val="21"/>
        </w:rPr>
      </w:pPr>
      <w:r>
        <w:rPr>
          <w:rFonts w:ascii="Arial" w:hAnsi="Arial" w:cs="Arial"/>
          <w:sz w:val="21"/>
          <w:szCs w:val="21"/>
        </w:rPr>
        <w:t>11/07/2018</w:t>
      </w:r>
    </w:p>
    <w:p w14:paraId="2AE7773F" w14:textId="77777777" w:rsidR="00CF271E" w:rsidRPr="000C1F41" w:rsidRDefault="00CF271E" w:rsidP="00CF271E">
      <w:pPr>
        <w:pStyle w:val="NoSpacing"/>
        <w:rPr>
          <w:rFonts w:ascii="Arial" w:hAnsi="Arial" w:cs="Arial"/>
          <w:sz w:val="21"/>
          <w:szCs w:val="21"/>
        </w:rPr>
      </w:pPr>
    </w:p>
    <w:p w14:paraId="0CD66EA7" w14:textId="77777777" w:rsidR="00CF271E" w:rsidRPr="000C1F41" w:rsidRDefault="00CF271E" w:rsidP="00CF271E">
      <w:pPr>
        <w:pStyle w:val="NoSpacing"/>
        <w:rPr>
          <w:rFonts w:ascii="Arial" w:hAnsi="Arial" w:cs="Arial"/>
          <w:sz w:val="21"/>
          <w:szCs w:val="21"/>
        </w:rPr>
      </w:pPr>
    </w:p>
    <w:p w14:paraId="195FAA14" w14:textId="5A0AA7A4" w:rsidR="00CF271E" w:rsidRPr="000C1F41" w:rsidRDefault="00CF271E" w:rsidP="00CF271E">
      <w:pPr>
        <w:pStyle w:val="NoSpacing"/>
        <w:rPr>
          <w:rFonts w:ascii="Arial" w:hAnsi="Arial" w:cs="Arial"/>
          <w:sz w:val="21"/>
          <w:szCs w:val="21"/>
        </w:rPr>
      </w:pPr>
      <w:r w:rsidRPr="000C1F41">
        <w:rPr>
          <w:rFonts w:ascii="Arial" w:hAnsi="Arial" w:cs="Arial"/>
          <w:sz w:val="21"/>
          <w:szCs w:val="21"/>
        </w:rPr>
        <w:t xml:space="preserve">Prepared for: </w:t>
      </w:r>
      <w:r>
        <w:rPr>
          <w:rFonts w:ascii="Arial" w:hAnsi="Arial" w:cs="Arial"/>
          <w:sz w:val="21"/>
          <w:szCs w:val="21"/>
        </w:rPr>
        <w:t>Test Employer Group</w:t>
      </w:r>
    </w:p>
    <w:p w14:paraId="060C7798" w14:textId="77777777" w:rsidR="00CF271E" w:rsidRPr="000C1F41" w:rsidRDefault="00CF271E" w:rsidP="00CF271E">
      <w:pPr>
        <w:pStyle w:val="NoSpacing"/>
        <w:rPr>
          <w:rFonts w:ascii="Arial" w:hAnsi="Arial" w:cs="Arial"/>
          <w:sz w:val="21"/>
          <w:szCs w:val="21"/>
        </w:rPr>
      </w:pPr>
    </w:p>
    <w:p w14:paraId="2754A9C8" w14:textId="669D80B9" w:rsidR="00CF271E" w:rsidRPr="000C1F41" w:rsidRDefault="00CF271E" w:rsidP="00CF271E">
      <w:pPr>
        <w:pStyle w:val="NoSpacing"/>
        <w:rPr>
          <w:rFonts w:ascii="Arial" w:hAnsi="Arial" w:cs="Arial"/>
          <w:sz w:val="21"/>
          <w:szCs w:val="21"/>
        </w:rPr>
      </w:pPr>
      <w:r w:rsidRPr="000C1F41">
        <w:rPr>
          <w:rFonts w:ascii="Arial" w:hAnsi="Arial" w:cs="Arial"/>
          <w:sz w:val="21"/>
          <w:szCs w:val="21"/>
        </w:rPr>
        <w:t xml:space="preserve">Effective date: </w:t>
      </w:r>
      <w:r>
        <w:rPr>
          <w:rFonts w:ascii="Arial" w:hAnsi="Arial" w:cs="Arial"/>
          <w:sz w:val="21"/>
          <w:szCs w:val="21"/>
        </w:rPr>
        <w:t>11/01/2018</w:t>
      </w:r>
    </w:p>
    <w:p w14:paraId="760233E5" w14:textId="77777777" w:rsidR="00CF271E" w:rsidRPr="000C1F41" w:rsidRDefault="00CF271E" w:rsidP="00CF271E">
      <w:pPr>
        <w:pStyle w:val="NoSpacing"/>
        <w:rPr>
          <w:rFonts w:ascii="Arial" w:hAnsi="Arial" w:cs="Arial"/>
          <w:sz w:val="21"/>
          <w:szCs w:val="21"/>
        </w:rPr>
      </w:pPr>
    </w:p>
    <w:p w14:paraId="4D8DDB04" w14:textId="77777777" w:rsidR="00CF271E" w:rsidRPr="000C1F41" w:rsidRDefault="00CF271E" w:rsidP="00CF271E">
      <w:pPr>
        <w:pStyle w:val="NoSpacing"/>
        <w:rPr>
          <w:rFonts w:ascii="Arial" w:hAnsi="Arial" w:cs="Arial"/>
          <w:sz w:val="21"/>
          <w:szCs w:val="21"/>
        </w:rPr>
      </w:pPr>
    </w:p>
    <w:p w14:paraId="561807FC" w14:textId="77777777" w:rsidR="00CF271E" w:rsidRPr="000C1F41" w:rsidRDefault="00CF271E" w:rsidP="00CF271E">
      <w:pPr>
        <w:spacing w:after="200" w:line="276" w:lineRule="auto"/>
        <w:rPr>
          <w:rFonts w:ascii="Arial" w:hAnsi="Arial" w:cs="Arial"/>
          <w:color w:val="000000"/>
          <w:sz w:val="21"/>
          <w:szCs w:val="21"/>
        </w:rPr>
      </w:pPr>
      <w:r w:rsidRPr="000C1F41">
        <w:rPr>
          <w:rFonts w:ascii="Arial" w:hAnsi="Arial" w:cs="Arial"/>
          <w:color w:val="000000"/>
          <w:sz w:val="21"/>
          <w:szCs w:val="21"/>
        </w:rPr>
        <w:t>Thank you for your interest in AvMed.  Attached are the preliminary premium rates for the Group coverage you requested, as well as benefit details for each plan option. These rates are based on the information you provided and the effective date indicated above.</w:t>
      </w:r>
    </w:p>
    <w:p w14:paraId="72F73F16" w14:textId="77777777" w:rsidR="00CF271E" w:rsidRPr="000C1F41" w:rsidRDefault="00CF271E" w:rsidP="00CF271E">
      <w:pPr>
        <w:pStyle w:val="BodyText"/>
        <w:kinsoku w:val="0"/>
        <w:overflowPunct w:val="0"/>
        <w:spacing w:line="276" w:lineRule="auto"/>
        <w:ind w:right="262"/>
        <w:rPr>
          <w:rFonts w:ascii="Arial" w:hAnsi="Arial" w:cs="Arial"/>
          <w:i w:val="0"/>
          <w:color w:val="000000"/>
          <w:sz w:val="21"/>
          <w:szCs w:val="21"/>
        </w:rPr>
      </w:pPr>
      <w:r w:rsidRPr="000C1F41">
        <w:rPr>
          <w:rFonts w:ascii="Arial" w:hAnsi="Arial" w:cs="Arial"/>
          <w:i w:val="0"/>
          <w:color w:val="000000"/>
          <w:sz w:val="21"/>
          <w:szCs w:val="21"/>
        </w:rPr>
        <w:t>Choosing a health benefit plan for your employees is an important decision.  With AvMed, you and your employees will receive the support you need to navigate through the health system and to make smart decisions that will help you live better today and feel better tomorrow. In addition,</w:t>
      </w:r>
      <w:r w:rsidRPr="000C1F41">
        <w:rPr>
          <w:sz w:val="21"/>
          <w:szCs w:val="21"/>
        </w:rPr>
        <w:t xml:space="preserve"> </w:t>
      </w:r>
      <w:r w:rsidRPr="000C1F41">
        <w:rPr>
          <w:rFonts w:ascii="Arial" w:hAnsi="Arial" w:cs="Arial"/>
          <w:i w:val="0"/>
          <w:color w:val="000000"/>
          <w:sz w:val="21"/>
          <w:szCs w:val="21"/>
        </w:rPr>
        <w:t>some plans now feature AvMed Preventive Plus, which adds 1, 2 or 3 no-cost visits to an employee’s Primary Care Physician (PCP), on top of the annual no-cost physical!</w:t>
      </w:r>
    </w:p>
    <w:p w14:paraId="123C2874" w14:textId="77777777" w:rsidR="00CF271E" w:rsidRDefault="00CF271E" w:rsidP="00CF271E">
      <w:pPr>
        <w:pStyle w:val="BodyText"/>
        <w:kinsoku w:val="0"/>
        <w:overflowPunct w:val="0"/>
        <w:spacing w:line="276" w:lineRule="auto"/>
        <w:ind w:right="262"/>
        <w:rPr>
          <w:rFonts w:ascii="Arial" w:hAnsi="Arial" w:cs="Arial"/>
          <w:i w:val="0"/>
          <w:color w:val="000000"/>
          <w:sz w:val="22"/>
          <w:szCs w:val="22"/>
        </w:rPr>
      </w:pPr>
    </w:p>
    <w:p w14:paraId="28E8AE8D" w14:textId="77777777" w:rsidR="00CF271E" w:rsidRPr="007847C2" w:rsidRDefault="00CF271E" w:rsidP="00CF271E">
      <w:pPr>
        <w:numPr>
          <w:ilvl w:val="1"/>
          <w:numId w:val="2"/>
        </w:numPr>
        <w:rPr>
          <w:rFonts w:ascii="Arial" w:hAnsi="Arial" w:cs="Arial"/>
          <w:sz w:val="21"/>
          <w:szCs w:val="21"/>
        </w:rPr>
      </w:pPr>
      <w:r w:rsidRPr="007847C2">
        <w:rPr>
          <w:rFonts w:ascii="Arial" w:hAnsi="Arial" w:cs="Arial"/>
          <w:b/>
          <w:bCs/>
          <w:sz w:val="21"/>
          <w:szCs w:val="21"/>
        </w:rPr>
        <w:t>3</w:t>
      </w:r>
      <w:r w:rsidRPr="007847C2">
        <w:rPr>
          <w:rFonts w:ascii="Arial" w:hAnsi="Arial" w:cs="Arial"/>
          <w:sz w:val="21"/>
          <w:szCs w:val="21"/>
        </w:rPr>
        <w:t xml:space="preserve"> additional free PCP visits on Platinum Plans</w:t>
      </w:r>
    </w:p>
    <w:p w14:paraId="017D2AD9" w14:textId="77777777" w:rsidR="00CF271E" w:rsidRPr="007847C2" w:rsidRDefault="00CF271E" w:rsidP="00CF271E">
      <w:pPr>
        <w:numPr>
          <w:ilvl w:val="1"/>
          <w:numId w:val="2"/>
        </w:numPr>
        <w:rPr>
          <w:rFonts w:ascii="Arial" w:hAnsi="Arial" w:cs="Arial"/>
          <w:sz w:val="21"/>
          <w:szCs w:val="21"/>
        </w:rPr>
      </w:pPr>
      <w:r w:rsidRPr="007847C2">
        <w:rPr>
          <w:rFonts w:ascii="Arial" w:hAnsi="Arial" w:cs="Arial"/>
          <w:b/>
          <w:sz w:val="21"/>
          <w:szCs w:val="21"/>
        </w:rPr>
        <w:t>2</w:t>
      </w:r>
      <w:r w:rsidRPr="007847C2">
        <w:rPr>
          <w:rFonts w:ascii="Arial" w:hAnsi="Arial" w:cs="Arial"/>
          <w:sz w:val="21"/>
          <w:szCs w:val="21"/>
        </w:rPr>
        <w:t xml:space="preserve"> additional free PCP visits on Gold Plans</w:t>
      </w:r>
    </w:p>
    <w:p w14:paraId="39E16F38" w14:textId="77777777" w:rsidR="00CF271E" w:rsidRDefault="00CF271E" w:rsidP="00CF271E">
      <w:pPr>
        <w:numPr>
          <w:ilvl w:val="1"/>
          <w:numId w:val="2"/>
        </w:numPr>
        <w:rPr>
          <w:rFonts w:ascii="Arial" w:hAnsi="Arial" w:cs="Arial"/>
          <w:sz w:val="21"/>
          <w:szCs w:val="21"/>
        </w:rPr>
      </w:pPr>
      <w:r w:rsidRPr="007847C2">
        <w:rPr>
          <w:rFonts w:ascii="Arial" w:hAnsi="Arial" w:cs="Arial"/>
          <w:b/>
          <w:sz w:val="21"/>
          <w:szCs w:val="21"/>
        </w:rPr>
        <w:t>1</w:t>
      </w:r>
      <w:r w:rsidRPr="007847C2">
        <w:rPr>
          <w:rFonts w:ascii="Arial" w:hAnsi="Arial" w:cs="Arial"/>
          <w:sz w:val="21"/>
          <w:szCs w:val="21"/>
        </w:rPr>
        <w:t xml:space="preserve"> additional free PCP visit on Silver Plans</w:t>
      </w:r>
    </w:p>
    <w:p w14:paraId="18748D84" w14:textId="77777777" w:rsidR="00CF271E" w:rsidRPr="007847C2" w:rsidRDefault="00CF271E" w:rsidP="00CF271E">
      <w:pPr>
        <w:ind w:left="1440"/>
        <w:rPr>
          <w:rFonts w:ascii="Arial" w:hAnsi="Arial" w:cs="Arial"/>
          <w:sz w:val="21"/>
          <w:szCs w:val="21"/>
        </w:rPr>
      </w:pPr>
    </w:p>
    <w:p w14:paraId="4A65BB8C" w14:textId="77777777" w:rsidR="00CF271E" w:rsidRPr="000C1F41" w:rsidRDefault="00CF271E" w:rsidP="00CF271E">
      <w:pPr>
        <w:pStyle w:val="BodyText"/>
        <w:kinsoku w:val="0"/>
        <w:overflowPunct w:val="0"/>
        <w:spacing w:line="276" w:lineRule="auto"/>
        <w:ind w:right="262"/>
        <w:rPr>
          <w:rFonts w:ascii="Arial" w:hAnsi="Arial" w:cs="Arial"/>
          <w:i w:val="0"/>
          <w:color w:val="000000"/>
          <w:sz w:val="21"/>
          <w:szCs w:val="21"/>
        </w:rPr>
      </w:pPr>
      <w:r w:rsidRPr="000C1F41">
        <w:rPr>
          <w:rFonts w:ascii="Arial" w:hAnsi="Arial" w:cs="Arial"/>
          <w:i w:val="0"/>
          <w:color w:val="000000"/>
          <w:sz w:val="21"/>
          <w:szCs w:val="21"/>
        </w:rPr>
        <w:t xml:space="preserve">Preventive Plus is part of </w:t>
      </w:r>
      <w:proofErr w:type="spellStart"/>
      <w:r w:rsidRPr="000C1F41">
        <w:rPr>
          <w:rFonts w:ascii="Arial" w:hAnsi="Arial" w:cs="Arial"/>
          <w:i w:val="0"/>
          <w:color w:val="000000"/>
          <w:sz w:val="21"/>
          <w:szCs w:val="21"/>
        </w:rPr>
        <w:t>AvMed’s</w:t>
      </w:r>
      <w:proofErr w:type="spellEnd"/>
      <w:r w:rsidRPr="000C1F41">
        <w:rPr>
          <w:rFonts w:ascii="Arial" w:hAnsi="Arial" w:cs="Arial"/>
          <w:i w:val="0"/>
          <w:color w:val="000000"/>
          <w:sz w:val="21"/>
          <w:szCs w:val="21"/>
        </w:rPr>
        <w:t xml:space="preserve"> </w:t>
      </w:r>
      <w:proofErr w:type="spellStart"/>
      <w:r w:rsidRPr="000C1F41">
        <w:rPr>
          <w:rFonts w:ascii="Arial" w:hAnsi="Arial" w:cs="Arial"/>
          <w:i w:val="0"/>
          <w:color w:val="000000"/>
          <w:sz w:val="21"/>
          <w:szCs w:val="21"/>
        </w:rPr>
        <w:t>CenteredCare</w:t>
      </w:r>
      <w:proofErr w:type="spellEnd"/>
      <w:r w:rsidRPr="000C1F41">
        <w:rPr>
          <w:rFonts w:ascii="Arial" w:hAnsi="Arial" w:cs="Arial"/>
          <w:i w:val="0"/>
          <w:color w:val="000000"/>
          <w:sz w:val="21"/>
          <w:szCs w:val="21"/>
        </w:rPr>
        <w:t xml:space="preserve"> concept, which places the PCP at the center of the Member’s healthcare experience.  As a trusted advisor, partner, health coach, navigator and collection hub for the complete medical record, </w:t>
      </w:r>
      <w:proofErr w:type="spellStart"/>
      <w:r w:rsidRPr="000C1F41">
        <w:rPr>
          <w:rFonts w:ascii="Arial" w:hAnsi="Arial" w:cs="Arial"/>
          <w:i w:val="0"/>
          <w:color w:val="000000"/>
          <w:sz w:val="21"/>
          <w:szCs w:val="21"/>
        </w:rPr>
        <w:t>CenteredCare</w:t>
      </w:r>
      <w:proofErr w:type="spellEnd"/>
      <w:r w:rsidRPr="000C1F41">
        <w:rPr>
          <w:rFonts w:ascii="Arial" w:hAnsi="Arial" w:cs="Arial"/>
          <w:i w:val="0"/>
          <w:color w:val="000000"/>
          <w:sz w:val="21"/>
          <w:szCs w:val="21"/>
        </w:rPr>
        <w:t xml:space="preserve"> positions the PCP at the premier vantage point.</w:t>
      </w:r>
    </w:p>
    <w:p w14:paraId="3BD8C559" w14:textId="77777777" w:rsidR="00CF271E" w:rsidRPr="000C1F41" w:rsidRDefault="00CF271E" w:rsidP="00CF271E">
      <w:pPr>
        <w:autoSpaceDE w:val="0"/>
        <w:autoSpaceDN w:val="0"/>
        <w:adjustRightInd w:val="0"/>
        <w:rPr>
          <w:rFonts w:ascii="Arial" w:hAnsi="Arial" w:cs="Arial"/>
          <w:color w:val="000000"/>
          <w:sz w:val="21"/>
          <w:szCs w:val="21"/>
        </w:rPr>
      </w:pPr>
    </w:p>
    <w:p w14:paraId="0617B8DC" w14:textId="77777777" w:rsidR="00CF271E" w:rsidRPr="000C1F41" w:rsidRDefault="00CF271E" w:rsidP="00CF271E">
      <w:pPr>
        <w:autoSpaceDE w:val="0"/>
        <w:autoSpaceDN w:val="0"/>
        <w:adjustRightInd w:val="0"/>
        <w:rPr>
          <w:rFonts w:ascii="Arial" w:hAnsi="Arial" w:cs="Arial"/>
          <w:b/>
          <w:color w:val="000000"/>
          <w:sz w:val="21"/>
          <w:szCs w:val="21"/>
        </w:rPr>
      </w:pPr>
      <w:r w:rsidRPr="000C1F41">
        <w:rPr>
          <w:rFonts w:ascii="Arial" w:hAnsi="Arial" w:cs="Arial"/>
          <w:b/>
          <w:color w:val="000000"/>
          <w:sz w:val="21"/>
          <w:szCs w:val="21"/>
        </w:rPr>
        <w:t>AvMed Group health plans feature:</w:t>
      </w:r>
    </w:p>
    <w:p w14:paraId="571B7503" w14:textId="77777777" w:rsidR="00CF271E" w:rsidRPr="000C1F41" w:rsidRDefault="00CF271E" w:rsidP="00CF271E">
      <w:pPr>
        <w:autoSpaceDE w:val="0"/>
        <w:autoSpaceDN w:val="0"/>
        <w:adjustRightInd w:val="0"/>
        <w:rPr>
          <w:rFonts w:ascii="Arial" w:hAnsi="Arial" w:cs="Arial"/>
          <w:color w:val="000000"/>
          <w:sz w:val="21"/>
          <w:szCs w:val="21"/>
        </w:rPr>
      </w:pPr>
    </w:p>
    <w:p w14:paraId="5364CA8E"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Affordable, high-quality plans</w:t>
      </w:r>
    </w:p>
    <w:p w14:paraId="5CBB9AF3"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Essential health benefits as required by the Affordable Care Act (ACA)</w:t>
      </w:r>
    </w:p>
    <w:p w14:paraId="243455AA"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Extensive local network of doctors and hospitals</w:t>
      </w:r>
    </w:p>
    <w:p w14:paraId="06C71821"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r>
        <w:rPr>
          <w:rFonts w:ascii="Arial" w:hAnsi="Arial" w:cs="Arial"/>
          <w:color w:val="000000"/>
          <w:sz w:val="21"/>
          <w:szCs w:val="21"/>
        </w:rPr>
        <w:t>Virtual Visits – Talk to a doctor from anywhere 24/7</w:t>
      </w:r>
    </w:p>
    <w:p w14:paraId="1EF55466"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proofErr w:type="spellStart"/>
      <w:r>
        <w:rPr>
          <w:rFonts w:ascii="Arial" w:hAnsi="Arial" w:cs="Arial"/>
          <w:color w:val="000000"/>
          <w:sz w:val="21"/>
          <w:szCs w:val="21"/>
        </w:rPr>
        <w:t>SmartShopper</w:t>
      </w:r>
      <w:proofErr w:type="spellEnd"/>
      <w:r>
        <w:rPr>
          <w:rFonts w:ascii="Arial" w:hAnsi="Arial" w:cs="Arial"/>
          <w:color w:val="000000"/>
          <w:sz w:val="21"/>
          <w:szCs w:val="21"/>
        </w:rPr>
        <w:t xml:space="preserve"> – Compare prices before deciding on medical procedures</w:t>
      </w:r>
    </w:p>
    <w:p w14:paraId="44B39F8D"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Emergency worldwide coverage</w:t>
      </w:r>
    </w:p>
    <w:p w14:paraId="39FCBD8A"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No charge for preventative care services</w:t>
      </w:r>
    </w:p>
    <w:p w14:paraId="30001E64"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Fully-integrated Health Savings Account (HSA) administration</w:t>
      </w:r>
    </w:p>
    <w:p w14:paraId="0F9AB234"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 xml:space="preserve">A </w:t>
      </w:r>
      <w:r>
        <w:rPr>
          <w:rFonts w:ascii="Arial" w:hAnsi="Arial" w:cs="Arial"/>
          <w:color w:val="000000"/>
          <w:sz w:val="21"/>
          <w:szCs w:val="21"/>
        </w:rPr>
        <w:t>nearly 50-</w:t>
      </w:r>
      <w:r w:rsidRPr="000C1F41">
        <w:rPr>
          <w:rFonts w:ascii="Arial" w:hAnsi="Arial" w:cs="Arial"/>
          <w:color w:val="000000"/>
          <w:sz w:val="21"/>
          <w:szCs w:val="21"/>
        </w:rPr>
        <w:t>year tradition of award-winning service</w:t>
      </w:r>
    </w:p>
    <w:p w14:paraId="3CB3407E"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24/7 online access for members to manage their accounts</w:t>
      </w:r>
    </w:p>
    <w:p w14:paraId="43BE062D" w14:textId="77777777" w:rsidR="00CF271E" w:rsidRPr="000C1F41" w:rsidRDefault="00CF271E" w:rsidP="00CF271E">
      <w:pPr>
        <w:autoSpaceDE w:val="0"/>
        <w:autoSpaceDN w:val="0"/>
        <w:adjustRightInd w:val="0"/>
        <w:rPr>
          <w:rFonts w:ascii="Arial" w:hAnsi="Arial" w:cs="Arial"/>
          <w:color w:val="000000"/>
          <w:sz w:val="21"/>
          <w:szCs w:val="21"/>
        </w:rPr>
      </w:pPr>
    </w:p>
    <w:p w14:paraId="6BFFD578" w14:textId="77777777" w:rsidR="00CF271E" w:rsidRPr="000C1F41" w:rsidRDefault="00CF271E" w:rsidP="00CF271E">
      <w:pPr>
        <w:autoSpaceDE w:val="0"/>
        <w:autoSpaceDN w:val="0"/>
        <w:adjustRightInd w:val="0"/>
        <w:rPr>
          <w:rFonts w:ascii="Arial" w:hAnsi="Arial" w:cs="Arial"/>
          <w:color w:val="000000"/>
          <w:sz w:val="21"/>
          <w:szCs w:val="21"/>
        </w:rPr>
      </w:pPr>
      <w:r w:rsidRPr="001D0CA5">
        <w:rPr>
          <w:rFonts w:ascii="Arial" w:hAnsi="Arial" w:cs="Arial"/>
          <w:color w:val="000000"/>
          <w:sz w:val="21"/>
          <w:szCs w:val="21"/>
        </w:rPr>
        <w:t>AvMed strives to provide the best possible experience when choosing health care coverage for your employees and their families. I will be happy to answer any questions you may have.</w:t>
      </w:r>
    </w:p>
    <w:p w14:paraId="50AD56BA" w14:textId="77777777" w:rsidR="00CF271E" w:rsidRPr="000C1F41" w:rsidRDefault="00CF271E" w:rsidP="00CF271E">
      <w:pPr>
        <w:autoSpaceDE w:val="0"/>
        <w:autoSpaceDN w:val="0"/>
        <w:adjustRightInd w:val="0"/>
        <w:rPr>
          <w:rFonts w:ascii="Arial" w:hAnsi="Arial" w:cs="Arial"/>
          <w:color w:val="000000"/>
          <w:sz w:val="21"/>
          <w:szCs w:val="21"/>
        </w:rPr>
      </w:pPr>
    </w:p>
    <w:p w14:paraId="24E4FA69" w14:textId="77777777" w:rsidR="00CF271E" w:rsidRPr="000C1F41" w:rsidRDefault="00CF271E" w:rsidP="00CF271E">
      <w:pPr>
        <w:autoSpaceDE w:val="0"/>
        <w:autoSpaceDN w:val="0"/>
        <w:adjustRightInd w:val="0"/>
        <w:rPr>
          <w:rFonts w:ascii="Arial" w:hAnsi="Arial" w:cs="Arial"/>
          <w:color w:val="000000"/>
          <w:sz w:val="21"/>
          <w:szCs w:val="21"/>
        </w:rPr>
      </w:pPr>
      <w:r w:rsidRPr="000C1F41">
        <w:rPr>
          <w:rFonts w:ascii="Arial" w:hAnsi="Arial" w:cs="Arial"/>
          <w:color w:val="000000"/>
          <w:sz w:val="21"/>
          <w:szCs w:val="21"/>
        </w:rPr>
        <w:t>Sincerely,</w:t>
      </w:r>
    </w:p>
    <w:p w14:paraId="7F6743A4" w14:textId="77777777" w:rsidR="00CF271E" w:rsidRPr="000C1F41" w:rsidRDefault="00CF271E" w:rsidP="00CF271E">
      <w:pPr>
        <w:autoSpaceDE w:val="0"/>
        <w:autoSpaceDN w:val="0"/>
        <w:adjustRightInd w:val="0"/>
        <w:rPr>
          <w:rFonts w:ascii="Arial" w:hAnsi="Arial" w:cs="Arial"/>
          <w:color w:val="000000"/>
          <w:sz w:val="21"/>
          <w:szCs w:val="21"/>
        </w:rPr>
      </w:pPr>
    </w:p>
    <w:p w14:paraId="379ADEF1" w14:textId="19C29C7A" w:rsidR="00CF271E" w:rsidRPr="000C1F41" w:rsidRDefault="00CF271E" w:rsidP="00CF271E">
      <w:pPr>
        <w:autoSpaceDE w:val="0"/>
        <w:autoSpaceDN w:val="0"/>
        <w:adjustRightInd w:val="0"/>
        <w:rPr>
          <w:rFonts w:ascii="Arial" w:hAnsi="Arial" w:cs="Arial"/>
          <w:sz w:val="21"/>
          <w:szCs w:val="21"/>
        </w:rPr>
      </w:pPr>
      <w:r>
        <w:rPr>
          <w:rFonts w:ascii="Arial" w:hAnsi="Arial" w:cs="Arial"/>
          <w:color w:val="000000"/>
          <w:sz w:val="21"/>
          <w:szCs w:val="21"/>
        </w:rPr>
        <w:t>Johan Bluth</w:t>
      </w:r>
    </w:p>
    <w:p w14:paraId="4B67A0D6" w14:textId="49EA0187" w:rsidR="00CF271E" w:rsidRPr="000C1F41" w:rsidRDefault="00CF271E" w:rsidP="00CF271E">
      <w:pPr>
        <w:autoSpaceDE w:val="0"/>
        <w:autoSpaceDN w:val="0"/>
        <w:adjustRightInd w:val="0"/>
        <w:rPr>
          <w:rFonts w:ascii="Arial" w:hAnsi="Arial" w:cs="Arial"/>
          <w:color w:val="000000"/>
          <w:sz w:val="21"/>
          <w:szCs w:val="21"/>
        </w:rPr>
      </w:pPr>
      <w:r>
        <w:rPr>
          <w:rFonts w:ascii="Arial" w:hAnsi="Arial" w:cs="Arial"/>
          <w:color w:val="000000"/>
          <w:sz w:val="21"/>
          <w:szCs w:val="21"/>
        </w:rPr>
        <w:t>Mark Henry Agency</w:t>
      </w:r>
    </w:p>
    <w:p w14:paraId="6192110D" w14:textId="77777777" w:rsidR="00CF271E" w:rsidRPr="000C1F41" w:rsidRDefault="00CF271E" w:rsidP="00CF271E">
      <w:pPr>
        <w:autoSpaceDE w:val="0"/>
        <w:autoSpaceDN w:val="0"/>
        <w:adjustRightInd w:val="0"/>
        <w:rPr>
          <w:rFonts w:ascii="Arial" w:hAnsi="Arial" w:cs="Arial"/>
          <w:sz w:val="21"/>
          <w:szCs w:val="21"/>
        </w:rPr>
      </w:pPr>
    </w:p>
    <w:p w14:paraId="3BA4FB5C" w14:textId="67EF3273" w:rsidR="00CF271E" w:rsidRPr="000C1F41" w:rsidRDefault="00CF271E" w:rsidP="00CF271E">
      <w:pPr>
        <w:autoSpaceDE w:val="0"/>
        <w:autoSpaceDN w:val="0"/>
        <w:adjustRightInd w:val="0"/>
        <w:rPr>
          <w:rFonts w:ascii="Arial" w:hAnsi="Arial" w:cs="Arial"/>
          <w:sz w:val="21"/>
          <w:szCs w:val="21"/>
        </w:rPr>
      </w:pPr>
      <w:r>
        <w:rPr>
          <w:rFonts w:ascii="Arial" w:hAnsi="Arial" w:cs="Arial"/>
          <w:color w:val="000000"/>
          <w:sz w:val="21"/>
          <w:szCs w:val="21"/>
        </w:rPr>
        <w:t/>
      </w:r>
    </w:p>
    <w:p w14:paraId="2665834B" w14:textId="77777777" w:rsidR="006E2E29" w:rsidRDefault="00CF271E" w:rsidP="00CF271E">
      <w:pPr>
        <w:autoSpaceDE w:val="0"/>
        <w:autoSpaceDN w:val="0"/>
        <w:adjustRightInd w:val="0"/>
        <w:rPr>
          <w:rFonts w:ascii="Arial" w:hAnsi="Arial" w:cs="Arial"/>
          <w:sz w:val="22"/>
          <w:szCs w:val="22"/>
        </w:rPr>
        <w:sectPr w:rsidR="006E2E29" w:rsidSect="00C06B7E">
          <w:headerReference w:type="default" r:id="rId10"/>
          <w:headerReference w:type="first" r:id="rId11"/>
          <w:footerReference w:type="first" r:id="rId12"/>
          <w:pgSz w:w="12240" w:h="15840"/>
          <w:pgMar w:top="0" w:right="720" w:bottom="280" w:left="720" w:header="216" w:footer="0" w:gutter="0"/>
          <w:cols w:space="720"/>
          <w:titlePg/>
          <w:docGrid w:linePitch="272"/>
        </w:sectPr>
      </w:pPr>
      <w:r>
        <w:rPr>
          <w:rFonts w:ascii="Arial" w:hAnsi="Arial" w:cs="Arial"/>
          <w:sz w:val="22"/>
          <w:szCs w:val="22"/>
        </w:rPr>
        <w:t>johan.bluth@nomail.com</w:t>
      </w:r>
    </w:p>
    <w:p w14:paraId="434BD7E1" w14:textId="118B41BC" w:rsidR="00CF271E" w:rsidRPr="00C37C1C" w:rsidRDefault="00CF271E" w:rsidP="00CF271E">
      <w:pPr>
        <w:autoSpaceDE w:val="0"/>
        <w:autoSpaceDN w:val="0"/>
        <w:adjustRightInd w:val="0"/>
        <w:rPr>
          <w:rFonts w:ascii="AvantGarde Bk BT" w:hAnsi="AvantGarde Bk BT"/>
          <w:sz w:val="18"/>
          <w:szCs w:val="18"/>
        </w:rPr>
      </w:pPr>
    </w:p>
    <w:p w14:paraId="67890BB0" w14:textId="77777777" w:rsidR="006E2E29" w:rsidRPr="00101663" w:rsidRDefault="006E2E29" w:rsidP="006E2E29">
      <w:pPr>
        <w:tabs>
          <w:tab w:val="left" w:pos="1800"/>
        </w:tabs>
        <w:spacing w:line="255" w:lineRule="auto"/>
        <w:ind w:left="360" w:right="983" w:hanging="360"/>
        <w:rPr>
          <w:rFonts w:ascii="Segoe UI" w:eastAsia="Cambria" w:hAnsi="Segoe UI" w:cs="Segoe UI"/>
          <w:sz w:val="24"/>
          <w:szCs w:val="24"/>
        </w:rPr>
      </w:pPr>
      <w:r w:rsidRPr="00101663">
        <w:rPr>
          <w:rFonts w:ascii="Segoe UI" w:eastAsia="Cambria" w:hAnsi="Segoe UI" w:cs="Segoe UI"/>
          <w:sz w:val="24"/>
          <w:szCs w:val="24"/>
        </w:rPr>
        <w:t xml:space="preserve">AvMed is a Florida-based health plan headquartered in Miami, with offices in Fort Lauderdale, Gainesville and Orlando and serving the Jacksonville and Tampa markets. Approximately </w:t>
      </w:r>
      <w:r w:rsidRPr="00101663">
        <w:rPr>
          <w:rFonts w:ascii="Segoe UI" w:hAnsi="Segoe UI" w:cs="Segoe UI"/>
          <w:b/>
          <w:sz w:val="24"/>
          <w:szCs w:val="24"/>
        </w:rPr>
        <w:t xml:space="preserve">275,000 </w:t>
      </w:r>
      <w:r w:rsidRPr="00101663">
        <w:rPr>
          <w:rFonts w:ascii="Segoe UI" w:eastAsia="Cambria" w:hAnsi="Segoe UI" w:cs="Segoe UI"/>
          <w:sz w:val="24"/>
          <w:szCs w:val="24"/>
        </w:rPr>
        <w:t>Members count on AvMed for their Employer Group, Medicare and Individual and Family plan coverage.</w:t>
      </w:r>
    </w:p>
    <w:p w14:paraId="02763EA8" w14:textId="77777777"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 xml:space="preserve">Members have the support of nearly </w:t>
      </w:r>
      <w:r w:rsidRPr="00A3495A">
        <w:rPr>
          <w:rFonts w:ascii="Segoe UI" w:hAnsi="Segoe UI" w:cs="Segoe UI"/>
          <w:b/>
          <w:sz w:val="24"/>
          <w:szCs w:val="24"/>
        </w:rPr>
        <w:t xml:space="preserve">600 employee Associates </w:t>
      </w:r>
      <w:r w:rsidRPr="00A3495A">
        <w:rPr>
          <w:rFonts w:ascii="Segoe UI" w:eastAsia="Cambria" w:hAnsi="Segoe UI" w:cs="Segoe UI"/>
          <w:sz w:val="24"/>
          <w:szCs w:val="24"/>
        </w:rPr>
        <w:t xml:space="preserve">and a </w:t>
      </w:r>
      <w:r w:rsidRPr="00A3495A">
        <w:rPr>
          <w:rFonts w:ascii="Segoe UI" w:hAnsi="Segoe UI" w:cs="Segoe UI"/>
          <w:b/>
          <w:sz w:val="24"/>
          <w:szCs w:val="24"/>
        </w:rPr>
        <w:t>35,000 plus strong Provider Network</w:t>
      </w:r>
      <w:r w:rsidRPr="00A3495A">
        <w:rPr>
          <w:rFonts w:ascii="Segoe UI" w:eastAsia="Cambria" w:hAnsi="Segoe UI" w:cs="Segoe UI"/>
          <w:sz w:val="24"/>
          <w:szCs w:val="24"/>
        </w:rPr>
        <w:t>.</w:t>
      </w:r>
    </w:p>
    <w:p w14:paraId="48A3CC36" w14:textId="77777777"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 xml:space="preserve">AvMed transforms lives to create a </w:t>
      </w:r>
      <w:proofErr w:type="spellStart"/>
      <w:r w:rsidRPr="00A3495A">
        <w:rPr>
          <w:rFonts w:ascii="Segoe UI" w:hAnsi="Segoe UI" w:cs="Segoe UI"/>
          <w:b/>
          <w:sz w:val="24"/>
          <w:szCs w:val="24"/>
        </w:rPr>
        <w:t>WELLfluent</w:t>
      </w:r>
      <w:proofErr w:type="spellEnd"/>
      <w:r w:rsidRPr="00A3495A">
        <w:rPr>
          <w:rFonts w:ascii="Segoe UI" w:hAnsi="Segoe UI" w:cs="Segoe UI"/>
          <w:b/>
          <w:sz w:val="24"/>
          <w:szCs w:val="24"/>
        </w:rPr>
        <w:t xml:space="preserve"> </w:t>
      </w:r>
      <w:r w:rsidRPr="00A3495A">
        <w:rPr>
          <w:rFonts w:ascii="Segoe UI" w:eastAsia="Cambria" w:hAnsi="Segoe UI" w:cs="Segoe UI"/>
          <w:sz w:val="24"/>
          <w:szCs w:val="24"/>
        </w:rPr>
        <w:t>world – having or striving to have a truly balanced life, rich in what matters most-health and happiness. By uniting around this sole purpose over our near-50-year history, we’re focused on servicing the needs of our Members who have made it their goal to lead a happy and healthy life. Whether you’re healthy already and trying to stay that way, or managing a chronic condition, AvMed is your lifelong partner in health.</w:t>
      </w:r>
    </w:p>
    <w:p w14:paraId="5B50A98D" w14:textId="77777777"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AvMed provides peace of mind by offering healthcare plans, online tools, value added services and solutions that deliver better service, quality, affordability and health.</w:t>
      </w:r>
    </w:p>
    <w:p w14:paraId="53E4B177" w14:textId="77777777" w:rsidR="00A3495A" w:rsidRDefault="00A3495A"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101663">
        <w:rPr>
          <w:rFonts w:ascii="Segoe UI" w:eastAsia="Cambria" w:hAnsi="Segoe UI" w:cs="Segoe UI"/>
          <w:sz w:val="24"/>
          <w:szCs w:val="24"/>
        </w:rPr>
        <w:t xml:space="preserve"> </w:t>
      </w:r>
      <w:r w:rsidR="006E2E29" w:rsidRPr="00101663">
        <w:rPr>
          <w:rFonts w:ascii="Segoe UI" w:eastAsia="Cambria" w:hAnsi="Segoe UI" w:cs="Segoe UI"/>
          <w:sz w:val="24"/>
          <w:szCs w:val="24"/>
        </w:rPr>
        <w:t xml:space="preserve">AvMed offers a variety of </w:t>
      </w:r>
      <w:r w:rsidR="006E2E29" w:rsidRPr="00101663">
        <w:rPr>
          <w:rFonts w:ascii="Segoe UI" w:hAnsi="Segoe UI" w:cs="Segoe UI"/>
          <w:b/>
          <w:sz w:val="24"/>
          <w:szCs w:val="24"/>
        </w:rPr>
        <w:t xml:space="preserve">affordable coverage solutions </w:t>
      </w:r>
      <w:r w:rsidR="006E2E29" w:rsidRPr="00101663">
        <w:rPr>
          <w:rFonts w:ascii="Segoe UI" w:eastAsia="Cambria" w:hAnsi="Segoe UI" w:cs="Segoe UI"/>
          <w:sz w:val="24"/>
          <w:szCs w:val="24"/>
        </w:rPr>
        <w:t xml:space="preserve">for businesses of all sizes in most major metropolitan areas of the state, including self-funded </w:t>
      </w:r>
      <w:proofErr w:type="gramStart"/>
      <w:r w:rsidR="006E2E29" w:rsidRPr="00101663">
        <w:rPr>
          <w:rFonts w:ascii="Segoe UI" w:eastAsia="Cambria" w:hAnsi="Segoe UI" w:cs="Segoe UI"/>
          <w:sz w:val="24"/>
          <w:szCs w:val="24"/>
        </w:rPr>
        <w:t>options.*</w:t>
      </w:r>
      <w:proofErr w:type="gramEnd"/>
    </w:p>
    <w:p w14:paraId="6F423EBD" w14:textId="6649B033" w:rsidR="00254C16" w:rsidRPr="00A3495A" w:rsidRDefault="006E2E29" w:rsidP="00792D48">
      <w:pPr>
        <w:pStyle w:val="ListParagraph"/>
        <w:numPr>
          <w:ilvl w:val="0"/>
          <w:numId w:val="6"/>
        </w:numPr>
        <w:tabs>
          <w:tab w:val="left" w:pos="1800"/>
        </w:tabs>
        <w:spacing w:after="160" w:line="259" w:lineRule="auto"/>
        <w:ind w:right="722"/>
        <w:rPr>
          <w:rFonts w:ascii="Segoe UI" w:eastAsia="Cambria" w:hAnsi="Segoe UI" w:cs="Segoe UI"/>
          <w:sz w:val="24"/>
          <w:szCs w:val="24"/>
        </w:rPr>
        <w:sectPr w:rsidR="00254C16" w:rsidRPr="00A3495A" w:rsidSect="000657A9">
          <w:headerReference w:type="default" r:id="rId13"/>
          <w:headerReference w:type="first" r:id="rId14"/>
          <w:pgSz w:w="12240" w:h="15840"/>
          <w:pgMar w:top="0" w:right="720" w:bottom="280" w:left="720" w:header="0" w:footer="230" w:gutter="0"/>
          <w:cols w:space="720"/>
          <w:titlePg/>
          <w:docGrid w:linePitch="272"/>
        </w:sectPr>
      </w:pPr>
      <w:r>
        <w:rPr>
          <w:noProof/>
        </w:rPr>
        <w:drawing>
          <wp:anchor distT="0" distB="0" distL="114300" distR="114300" simplePos="0" relativeHeight="251661312" behindDoc="1" locked="0" layoutInCell="1" allowOverlap="1" wp14:anchorId="677D4826" wp14:editId="16FE3B45">
            <wp:simplePos x="0" y="0"/>
            <wp:positionH relativeFrom="margin">
              <wp:posOffset>3940042</wp:posOffset>
            </wp:positionH>
            <wp:positionV relativeFrom="margin">
              <wp:posOffset>4075686</wp:posOffset>
            </wp:positionV>
            <wp:extent cx="2385695" cy="1748790"/>
            <wp:effectExtent l="0" t="0" r="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5695" cy="1748790"/>
                    </a:xfrm>
                    <a:prstGeom prst="rect">
                      <a:avLst/>
                    </a:prstGeom>
                    <a:noFill/>
                  </pic:spPr>
                </pic:pic>
              </a:graphicData>
            </a:graphic>
            <wp14:sizeRelH relativeFrom="page">
              <wp14:pctWidth>0</wp14:pctWidth>
            </wp14:sizeRelH>
            <wp14:sizeRelV relativeFrom="page">
              <wp14:pctHeight>0</wp14:pctHeight>
            </wp14:sizeRelV>
          </wp:anchor>
        </w:drawing>
      </w:r>
      <w:r w:rsidRPr="00A3495A">
        <w:rPr>
          <w:rFonts w:ascii="Segoe UI" w:eastAsia="Cambria" w:hAnsi="Segoe UI" w:cs="Segoe UI"/>
          <w:sz w:val="24"/>
          <w:szCs w:val="24"/>
        </w:rPr>
        <w:t>J.D. Power ranked AvMed “</w:t>
      </w:r>
      <w:r w:rsidRPr="00A3495A">
        <w:rPr>
          <w:rFonts w:ascii="Segoe UI" w:hAnsi="Segoe UI" w:cs="Segoe UI"/>
          <w:b/>
          <w:sz w:val="24"/>
          <w:szCs w:val="24"/>
        </w:rPr>
        <w:t>Highest in Member Satisfaction among Commercial Health Plans in Florida, Seven Years in a Row</w:t>
      </w:r>
      <w:proofErr w:type="gramStart"/>
      <w:r w:rsidRPr="00A3495A">
        <w:rPr>
          <w:rFonts w:ascii="Segoe UI" w:eastAsia="Cambria" w:hAnsi="Segoe UI" w:cs="Segoe UI"/>
          <w:sz w:val="24"/>
          <w:szCs w:val="24"/>
        </w:rPr>
        <w:t>.”*</w:t>
      </w:r>
      <w:proofErr w:type="gramEnd"/>
      <w:r w:rsidRPr="00A3495A">
        <w:rPr>
          <w:rFonts w:ascii="Segoe UI" w:eastAsia="Cambria" w:hAnsi="Segoe UI" w:cs="Segoe UI"/>
          <w:sz w:val="24"/>
          <w:szCs w:val="24"/>
        </w:rPr>
        <w:t xml:space="preserve">* </w:t>
      </w: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overall score was not only the highest in the Florida region, it was seventh highest in the nation among 163 plans included in the 2018 J.D. Power Commercial Member Health Plan Study.   Plus, we topped the region in four study factors: coverage and benefits, cost, provider choice and claims </w:t>
      </w:r>
      <w:proofErr w:type="spellStart"/>
      <w:proofErr w:type="gramStart"/>
      <w:r w:rsidRPr="00A3495A">
        <w:rPr>
          <w:rFonts w:ascii="Segoe UI" w:eastAsia="Cambria" w:hAnsi="Segoe UI" w:cs="Segoe UI"/>
          <w:sz w:val="24"/>
          <w:szCs w:val="24"/>
        </w:rPr>
        <w:t>processing.In</w:t>
      </w:r>
      <w:proofErr w:type="spellEnd"/>
      <w:proofErr w:type="gramEnd"/>
      <w:r w:rsidRPr="00A3495A">
        <w:rPr>
          <w:rFonts w:ascii="Segoe UI" w:eastAsia="Cambria" w:hAnsi="Segoe UI" w:cs="Segoe UI"/>
          <w:sz w:val="24"/>
          <w:szCs w:val="24"/>
        </w:rPr>
        <w:t xml:space="preserve"> an annual survey </w:t>
      </w:r>
      <w:bookmarkStart w:id="1" w:name="_GoBack"/>
      <w:bookmarkEnd w:id="1"/>
      <w:r w:rsidRPr="00A3495A">
        <w:rPr>
          <w:rFonts w:ascii="Segoe UI" w:eastAsia="Cambria" w:hAnsi="Segoe UI" w:cs="Segoe UI"/>
          <w:sz w:val="24"/>
          <w:szCs w:val="24"/>
        </w:rPr>
        <w:t xml:space="preserve">of Florida physicians, AvMed consistently comes out ahead of all other plans, while </w:t>
      </w:r>
      <w:r w:rsidRPr="00A3495A">
        <w:rPr>
          <w:rFonts w:ascii="Segoe UI" w:hAnsi="Segoe UI" w:cs="Segoe UI"/>
          <w:b/>
          <w:sz w:val="24"/>
          <w:szCs w:val="24"/>
        </w:rPr>
        <w:t>9 out of 10 say they recommend us to their patients and peers</w:t>
      </w:r>
      <w:r w:rsidRPr="00A3495A">
        <w:rPr>
          <w:rFonts w:ascii="Segoe UI" w:eastAsia="Cambria" w:hAnsi="Segoe UI" w:cs="Segoe UI"/>
          <w:sz w:val="24"/>
          <w:szCs w:val="24"/>
        </w:rPr>
        <w:t>. **</w:t>
      </w:r>
    </w:p>
    <w:p w14:paraId="4D34A54F" w14:textId="77777777" w:rsidR="00A3495A" w:rsidRDefault="00576974" w:rsidP="00DB0C97">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A3495A">
        <w:rPr>
          <w:rFonts w:ascii="Segoe UI" w:hAnsi="Segoe UI" w:cs="Segoe UI"/>
          <w:b/>
          <w:sz w:val="24"/>
          <w:szCs w:val="24"/>
        </w:rPr>
        <w:lastRenderedPageBreak/>
        <w:t>Year after year, AvMed receives the highest overall rating of any statewide</w:t>
      </w:r>
      <w:r w:rsidR="00453EB0" w:rsidRPr="00A3495A">
        <w:rPr>
          <w:rFonts w:ascii="Segoe UI" w:hAnsi="Segoe UI" w:cs="Segoe UI"/>
          <w:b/>
          <w:sz w:val="24"/>
          <w:szCs w:val="24"/>
        </w:rPr>
        <w:t xml:space="preserve"> </w:t>
      </w:r>
      <w:r w:rsidRPr="00A3495A">
        <w:rPr>
          <w:rFonts w:ascii="Segoe UI" w:hAnsi="Segoe UI" w:cs="Segoe UI"/>
          <w:b/>
          <w:sz w:val="24"/>
          <w:szCs w:val="24"/>
        </w:rPr>
        <w:t xml:space="preserve">Florida plan </w:t>
      </w:r>
      <w:r w:rsidRPr="00A3495A">
        <w:rPr>
          <w:rFonts w:ascii="Segoe UI" w:eastAsia="Cambria" w:hAnsi="Segoe UI" w:cs="Segoe UI"/>
          <w:sz w:val="24"/>
          <w:szCs w:val="24"/>
        </w:rPr>
        <w:t>in the Consumer Assessment of Health Plans Study (CAHPS</w:t>
      </w:r>
      <w:r w:rsidRPr="00A3495A">
        <w:rPr>
          <w:rFonts w:ascii="Segoe UI" w:eastAsia="Cambria" w:hAnsi="Segoe UI" w:cs="Segoe UI"/>
          <w:position w:val="8"/>
          <w:sz w:val="24"/>
          <w:szCs w:val="24"/>
        </w:rPr>
        <w:t>®</w:t>
      </w:r>
      <w:proofErr w:type="gramStart"/>
      <w:r w:rsidRPr="00A3495A">
        <w:rPr>
          <w:rFonts w:ascii="Segoe UI" w:eastAsia="Cambria" w:hAnsi="Segoe UI" w:cs="Segoe UI"/>
          <w:sz w:val="24"/>
          <w:szCs w:val="24"/>
        </w:rPr>
        <w:t>).*</w:t>
      </w:r>
      <w:proofErr w:type="gramEnd"/>
      <w:r w:rsidRPr="00A3495A">
        <w:rPr>
          <w:rFonts w:ascii="Segoe UI" w:eastAsia="Cambria" w:hAnsi="Segoe UI" w:cs="Segoe UI"/>
          <w:sz w:val="24"/>
          <w:szCs w:val="24"/>
        </w:rPr>
        <w:t>***</w:t>
      </w:r>
    </w:p>
    <w:p w14:paraId="570A8104" w14:textId="77777777" w:rsidR="00A3495A" w:rsidRDefault="00576974"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A3495A">
        <w:rPr>
          <w:rFonts w:ascii="Segoe UI" w:eastAsia="Cambria" w:hAnsi="Segoe UI" w:cs="Segoe UI"/>
          <w:sz w:val="24"/>
          <w:szCs w:val="24"/>
        </w:rPr>
        <w:t>AvMed measures its performance each year against the National Healthcare Effectiveness Data and Information Set (HEDIS</w:t>
      </w:r>
      <w:r w:rsidRPr="00A3495A">
        <w:rPr>
          <w:rFonts w:ascii="Segoe UI" w:eastAsia="Cambria" w:hAnsi="Segoe UI" w:cs="Segoe UI"/>
          <w:position w:val="8"/>
          <w:sz w:val="24"/>
          <w:szCs w:val="24"/>
        </w:rPr>
        <w:t>®</w:t>
      </w:r>
      <w:r w:rsidRPr="00A3495A">
        <w:rPr>
          <w:rFonts w:ascii="Segoe UI" w:eastAsia="Cambria" w:hAnsi="Segoe UI" w:cs="Segoe UI"/>
          <w:sz w:val="24"/>
          <w:szCs w:val="24"/>
        </w:rPr>
        <w:t xml:space="preserve">), developed by NCQA. </w:t>
      </w: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already strong </w:t>
      </w:r>
      <w:r w:rsidRPr="00A3495A">
        <w:rPr>
          <w:rFonts w:ascii="Segoe UI" w:hAnsi="Segoe UI" w:cs="Segoe UI"/>
          <w:b/>
          <w:sz w:val="24"/>
          <w:szCs w:val="24"/>
        </w:rPr>
        <w:t xml:space="preserve">2017 performance improved in 71% of the commercial accreditation measures and in 27% of the measures for </w:t>
      </w:r>
      <w:proofErr w:type="gramStart"/>
      <w:r w:rsidRPr="00A3495A">
        <w:rPr>
          <w:rFonts w:ascii="Segoe UI" w:hAnsi="Segoe UI" w:cs="Segoe UI"/>
          <w:b/>
          <w:sz w:val="24"/>
          <w:szCs w:val="24"/>
        </w:rPr>
        <w:t>Medicare</w:t>
      </w:r>
      <w:r w:rsidRPr="00A3495A">
        <w:rPr>
          <w:rFonts w:ascii="Segoe UI" w:eastAsia="Cambria" w:hAnsi="Segoe UI" w:cs="Segoe UI"/>
          <w:sz w:val="24"/>
          <w:szCs w:val="24"/>
        </w:rPr>
        <w:t>.*</w:t>
      </w:r>
      <w:proofErr w:type="gramEnd"/>
      <w:r w:rsidRPr="00A3495A">
        <w:rPr>
          <w:rFonts w:ascii="Segoe UI" w:eastAsia="Cambria" w:hAnsi="Segoe UI" w:cs="Segoe UI"/>
          <w:sz w:val="24"/>
          <w:szCs w:val="24"/>
        </w:rPr>
        <w:t>****</w:t>
      </w:r>
    </w:p>
    <w:p w14:paraId="603E5209" w14:textId="77777777" w:rsidR="00A3495A" w:rsidRDefault="00A3495A"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101663">
        <w:rPr>
          <w:rFonts w:ascii="Segoe UI" w:eastAsia="Cambria" w:hAnsi="Segoe UI" w:cs="Segoe UI"/>
          <w:sz w:val="24"/>
          <w:szCs w:val="24"/>
        </w:rPr>
        <w:t xml:space="preserve"> </w:t>
      </w:r>
      <w:r w:rsidR="00576974" w:rsidRPr="00101663">
        <w:rPr>
          <w:rFonts w:ascii="Segoe UI" w:eastAsia="Cambria" w:hAnsi="Segoe UI" w:cs="Segoe UI"/>
          <w:sz w:val="24"/>
          <w:szCs w:val="24"/>
        </w:rPr>
        <w:t>AvMed Medicare Star Power continues with the Centers for Medicare and</w:t>
      </w:r>
      <w:r>
        <w:rPr>
          <w:rFonts w:ascii="Segoe UI" w:eastAsia="Cambria" w:hAnsi="Segoe UI" w:cs="Segoe UI"/>
          <w:sz w:val="24"/>
          <w:szCs w:val="24"/>
        </w:rPr>
        <w:t xml:space="preserve"> </w:t>
      </w:r>
      <w:r w:rsidR="00576974" w:rsidRPr="00A3495A">
        <w:rPr>
          <w:rFonts w:ascii="Segoe UI" w:eastAsia="Cambria" w:hAnsi="Segoe UI" w:cs="Segoe UI"/>
          <w:sz w:val="24"/>
          <w:szCs w:val="24"/>
        </w:rPr>
        <w:t xml:space="preserve">Medicaid Services (CMS) awarding </w:t>
      </w:r>
      <w:r w:rsidR="00576974" w:rsidRPr="00A3495A">
        <w:rPr>
          <w:rFonts w:ascii="Segoe UI" w:hAnsi="Segoe UI" w:cs="Segoe UI"/>
          <w:b/>
          <w:sz w:val="24"/>
          <w:szCs w:val="24"/>
        </w:rPr>
        <w:t xml:space="preserve">AvMed Medicare 4 out of 5 stars </w:t>
      </w:r>
      <w:r w:rsidR="00576974" w:rsidRPr="00A3495A">
        <w:rPr>
          <w:rFonts w:ascii="Segoe UI" w:eastAsia="Cambria" w:hAnsi="Segoe UI" w:cs="Segoe UI"/>
          <w:sz w:val="24"/>
          <w:szCs w:val="24"/>
        </w:rPr>
        <w:t>for its</w:t>
      </w:r>
      <w:r>
        <w:rPr>
          <w:rFonts w:ascii="Segoe UI" w:eastAsia="Cambria" w:hAnsi="Segoe UI" w:cs="Segoe UI"/>
          <w:sz w:val="24"/>
          <w:szCs w:val="24"/>
        </w:rPr>
        <w:t xml:space="preserve"> </w:t>
      </w:r>
      <w:r w:rsidR="00576974" w:rsidRPr="00A3495A">
        <w:rPr>
          <w:rFonts w:ascii="Segoe UI" w:eastAsia="Cambria" w:hAnsi="Segoe UI" w:cs="Segoe UI"/>
          <w:sz w:val="24"/>
          <w:szCs w:val="24"/>
        </w:rPr>
        <w:t xml:space="preserve">quality and </w:t>
      </w:r>
      <w:proofErr w:type="gramStart"/>
      <w:r w:rsidR="00576974" w:rsidRPr="00A3495A">
        <w:rPr>
          <w:rFonts w:ascii="Segoe UI" w:eastAsia="Cambria" w:hAnsi="Segoe UI" w:cs="Segoe UI"/>
          <w:sz w:val="24"/>
          <w:szCs w:val="24"/>
        </w:rPr>
        <w:t>performance.*</w:t>
      </w:r>
      <w:proofErr w:type="gramEnd"/>
      <w:r w:rsidR="00576974" w:rsidRPr="00A3495A">
        <w:rPr>
          <w:rFonts w:ascii="Segoe UI" w:eastAsia="Cambria" w:hAnsi="Segoe UI" w:cs="Segoe UI"/>
          <w:sz w:val="24"/>
          <w:szCs w:val="24"/>
        </w:rPr>
        <w:t>***** That’s quite an accomplishment in the competitive</w:t>
      </w:r>
      <w:r>
        <w:rPr>
          <w:rFonts w:ascii="Segoe UI" w:eastAsia="Cambria" w:hAnsi="Segoe UI" w:cs="Segoe UI"/>
          <w:sz w:val="24"/>
          <w:szCs w:val="24"/>
        </w:rPr>
        <w:t xml:space="preserve"> </w:t>
      </w:r>
      <w:r w:rsidR="00576974" w:rsidRPr="00A3495A">
        <w:rPr>
          <w:rFonts w:ascii="Segoe UI" w:eastAsia="Cambria" w:hAnsi="Segoe UI" w:cs="Segoe UI"/>
          <w:sz w:val="24"/>
          <w:szCs w:val="24"/>
        </w:rPr>
        <w:t>Medicare Advantage health plan arena.</w:t>
      </w:r>
    </w:p>
    <w:p w14:paraId="6BCEC3BB" w14:textId="090A03BE" w:rsidR="00576974" w:rsidRPr="00A3495A" w:rsidRDefault="00576974"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holding company, Gainesville-based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HealthCare, Inc., is a family of not-for-profit companies with more than 1,900 employee Associates. In addition to AvMed,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operates Haven of North Central Florida, Visiting Nurse Association and Hospice of the Florida Keys, and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Senior Living, which offers unique, luxury campuses in Gainesville, as well as the metropolitan areas in Miami and Naples areas.</w:t>
      </w:r>
    </w:p>
    <w:p w14:paraId="7591C40B" w14:textId="77777777" w:rsidR="00453EB0" w:rsidRDefault="00453EB0" w:rsidP="00453EB0">
      <w:pPr>
        <w:spacing w:before="27"/>
        <w:ind w:left="520"/>
        <w:jc w:val="both"/>
        <w:rPr>
          <w:rFonts w:ascii="Segoe UI" w:eastAsia="Tahoma" w:hAnsi="Segoe UI" w:cs="Segoe UI"/>
          <w:sz w:val="16"/>
          <w:szCs w:val="16"/>
        </w:rPr>
      </w:pPr>
    </w:p>
    <w:p w14:paraId="43883B6A" w14:textId="77777777" w:rsidR="00453EB0" w:rsidRDefault="00453EB0" w:rsidP="00453EB0">
      <w:pPr>
        <w:spacing w:before="27"/>
        <w:ind w:left="520"/>
        <w:jc w:val="both"/>
        <w:rPr>
          <w:rFonts w:ascii="Segoe UI" w:eastAsia="Tahoma" w:hAnsi="Segoe UI" w:cs="Segoe UI"/>
          <w:sz w:val="16"/>
          <w:szCs w:val="16"/>
        </w:rPr>
      </w:pPr>
    </w:p>
    <w:p w14:paraId="575F4259" w14:textId="77777777" w:rsidR="00453EB0" w:rsidRDefault="00453EB0" w:rsidP="00453EB0">
      <w:pPr>
        <w:spacing w:before="27"/>
        <w:ind w:left="520"/>
        <w:jc w:val="both"/>
        <w:rPr>
          <w:rFonts w:ascii="Segoe UI" w:eastAsia="Tahoma" w:hAnsi="Segoe UI" w:cs="Segoe UI"/>
          <w:sz w:val="16"/>
          <w:szCs w:val="16"/>
        </w:rPr>
      </w:pPr>
    </w:p>
    <w:p w14:paraId="02EDE3A4" w14:textId="77777777" w:rsidR="00453EB0" w:rsidRDefault="00453EB0" w:rsidP="00453EB0">
      <w:pPr>
        <w:spacing w:before="27"/>
        <w:ind w:left="520"/>
        <w:jc w:val="both"/>
        <w:rPr>
          <w:rFonts w:ascii="Segoe UI" w:eastAsia="Tahoma" w:hAnsi="Segoe UI" w:cs="Segoe UI"/>
          <w:sz w:val="16"/>
          <w:szCs w:val="16"/>
        </w:rPr>
      </w:pPr>
    </w:p>
    <w:p w14:paraId="4C64DB08" w14:textId="77777777" w:rsidR="00453EB0" w:rsidRDefault="00453EB0" w:rsidP="00453EB0">
      <w:pPr>
        <w:spacing w:before="27"/>
        <w:ind w:left="520"/>
        <w:jc w:val="both"/>
        <w:rPr>
          <w:rFonts w:ascii="Segoe UI" w:eastAsia="Tahoma" w:hAnsi="Segoe UI" w:cs="Segoe UI"/>
          <w:sz w:val="16"/>
          <w:szCs w:val="16"/>
        </w:rPr>
      </w:pPr>
    </w:p>
    <w:p w14:paraId="5E09DC1B" w14:textId="77777777" w:rsidR="00453EB0" w:rsidRDefault="00453EB0" w:rsidP="00453EB0">
      <w:pPr>
        <w:spacing w:before="27"/>
        <w:ind w:left="520"/>
        <w:jc w:val="both"/>
        <w:rPr>
          <w:rFonts w:ascii="Segoe UI" w:eastAsia="Tahoma" w:hAnsi="Segoe UI" w:cs="Segoe UI"/>
          <w:sz w:val="16"/>
          <w:szCs w:val="16"/>
        </w:rPr>
      </w:pPr>
    </w:p>
    <w:p w14:paraId="342896B3" w14:textId="77777777" w:rsidR="00453EB0" w:rsidRDefault="00453EB0" w:rsidP="00453EB0">
      <w:pPr>
        <w:spacing w:before="27"/>
        <w:ind w:left="520"/>
        <w:jc w:val="both"/>
        <w:rPr>
          <w:rFonts w:ascii="Segoe UI" w:eastAsia="Tahoma" w:hAnsi="Segoe UI" w:cs="Segoe UI"/>
          <w:sz w:val="16"/>
          <w:szCs w:val="16"/>
        </w:rPr>
      </w:pPr>
    </w:p>
    <w:p w14:paraId="316210D2" w14:textId="77777777" w:rsidR="00453EB0" w:rsidRDefault="00453EB0" w:rsidP="00453EB0">
      <w:pPr>
        <w:spacing w:before="27"/>
        <w:ind w:left="520"/>
        <w:jc w:val="both"/>
        <w:rPr>
          <w:rFonts w:ascii="Segoe UI" w:eastAsia="Tahoma" w:hAnsi="Segoe UI" w:cs="Segoe UI"/>
          <w:sz w:val="16"/>
          <w:szCs w:val="16"/>
        </w:rPr>
      </w:pPr>
    </w:p>
    <w:p w14:paraId="28C1ADB3" w14:textId="77777777" w:rsidR="00453EB0" w:rsidRDefault="00453EB0" w:rsidP="00453EB0">
      <w:pPr>
        <w:spacing w:before="27"/>
        <w:ind w:left="520"/>
        <w:jc w:val="both"/>
        <w:rPr>
          <w:rFonts w:ascii="Segoe UI" w:eastAsia="Tahoma" w:hAnsi="Segoe UI" w:cs="Segoe UI"/>
          <w:sz w:val="16"/>
          <w:szCs w:val="16"/>
        </w:rPr>
      </w:pPr>
    </w:p>
    <w:p w14:paraId="67EFD519" w14:textId="77777777" w:rsidR="00453EB0" w:rsidRDefault="00453EB0" w:rsidP="00453EB0">
      <w:pPr>
        <w:spacing w:before="27"/>
        <w:ind w:left="520"/>
        <w:jc w:val="both"/>
        <w:rPr>
          <w:rFonts w:ascii="Segoe UI" w:eastAsia="Tahoma" w:hAnsi="Segoe UI" w:cs="Segoe UI"/>
          <w:sz w:val="16"/>
          <w:szCs w:val="16"/>
        </w:rPr>
      </w:pPr>
    </w:p>
    <w:p w14:paraId="032D6129" w14:textId="77777777" w:rsidR="00453EB0" w:rsidRDefault="00453EB0" w:rsidP="00453EB0">
      <w:pPr>
        <w:spacing w:before="27"/>
        <w:ind w:left="520"/>
        <w:jc w:val="both"/>
        <w:rPr>
          <w:rFonts w:ascii="Segoe UI" w:eastAsia="Tahoma" w:hAnsi="Segoe UI" w:cs="Segoe UI"/>
          <w:sz w:val="16"/>
          <w:szCs w:val="16"/>
        </w:rPr>
      </w:pPr>
    </w:p>
    <w:p w14:paraId="1C052665" w14:textId="77777777" w:rsidR="00453EB0" w:rsidRDefault="00453EB0" w:rsidP="00453EB0">
      <w:pPr>
        <w:spacing w:before="27"/>
        <w:ind w:left="520"/>
        <w:jc w:val="both"/>
        <w:rPr>
          <w:rFonts w:ascii="Segoe UI" w:eastAsia="Tahoma" w:hAnsi="Segoe UI" w:cs="Segoe UI"/>
          <w:sz w:val="16"/>
          <w:szCs w:val="16"/>
        </w:rPr>
      </w:pPr>
    </w:p>
    <w:p w14:paraId="3EB08469" w14:textId="77777777" w:rsidR="00453EB0" w:rsidRDefault="00453EB0" w:rsidP="00453EB0">
      <w:pPr>
        <w:spacing w:before="27"/>
        <w:ind w:left="520"/>
        <w:jc w:val="both"/>
        <w:rPr>
          <w:rFonts w:ascii="Segoe UI" w:eastAsia="Tahoma" w:hAnsi="Segoe UI" w:cs="Segoe UI"/>
          <w:sz w:val="16"/>
          <w:szCs w:val="16"/>
        </w:rPr>
      </w:pPr>
    </w:p>
    <w:p w14:paraId="3A7EC60B" w14:textId="77777777" w:rsidR="00453EB0" w:rsidRDefault="00453EB0" w:rsidP="00453EB0">
      <w:pPr>
        <w:spacing w:before="27"/>
        <w:ind w:left="520"/>
        <w:jc w:val="both"/>
        <w:rPr>
          <w:rFonts w:ascii="Segoe UI" w:eastAsia="Tahoma" w:hAnsi="Segoe UI" w:cs="Segoe UI"/>
          <w:sz w:val="16"/>
          <w:szCs w:val="16"/>
        </w:rPr>
      </w:pPr>
    </w:p>
    <w:p w14:paraId="5755AD27" w14:textId="77777777" w:rsidR="00453EB0" w:rsidRDefault="00453EB0" w:rsidP="00453EB0">
      <w:pPr>
        <w:spacing w:before="27"/>
        <w:ind w:left="520"/>
        <w:jc w:val="both"/>
        <w:rPr>
          <w:rFonts w:ascii="Segoe UI" w:eastAsia="Tahoma" w:hAnsi="Segoe UI" w:cs="Segoe UI"/>
          <w:sz w:val="16"/>
          <w:szCs w:val="16"/>
        </w:rPr>
      </w:pPr>
    </w:p>
    <w:p w14:paraId="1F0D88B5" w14:textId="77777777" w:rsidR="00453EB0" w:rsidRDefault="00453EB0" w:rsidP="00453EB0">
      <w:pPr>
        <w:spacing w:before="27"/>
        <w:ind w:left="520"/>
        <w:jc w:val="both"/>
        <w:rPr>
          <w:rFonts w:ascii="Segoe UI" w:eastAsia="Tahoma" w:hAnsi="Segoe UI" w:cs="Segoe UI"/>
          <w:sz w:val="16"/>
          <w:szCs w:val="16"/>
        </w:rPr>
      </w:pPr>
    </w:p>
    <w:p w14:paraId="3D81A315" w14:textId="77777777" w:rsidR="00453EB0" w:rsidRDefault="00453EB0" w:rsidP="00453EB0">
      <w:pPr>
        <w:spacing w:before="27"/>
        <w:ind w:left="520"/>
        <w:jc w:val="both"/>
        <w:rPr>
          <w:rFonts w:ascii="Segoe UI" w:eastAsia="Tahoma" w:hAnsi="Segoe UI" w:cs="Segoe UI"/>
          <w:sz w:val="16"/>
          <w:szCs w:val="16"/>
        </w:rPr>
      </w:pPr>
    </w:p>
    <w:p w14:paraId="6C97EEE2" w14:textId="77777777" w:rsidR="00453EB0" w:rsidRDefault="00453EB0" w:rsidP="00453EB0">
      <w:pPr>
        <w:spacing w:before="27"/>
        <w:ind w:left="520"/>
        <w:jc w:val="both"/>
        <w:rPr>
          <w:rFonts w:ascii="Segoe UI" w:eastAsia="Tahoma" w:hAnsi="Segoe UI" w:cs="Segoe UI"/>
          <w:sz w:val="16"/>
          <w:szCs w:val="16"/>
        </w:rPr>
      </w:pPr>
    </w:p>
    <w:p w14:paraId="700D4657" w14:textId="77777777" w:rsidR="00453EB0" w:rsidRDefault="00453EB0" w:rsidP="00453EB0">
      <w:pPr>
        <w:spacing w:before="27"/>
        <w:ind w:left="520"/>
        <w:jc w:val="both"/>
        <w:rPr>
          <w:rFonts w:ascii="Segoe UI" w:eastAsia="Tahoma" w:hAnsi="Segoe UI" w:cs="Segoe UI"/>
          <w:sz w:val="16"/>
          <w:szCs w:val="16"/>
        </w:rPr>
      </w:pPr>
    </w:p>
    <w:p w14:paraId="1979D729" w14:textId="77777777" w:rsidR="00C06B7E" w:rsidRDefault="00C06B7E" w:rsidP="00453EB0">
      <w:pPr>
        <w:spacing w:before="27"/>
        <w:ind w:left="520"/>
        <w:jc w:val="both"/>
        <w:rPr>
          <w:rFonts w:ascii="Segoe UI" w:eastAsia="Tahoma" w:hAnsi="Segoe UI" w:cs="Segoe UI"/>
          <w:sz w:val="16"/>
          <w:szCs w:val="16"/>
        </w:rPr>
      </w:pPr>
    </w:p>
    <w:p w14:paraId="1B232CC8" w14:textId="77777777" w:rsidR="00C06B7E" w:rsidRDefault="00C06B7E" w:rsidP="00453EB0">
      <w:pPr>
        <w:spacing w:before="27"/>
        <w:ind w:left="520"/>
        <w:jc w:val="both"/>
        <w:rPr>
          <w:rFonts w:ascii="Segoe UI" w:eastAsia="Tahoma" w:hAnsi="Segoe UI" w:cs="Segoe UI"/>
          <w:sz w:val="16"/>
          <w:szCs w:val="16"/>
        </w:rPr>
      </w:pPr>
    </w:p>
    <w:p w14:paraId="693F7181" w14:textId="77777777" w:rsidR="00C06B7E" w:rsidRDefault="00C06B7E" w:rsidP="00453EB0">
      <w:pPr>
        <w:spacing w:before="27"/>
        <w:ind w:left="520"/>
        <w:jc w:val="both"/>
        <w:rPr>
          <w:rFonts w:ascii="Segoe UI" w:eastAsia="Tahoma" w:hAnsi="Segoe UI" w:cs="Segoe UI"/>
          <w:sz w:val="16"/>
          <w:szCs w:val="16"/>
        </w:rPr>
      </w:pPr>
    </w:p>
    <w:p w14:paraId="081F5514" w14:textId="77777777" w:rsidR="00C06B7E" w:rsidRDefault="00C06B7E" w:rsidP="00453EB0">
      <w:pPr>
        <w:spacing w:before="27"/>
        <w:ind w:left="520"/>
        <w:jc w:val="both"/>
        <w:rPr>
          <w:rFonts w:ascii="Segoe UI" w:eastAsia="Tahoma" w:hAnsi="Segoe UI" w:cs="Segoe UI"/>
          <w:sz w:val="16"/>
          <w:szCs w:val="16"/>
        </w:rPr>
      </w:pPr>
    </w:p>
    <w:p w14:paraId="332AA01C" w14:textId="77777777" w:rsidR="00C06B7E" w:rsidRDefault="00C06B7E" w:rsidP="00453EB0">
      <w:pPr>
        <w:spacing w:before="27"/>
        <w:ind w:left="520"/>
        <w:jc w:val="both"/>
        <w:rPr>
          <w:rFonts w:ascii="Segoe UI" w:eastAsia="Tahoma" w:hAnsi="Segoe UI" w:cs="Segoe UI"/>
          <w:sz w:val="16"/>
          <w:szCs w:val="16"/>
        </w:rPr>
      </w:pPr>
    </w:p>
    <w:p w14:paraId="2E9A85BF" w14:textId="77777777" w:rsidR="00E00001" w:rsidRDefault="00E00001" w:rsidP="001D5161">
      <w:pPr>
        <w:spacing w:before="27"/>
        <w:jc w:val="both"/>
        <w:rPr>
          <w:rFonts w:ascii="Segoe UI" w:eastAsia="Tahoma" w:hAnsi="Segoe UI" w:cs="Segoe UI"/>
          <w:sz w:val="16"/>
          <w:szCs w:val="16"/>
        </w:rPr>
      </w:pPr>
    </w:p>
    <w:p w14:paraId="0E4C5F53" w14:textId="249CCE13" w:rsidR="00453EB0" w:rsidRPr="00101663" w:rsidRDefault="00453EB0" w:rsidP="00453EB0">
      <w:pPr>
        <w:spacing w:before="27"/>
        <w:ind w:left="520"/>
        <w:jc w:val="both"/>
        <w:rPr>
          <w:rFonts w:ascii="Segoe UI" w:eastAsia="Tahoma" w:hAnsi="Segoe UI" w:cs="Segoe UI"/>
          <w:sz w:val="16"/>
          <w:szCs w:val="16"/>
        </w:rPr>
      </w:pPr>
      <w:r w:rsidRPr="00101663">
        <w:rPr>
          <w:rFonts w:ascii="Segoe UI" w:eastAsia="Tahoma" w:hAnsi="Segoe UI" w:cs="Segoe UI"/>
          <w:sz w:val="16"/>
          <w:szCs w:val="16"/>
        </w:rPr>
        <w:t>One or more AvMed products offered in areas shaded in yellow.</w:t>
      </w:r>
    </w:p>
    <w:p w14:paraId="22F1B098" w14:textId="77777777" w:rsidR="00453EB0" w:rsidRPr="00101663" w:rsidRDefault="00453EB0" w:rsidP="00453EB0">
      <w:pPr>
        <w:tabs>
          <w:tab w:val="left" w:pos="1960"/>
        </w:tabs>
        <w:spacing w:before="93" w:line="200" w:lineRule="exact"/>
        <w:ind w:left="1040" w:right="843" w:hanging="520"/>
        <w:jc w:val="both"/>
        <w:rPr>
          <w:rFonts w:ascii="Segoe UI" w:eastAsia="Tahoma" w:hAnsi="Segoe UI" w:cs="Segoe UI"/>
          <w:sz w:val="16"/>
          <w:szCs w:val="16"/>
        </w:rPr>
      </w:pPr>
      <w:r w:rsidRPr="00101663">
        <w:rPr>
          <w:rFonts w:ascii="Segoe UI" w:eastAsia="Tahoma" w:hAnsi="Segoe UI" w:cs="Segoe UI"/>
          <w:sz w:val="16"/>
          <w:szCs w:val="16"/>
        </w:rPr>
        <w:t>**</w:t>
      </w:r>
      <w:r w:rsidRPr="00101663">
        <w:rPr>
          <w:rFonts w:ascii="Segoe UI" w:eastAsia="Tahoma" w:hAnsi="Segoe UI" w:cs="Segoe UI"/>
          <w:sz w:val="16"/>
          <w:szCs w:val="16"/>
        </w:rPr>
        <w:tab/>
        <w:t xml:space="preserve">AvMed received the highest score in Florida in the J.D. Power 2012-2018 U.S. Member Health Plan Studies of customers’ satisfaction with their </w:t>
      </w:r>
      <w:proofErr w:type="spellStart"/>
      <w:r w:rsidRPr="00101663">
        <w:rPr>
          <w:rFonts w:ascii="Segoe UI" w:eastAsia="Tahoma" w:hAnsi="Segoe UI" w:cs="Segoe UI"/>
          <w:sz w:val="16"/>
          <w:szCs w:val="16"/>
        </w:rPr>
        <w:t>commer¬cial</w:t>
      </w:r>
      <w:proofErr w:type="spellEnd"/>
      <w:r w:rsidRPr="00101663">
        <w:rPr>
          <w:rFonts w:ascii="Segoe UI" w:eastAsia="Tahoma" w:hAnsi="Segoe UI" w:cs="Segoe UI"/>
          <w:sz w:val="16"/>
          <w:szCs w:val="16"/>
        </w:rPr>
        <w:t xml:space="preserve"> health plan. Visit jdpower.com/awards.</w:t>
      </w:r>
    </w:p>
    <w:p w14:paraId="2D108EF6" w14:textId="77777777" w:rsidR="00453EB0" w:rsidRPr="00101663" w:rsidRDefault="00453EB0" w:rsidP="00453EB0">
      <w:pPr>
        <w:spacing w:before="70"/>
        <w:ind w:left="520"/>
        <w:jc w:val="both"/>
        <w:rPr>
          <w:rFonts w:ascii="Segoe UI" w:eastAsia="Tahoma" w:hAnsi="Segoe UI" w:cs="Segoe UI"/>
          <w:sz w:val="16"/>
          <w:szCs w:val="16"/>
        </w:rPr>
      </w:pPr>
      <w:r w:rsidRPr="00101663">
        <w:rPr>
          <w:rFonts w:ascii="Segoe UI" w:eastAsia="Tahoma" w:hAnsi="Segoe UI" w:cs="Segoe UI"/>
          <w:sz w:val="16"/>
          <w:szCs w:val="16"/>
        </w:rPr>
        <w:t>***     Wax Communications, 2017.</w:t>
      </w:r>
    </w:p>
    <w:p w14:paraId="6F4941BD" w14:textId="77777777" w:rsidR="00453EB0" w:rsidRPr="00101663" w:rsidRDefault="00453EB0" w:rsidP="00453EB0">
      <w:pPr>
        <w:tabs>
          <w:tab w:val="left" w:pos="1960"/>
        </w:tabs>
        <w:spacing w:before="93" w:line="200" w:lineRule="exact"/>
        <w:ind w:left="1040" w:right="892" w:hanging="520"/>
        <w:jc w:val="both"/>
        <w:rPr>
          <w:rFonts w:ascii="Segoe UI" w:eastAsia="Tahoma" w:hAnsi="Segoe UI" w:cs="Segoe UI"/>
          <w:sz w:val="16"/>
          <w:szCs w:val="16"/>
        </w:rPr>
      </w:pPr>
      <w:r w:rsidRPr="00101663">
        <w:rPr>
          <w:rFonts w:ascii="Segoe UI" w:eastAsia="Tahoma" w:hAnsi="Segoe UI" w:cs="Segoe UI"/>
          <w:sz w:val="16"/>
          <w:szCs w:val="16"/>
        </w:rPr>
        <w:t>****</w:t>
      </w:r>
      <w:r w:rsidRPr="00101663">
        <w:rPr>
          <w:rFonts w:ascii="Segoe UI" w:eastAsia="Tahoma" w:hAnsi="Segoe UI" w:cs="Segoe UI"/>
          <w:sz w:val="16"/>
          <w:szCs w:val="16"/>
        </w:rPr>
        <w:tab/>
        <w:t>Highest overall rating of statewide plans reporting Health Maintenance Organization (HMO) and Point of Service (POS) product data to the National Committee for Quality Assurance (NCQA) for the Consumer Assessment of Healthcare Providers and Systems (CAHPS), CAHPS® is a registered trademark of the Agency of Healthcare Research and Quality (AHRQ).</w:t>
      </w:r>
    </w:p>
    <w:p w14:paraId="686BEFB6" w14:textId="77777777" w:rsidR="00453EB0" w:rsidRPr="00101663" w:rsidRDefault="00453EB0" w:rsidP="00453EB0">
      <w:pPr>
        <w:spacing w:before="70"/>
        <w:ind w:left="520"/>
        <w:jc w:val="both"/>
        <w:rPr>
          <w:rFonts w:ascii="Segoe UI" w:eastAsia="Tahoma" w:hAnsi="Segoe UI" w:cs="Segoe UI"/>
          <w:sz w:val="16"/>
          <w:szCs w:val="16"/>
        </w:rPr>
      </w:pPr>
      <w:r w:rsidRPr="00101663">
        <w:rPr>
          <w:rFonts w:ascii="Segoe UI" w:eastAsia="Tahoma" w:hAnsi="Segoe UI" w:cs="Segoe UI"/>
          <w:sz w:val="16"/>
          <w:szCs w:val="16"/>
        </w:rPr>
        <w:t>*****   HEDIS</w:t>
      </w:r>
      <w:r w:rsidRPr="00101663">
        <w:rPr>
          <w:rFonts w:ascii="Segoe UI" w:eastAsia="Tahoma" w:hAnsi="Segoe UI" w:cs="Segoe UI"/>
          <w:w w:val="104"/>
          <w:position w:val="6"/>
          <w:sz w:val="16"/>
          <w:szCs w:val="16"/>
        </w:rPr>
        <w:t>®</w:t>
      </w:r>
      <w:r w:rsidRPr="00101663">
        <w:rPr>
          <w:rFonts w:ascii="Segoe UI" w:eastAsia="Tahoma" w:hAnsi="Segoe UI" w:cs="Segoe UI"/>
          <w:position w:val="6"/>
          <w:sz w:val="16"/>
          <w:szCs w:val="16"/>
        </w:rPr>
        <w:t xml:space="preserve"> </w:t>
      </w:r>
      <w:r w:rsidRPr="00101663">
        <w:rPr>
          <w:rFonts w:ascii="Segoe UI" w:eastAsia="Tahoma" w:hAnsi="Segoe UI" w:cs="Segoe UI"/>
          <w:sz w:val="16"/>
          <w:szCs w:val="16"/>
        </w:rPr>
        <w:t>is a registered trademark of the National Committee for Quality Assurance (NCQA).</w:t>
      </w:r>
    </w:p>
    <w:p w14:paraId="0FD8034B" w14:textId="77777777" w:rsidR="00453EB0" w:rsidRDefault="00453EB0" w:rsidP="00453EB0">
      <w:pPr>
        <w:spacing w:before="72" w:line="200" w:lineRule="exact"/>
        <w:ind w:left="520"/>
        <w:jc w:val="both"/>
        <w:rPr>
          <w:rFonts w:ascii="Tahoma" w:eastAsia="Tahoma" w:hAnsi="Tahoma" w:cs="Tahoma"/>
          <w:sz w:val="18"/>
          <w:szCs w:val="18"/>
        </w:rPr>
      </w:pPr>
      <w:r w:rsidRPr="00101663">
        <w:rPr>
          <w:rFonts w:ascii="Segoe UI" w:eastAsia="Tahoma" w:hAnsi="Segoe UI" w:cs="Segoe UI"/>
          <w:position w:val="-1"/>
          <w:sz w:val="16"/>
          <w:szCs w:val="16"/>
        </w:rPr>
        <w:t>****** Medicare evaluates plans based on a 5-star rating system. Star ratings are calculated each year and may change from one year to the next.</w:t>
      </w:r>
    </w:p>
    <w:p w14:paraId="6D03167B" w14:textId="77777777" w:rsidR="00453EB0" w:rsidRDefault="00453EB0" w:rsidP="00453EB0">
      <w:pPr>
        <w:spacing w:before="3" w:line="120" w:lineRule="exact"/>
        <w:rPr>
          <w:sz w:val="13"/>
          <w:szCs w:val="13"/>
        </w:rPr>
      </w:pPr>
    </w:p>
    <w:p w14:paraId="2A825C67" w14:textId="77777777" w:rsidR="00453EB0" w:rsidRPr="00101663" w:rsidRDefault="00453EB0" w:rsidP="00453EB0">
      <w:pPr>
        <w:ind w:right="720"/>
        <w:jc w:val="right"/>
        <w:rPr>
          <w:rFonts w:ascii="Segoe UI" w:eastAsia="Tahoma" w:hAnsi="Segoe UI" w:cs="Segoe UI"/>
          <w:sz w:val="16"/>
          <w:szCs w:val="16"/>
        </w:rPr>
      </w:pPr>
      <w:r w:rsidRPr="00101663">
        <w:rPr>
          <w:rFonts w:ascii="Segoe UI" w:eastAsia="Tahoma" w:hAnsi="Segoe UI" w:cs="Segoe UI"/>
          <w:sz w:val="16"/>
          <w:szCs w:val="16"/>
        </w:rPr>
        <w:t>MP-5696 (07/18)</w:t>
      </w:r>
    </w:p>
    <w:p w14:paraId="46095371" w14:textId="77777777" w:rsidR="00453EB0" w:rsidRDefault="00453EB0" w:rsidP="00576974">
      <w:pPr>
        <w:spacing w:after="160" w:line="259" w:lineRule="auto"/>
        <w:sectPr w:rsidR="00453EB0" w:rsidSect="00C06B7E">
          <w:headerReference w:type="default" r:id="rId16"/>
          <w:headerReference w:type="first" r:id="rId17"/>
          <w:pgSz w:w="12240" w:h="15840"/>
          <w:pgMar w:top="0" w:right="720" w:bottom="280" w:left="720" w:header="0" w:footer="720" w:gutter="0"/>
          <w:cols w:space="720"/>
          <w:docGrid w:linePitch="272"/>
        </w:sectPr>
      </w:pPr>
    </w:p>
    <w:p w14:paraId="038C8654" w14:textId="0560968B" w:rsidR="00C06B7E" w:rsidRPr="005167AF" w:rsidRDefault="00D0166D" w:rsidP="005167AF">
      <w:pPr>
        <w:rPr>
          <w:b/>
        </w:rPr>
      </w:pPr>
      <w:r w:rsidRPr="00FE69B4">
        <w:rPr>
          <w:b/>
        </w:rPr>
        <w:lastRenderedPageBreak/>
        <w:t>Key Benefits for your Plan:</w:t>
      </w:r>
      <w:r w:rsidR="00FE69B4">
        <w:rPr>
          <w:b/>
        </w:rPr>
        <w:t xml:space="preserve"> </w:t>
      </w:r>
      <w:r>
        <w:rPr>
          <w:b/>
        </w:rPr>
        <w:t>Agility LS300-SG17</w:t>
      </w:r>
    </w:p>
    <w:p w14:paraId="27FD2612" w14:textId="35AA44BA" w:rsidR="00C06B7E" w:rsidRPr="00C06B7E" w:rsidRDefault="00C06B7E" w:rsidP="00C06B7E"/>
    <w:tbl>
      <w:tblPr>
        <w:tblStyle w:val="GridTable4-Accent4"/>
        <w:tblW w:w="0" w:type="auto"/>
        <w:tblLook w:val="04A0" w:firstRow="1" w:lastRow="0" w:firstColumn="1" w:lastColumn="0" w:noHBand="0" w:noVBand="1"/>
      </w:tblPr>
      <w:tblGrid>
        <w:gridCol w:w="3596"/>
        <w:gridCol w:w="3597"/>
        <w:gridCol w:w="3597"/>
      </w:tblGrid>
      <w:tr w:rsidR="005167AF" w14:paraId="5D0E854E" w14:textId="77777777" w:rsidTr="00516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431BBE9E" w14:textId="5C49AF8B" w:rsidR="005167AF" w:rsidRDefault="005167AF" w:rsidP="00C06B7E">
            <w:r w:rsidRPr="00907FF5">
              <w:rPr>
                <w:rFonts w:ascii="Arial Narrow" w:hAnsi="Arial Narrow" w:cs="Calibri"/>
                <w:color w:val="000000"/>
                <w:sz w:val="22"/>
                <w:szCs w:val="22"/>
              </w:rPr>
              <w:t>Benefit</w:t>
            </w:r>
          </w:p>
        </w:tc>
        <w:tc>
          <w:tcPr>
            <w:tcW w:w="3597" w:type="dxa"/>
          </w:tcPr>
          <w:p w14:paraId="1A6C79AF" w14:textId="3772C2F3" w:rsidR="005167AF" w:rsidRDefault="005167AF" w:rsidP="00C06B7E">
            <w:pPr>
              <w:cnfStyle w:val="100000000000" w:firstRow="1" w:lastRow="0" w:firstColumn="0" w:lastColumn="0" w:oddVBand="0" w:evenVBand="0" w:oddHBand="0" w:evenHBand="0" w:firstRowFirstColumn="0" w:firstRowLastColumn="0" w:lastRowFirstColumn="0" w:lastRowLastColumn="0"/>
            </w:pPr>
            <w:r w:rsidRPr="00907FF5">
              <w:rPr>
                <w:rFonts w:ascii="Arial Narrow" w:hAnsi="Arial Narrow" w:cs="Calibri"/>
                <w:color w:val="000000"/>
                <w:sz w:val="22"/>
                <w:szCs w:val="22"/>
              </w:rPr>
              <w:t>AvMed Network Provider</w:t>
            </w:r>
          </w:p>
        </w:tc>
        <w:tc>
          <w:tcPr>
            <w:tcW w:w="3597" w:type="dxa"/>
          </w:tcPr>
          <w:p w14:paraId="4E84F096" w14:textId="5354DA34" w:rsidR="005167AF" w:rsidRDefault="005167AF" w:rsidP="00C06B7E">
            <w:pPr>
              <w:cnfStyle w:val="100000000000" w:firstRow="1" w:lastRow="0" w:firstColumn="0" w:lastColumn="0" w:oddVBand="0" w:evenVBand="0" w:oddHBand="0" w:evenHBand="0" w:firstRowFirstColumn="0" w:firstRowLastColumn="0" w:lastRowFirstColumn="0" w:lastRowLastColumn="0"/>
            </w:pPr>
            <w:r w:rsidRPr="00907FF5">
              <w:rPr>
                <w:rFonts w:ascii="Arial Narrow" w:hAnsi="Arial Narrow" w:cs="Calibri"/>
                <w:color w:val="000000"/>
                <w:sz w:val="22"/>
                <w:szCs w:val="22"/>
              </w:rPr>
              <w:t>Out-of-network Provider</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Coinsurance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0%</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Deductible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$2,500 individual/$5,000 family Doesn't apply to preventive care</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$7,500 individual/$15,000 family Doesn't apply to preventive care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Other Deductible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$65 per child for Pediatric Dental. Doesn’t apply to overall deductible. There are no other specific deductibles.</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Not Applicable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Out of Pocket Max (Includes Deductible)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$6,800 individual/$13,600 family. Pediatric Dental is limited to $350 per child, or $700 for 2 or more children.</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$20,400 individual/$40,800 family. Pediatric Dental is limited to $350 per child, or $700 for 2 or more children.</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PCP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No charge for first non-preventive visit; $35 copay/ visit thereafter</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Specialist Cost Share (No Referral Needed)</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$75 copay/ visit</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Inpatient Hospital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$750 copay/day for the first 3 days per admission, after deductible</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ER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$600 copay/ visit</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Same as AvMed Network</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Urgent Care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$125 copay/ visit at urgent care facilities; $35 copay/ visit at retail clinics</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 at urgent care facilities or retail clinics</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Outpatient Surgery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$500 copay/ visit at independent facilities; $1000 copay/ visit after deductible at all other facilities</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Imaging Tests (CT / PET scans / MRI's)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$350 copay/ visit at independent facilities; $1,000 copay/ visit after deductible at all other facilities</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Drug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Generic - $25 copay (retail)/ $62.50 copay (mail order) Preferred Brand - $55 copay (retail)/ $137.50 copay (mail order) Non-Preferred Brand - $95 copay (retail)/ $237.50 copay (mail order) Specialty - 50% coinsurance after deductible (retail only)</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Not Covered</w:t>
            </w:r>
          </w:p>
        </w:tc>
      </w:tr>
    </w:tbl>
    <w:p w14:paraId="601B5249" w14:textId="133095A3" w:rsidR="00C06B7E" w:rsidRPr="00C06B7E" w:rsidRDefault="00C06B7E" w:rsidP="00C06B7E"/>
    <w:p w14:paraId="49E93CE5" w14:textId="13D1FD41" w:rsidR="00C06B7E" w:rsidRPr="00C06B7E" w:rsidRDefault="00C06B7E" w:rsidP="00C06B7E"/>
    <w:p w14:paraId="4FAD8C2D" w14:textId="34DFA4AA" w:rsidR="00C06B7E" w:rsidRDefault="00124A95" w:rsidP="00124A95">
      <w:pPr>
        <w:spacing w:after="160" w:line="259" w:lineRule="auto"/>
      </w:pPr>
      <w:r>
        <w:br w:type="page"/>
      </w:r>
    </w:p>
    <w:p w14:paraId="4F9B4F96" w14:textId="02BCEA60" w:rsidR="00C06B7E" w:rsidRPr="00124A95" w:rsidRDefault="00124A95" w:rsidP="00124A95">
      <w:pPr>
        <w:rPr>
          <w:rFonts w:ascii="Segoe UI" w:hAnsi="Segoe UI" w:cs="Segoe UI"/>
          <w:b/>
          <w:sz w:val="24"/>
          <w:szCs w:val="24"/>
        </w:rPr>
      </w:pPr>
      <w:r w:rsidRPr="00124A95">
        <w:rPr>
          <w:rFonts w:ascii="Segoe UI" w:hAnsi="Segoe UI" w:cs="Segoe UI"/>
          <w:b/>
          <w:sz w:val="24"/>
          <w:szCs w:val="24"/>
        </w:rPr>
        <w:lastRenderedPageBreak/>
        <w:t>Census</w:t>
      </w:r>
    </w:p>
    <w:tbl>
      <w:tblPr>
        <w:tblStyle w:val="GridTable4-Accent4"/>
        <w:tblW w:w="5000" w:type="pct"/>
        <w:tblLook w:val="04A0" w:firstRow="1" w:lastRow="0" w:firstColumn="1" w:lastColumn="0" w:noHBand="0" w:noVBand="1"/>
      </w:tblPr>
      <w:tblGrid>
        <w:gridCol w:w="2159"/>
        <w:gridCol w:w="2481"/>
        <w:gridCol w:w="1834"/>
        <w:gridCol w:w="2158"/>
        <w:gridCol w:w="2158"/>
      </w:tblGrid>
      <w:tr w:rsidR="00124A95" w14:paraId="5E14C29E" w14:textId="77777777" w:rsidTr="00124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2AF6186" w14:textId="67073410" w:rsidR="00124A95" w:rsidRPr="00124A95" w:rsidRDefault="00124A95" w:rsidP="00124A95">
            <w:pPr>
              <w:rPr>
                <w:rFonts w:ascii="Segoe UI" w:hAnsi="Segoe UI" w:cs="Segoe UI"/>
                <w:color w:val="auto"/>
              </w:rPr>
            </w:pPr>
            <w:r>
              <w:rPr>
                <w:rFonts w:ascii="Segoe UI" w:hAnsi="Segoe UI" w:cs="Segoe UI"/>
                <w:color w:val="auto"/>
              </w:rPr>
              <w:t>Employee Name</w:t>
            </w:r>
          </w:p>
        </w:tc>
        <w:tc>
          <w:tcPr>
            <w:tcW w:w="1149" w:type="pct"/>
          </w:tcPr>
          <w:p w14:paraId="2D3D2AB2" w14:textId="7E7FCB86"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Employee Number</w:t>
            </w:r>
          </w:p>
        </w:tc>
        <w:tc>
          <w:tcPr>
            <w:tcW w:w="850" w:type="pct"/>
          </w:tcPr>
          <w:p w14:paraId="1E9BCBE1" w14:textId="7E0861AC"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Date of Birth</w:t>
            </w:r>
          </w:p>
        </w:tc>
        <w:tc>
          <w:tcPr>
            <w:tcW w:w="1000" w:type="pct"/>
          </w:tcPr>
          <w:p w14:paraId="59E928B7" w14:textId="7442E718"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 of Dependents</w:t>
            </w:r>
          </w:p>
        </w:tc>
        <w:tc>
          <w:tcPr>
            <w:tcW w:w="1000" w:type="pct"/>
          </w:tcPr>
          <w:p w14:paraId="60CBD43D" w14:textId="7EC0A6D1"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Family Rate</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Mark Levingston</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A001</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11/12/1983</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2</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$1,150</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Fred Therou</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A002</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03/04/1989</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$780</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Henry Davidson</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A003</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11/12/1983</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2</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$830</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Bruce Campbell</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A004</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05/04/1983</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0</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$390</w:t>
            </w:r>
          </w:p>
        </w:tc>
      </w:tr>
    </w:tbl>
    <w:p w14:paraId="24780579" w14:textId="211ADA2C" w:rsidR="00124A95" w:rsidRDefault="00124A95" w:rsidP="00124A95"/>
    <w:p w14:paraId="1E308C73" w14:textId="23226849" w:rsidR="00124A95" w:rsidRDefault="00124A95" w:rsidP="00124A95">
      <w:r>
        <w:t xml:space="preserve">Rating </w:t>
      </w:r>
      <w:proofErr w:type="gramStart"/>
      <w:r>
        <w:t>Method :</w:t>
      </w:r>
      <w:proofErr w:type="gramEnd"/>
      <w:r>
        <w:t xml:space="preserve"> Member Level Rating</w:t>
      </w:r>
    </w:p>
    <w:tbl>
      <w:tblPr>
        <w:tblStyle w:val="ListTable4-Accent4"/>
        <w:tblW w:w="0" w:type="auto"/>
        <w:tblLook w:val="04A0" w:firstRow="1" w:lastRow="0" w:firstColumn="1" w:lastColumn="0" w:noHBand="0" w:noVBand="1"/>
      </w:tblPr>
      <w:tblGrid>
        <w:gridCol w:w="10790"/>
      </w:tblGrid>
      <w:tr w:rsidR="00124A95" w14:paraId="7D68A188" w14:textId="77777777" w:rsidTr="00124A95">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0790" w:type="dxa"/>
          </w:tcPr>
          <w:p w14:paraId="5DBAFA85" w14:textId="77777777" w:rsidR="00124A95" w:rsidRDefault="00124A95" w:rsidP="00124A95">
            <w:pPr>
              <w:rPr>
                <w:b w:val="0"/>
                <w:bCs w:val="0"/>
              </w:rPr>
            </w:pPr>
          </w:p>
          <w:p w14:paraId="530EE4B4" w14:textId="64CE6CB0" w:rsidR="00124A95" w:rsidRPr="00124A95" w:rsidRDefault="00124A95" w:rsidP="00124A95">
            <w:pPr>
              <w:rPr>
                <w:color w:val="auto"/>
              </w:rPr>
            </w:pPr>
            <w:r>
              <w:rPr>
                <w:color w:val="auto"/>
              </w:rPr>
              <w:t xml:space="preserve">Monthly Premium </w:t>
            </w:r>
            <w:proofErr w:type="gramStart"/>
            <w:r>
              <w:rPr>
                <w:color w:val="auto"/>
              </w:rPr>
              <w:t>Rate :</w:t>
            </w:r>
            <w:proofErr w:type="gramEnd"/>
            <w:r>
              <w:rPr>
                <w:color w:val="auto"/>
              </w:rPr>
              <w:t xml:space="preserve"> </w:t>
            </w:r>
            <w:r>
              <w:rPr>
                <w:color w:val="auto"/>
              </w:rPr>
              <w:t>$4,300</w:t>
            </w:r>
          </w:p>
        </w:tc>
      </w:tr>
    </w:tbl>
    <w:p w14:paraId="7A077FFF" w14:textId="487DEAC4" w:rsidR="00124A95" w:rsidRDefault="00124A95" w:rsidP="00124A95"/>
    <w:p w14:paraId="4741663A" w14:textId="77777777" w:rsidR="00124A95" w:rsidRPr="00124A95" w:rsidRDefault="00124A95" w:rsidP="00124A95">
      <w:pPr>
        <w:rPr>
          <w:rFonts w:ascii="Segoe UI" w:hAnsi="Segoe UI" w:cs="Segoe UI"/>
        </w:rPr>
      </w:pPr>
      <w:r w:rsidRPr="00124A95">
        <w:rPr>
          <w:rFonts w:ascii="Segoe UI" w:hAnsi="Segoe UI" w:cs="Segoe UI"/>
        </w:rPr>
        <w:t>Pediatric dental coverage is a required Essential Health Benefit under the Affordable Care Act. AvMed has entered into an alliance with Delta Dental Insurance Company to provide the required coverage under the Delta Dental PPOSM Pediatric Basic Plan. Pediatric dental benefits are included in your monthly premium and cannot be waived or omitted from your policy.</w:t>
      </w:r>
    </w:p>
    <w:p w14:paraId="21A445AF" w14:textId="779C2608" w:rsidR="00124A95" w:rsidRDefault="00124A95" w:rsidP="00124A95">
      <w:pPr>
        <w:rPr>
          <w:rFonts w:ascii="Segoe UI" w:hAnsi="Segoe UI" w:cs="Segoe UI"/>
        </w:rPr>
      </w:pPr>
      <w:r w:rsidRPr="00124A95">
        <w:rPr>
          <w:rFonts w:ascii="Segoe UI" w:hAnsi="Segoe UI" w:cs="Segoe UI"/>
        </w:rPr>
        <w:t xml:space="preserve">For specific plan details, please refer to the Summary of Benefits and Coverage (SBC) of each plan design at </w:t>
      </w:r>
      <w:r w:rsidRPr="00124A95">
        <w:rPr>
          <w:rFonts w:ascii="Segoe UI" w:hAnsi="Segoe UI" w:cs="Segoe UI"/>
          <w:u w:val="single"/>
        </w:rPr>
        <w:t>www.avmed.org</w:t>
      </w:r>
      <w:r w:rsidRPr="00124A95">
        <w:rPr>
          <w:rFonts w:ascii="Segoe UI" w:hAnsi="Segoe UI" w:cs="Segoe UI"/>
        </w:rPr>
        <w:t>.  For questions, please contact your independent agent or AvMed at 1-800-835-6131.</w:t>
      </w:r>
    </w:p>
    <w:p w14:paraId="3C6BF5CC" w14:textId="14C15460" w:rsidR="00124A95" w:rsidRDefault="00124A95">
      <w:pPr>
        <w:spacing w:after="160" w:line="259" w:lineRule="auto"/>
        <w:rPr>
          <w:rFonts w:ascii="Segoe UI" w:hAnsi="Segoe UI" w:cs="Segoe UI"/>
        </w:rPr>
      </w:pPr>
      <w:r>
        <w:rPr>
          <w:rFonts w:ascii="Segoe UI" w:hAnsi="Segoe UI" w:cs="Segoe UI"/>
        </w:rPr>
        <w:br w:type="page"/>
      </w:r>
    </w:p>
    <w:p w14:paraId="4E4E4050" w14:textId="2965AD51" w:rsidR="00F5168C" w:rsidRDefault="00F5168C" w:rsidP="00124A95">
      <w:pPr>
        <w:rPr>
          <w:rFonts w:ascii="Segoe UI" w:hAnsi="Segoe UI" w:cs="Segoe UI"/>
          <w:b/>
          <w:u w:val="single"/>
        </w:rPr>
      </w:pPr>
      <w:r w:rsidRPr="00F5168C">
        <w:rPr>
          <w:rFonts w:ascii="Segoe UI" w:hAnsi="Segoe UI" w:cs="Segoe UI"/>
          <w:b/>
          <w:u w:val="single"/>
        </w:rPr>
        <w:lastRenderedPageBreak/>
        <w:t>Small Group Underwriting Assumptions &amp; Caveats</w:t>
      </w:r>
    </w:p>
    <w:p w14:paraId="3CB6BBD1" w14:textId="77777777" w:rsidR="00F5168C" w:rsidRPr="00F5168C" w:rsidRDefault="00F5168C" w:rsidP="00124A95">
      <w:pPr>
        <w:rPr>
          <w:rFonts w:ascii="Segoe UI" w:hAnsi="Segoe UI" w:cs="Segoe UI"/>
          <w:b/>
          <w:u w:val="single"/>
        </w:rPr>
      </w:pPr>
    </w:p>
    <w:p w14:paraId="2427B77B"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To be eligible for these rates and benefits all employers must: 1) have its principal place of business in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w:t>
      </w:r>
      <w:proofErr w:type="gramStart"/>
      <w:r w:rsidRPr="00BC7B23">
        <w:rPr>
          <w:rFonts w:ascii="Segoe UI" w:hAnsi="Segoe UI" w:cs="Segoe UI"/>
          <w:sz w:val="16"/>
          <w:szCs w:val="16"/>
        </w:rPr>
        <w:t>Area  2</w:t>
      </w:r>
      <w:proofErr w:type="gramEnd"/>
      <w:r w:rsidRPr="00BC7B23">
        <w:rPr>
          <w:rFonts w:ascii="Segoe UI" w:hAnsi="Segoe UI" w:cs="Segoe UI"/>
          <w:sz w:val="16"/>
          <w:szCs w:val="16"/>
        </w:rPr>
        <w:t xml:space="preserve">) have employed an average of at least 1 but not more than 50 employees on business days during the preceding calendar year, and  3) employ at least 1 employee on the first day of the plan year.  For details on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Area, visit www.avmed.org.  NOTE: The Engage and Empower products are only available in select counties within our service area.  Please contact your service representative for details.</w:t>
      </w:r>
    </w:p>
    <w:p w14:paraId="34BBA6C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These rates are valid for total replacement coverage and include a standard commission schedule. Rates based on an Average Enrollee Amount require 10 or more Subscribers (excluding Cobra qualified beneficiaries) to enroll; otherwise, Per-Member rates will be issued.</w:t>
      </w:r>
    </w:p>
    <w:p w14:paraId="550F6CDA" w14:textId="4BCFBD23"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Eligible employers must have, and be willing to prove, the existence of an employer/employee relationship.  Companies that consist of only a sole owner, or a sole owner and a spouse who is not employed at the company, do not meet the definition of employer or employee under ERISA, and are therefore ineligible for group coverage.</w:t>
      </w:r>
    </w:p>
    <w:p w14:paraId="7AF5BE4E"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Eligible employees are those employees that are permanent and work on a full-time basis with a normal workweek of at least 25 hours, that live or work in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Area, and that have met any authorized waiting period requirements. Part-time, temporary or substitute employees are not eligible for coverage under this plan. Coverage must be extended to all employees meeting the underlying conditions. Management carve-outs are not permitted.</w:t>
      </w:r>
    </w:p>
    <w:p w14:paraId="6B7E818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The employer must contribute a minimum of 50% toward the single premium rate.</w:t>
      </w:r>
    </w:p>
    <w:p w14:paraId="0A0E9B36"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If the employer pays 100% of the single premium rate, 100% of all eligible employees must have coverage through AvMed or through qualifying existing coverage. Otherwise, at least 70% of all eligible employees (less those with qualifying other coverage) must enroll in an AvMed product offering.  Qualifying other coverage is defined as:  Coverage through a spouse’s employer-based group insurance plan or an ERISA qualified self-insurance plan, Medicare, Medicaid, Individual coverage, CHAMPUS, CHAMPVA or Tri-Care.</w:t>
      </w:r>
    </w:p>
    <w:p w14:paraId="40B42E06"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Groups that are not able to meet the minimum participation or employer contribution requirement may apply for coverage during an annual enrollment period from November 15 through December 15 of the preceding year for a January 1 Effective Date.</w:t>
      </w:r>
    </w:p>
    <w:p w14:paraId="1BF627C3"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1099 eligibility will be limited to those groups where the number of 1099 eligible employees does not exceed 25% of the total eligible population (i.e. W-2 and 1099 combined).</w:t>
      </w:r>
    </w:p>
    <w:p w14:paraId="11620333"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COBRA qualified beneficiaries are not included when determining group size, group participation, or whether the group meets the minimum size requirements for Average-Enrollee amount rating.</w:t>
      </w:r>
    </w:p>
    <w:p w14:paraId="17E2BC41"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This proposal assumes a waiting period of no longer than the first of the month following 60 days from date of hire.  In addition, the group’s waiting period must be applied uniformly to all employees.</w:t>
      </w:r>
    </w:p>
    <w:p w14:paraId="6DA37DCF"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Final rates and benefits are guaranteed for 12 months from the proposed effective date.  However, AvMed reserves the right to adjust (re-rate) the Premium Rates during the Contract Year to account for material changes in group size or in the data supplied by the Subscribing Group to AvMed.</w:t>
      </w:r>
    </w:p>
    <w:p w14:paraId="2D888B7F"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Additional documentation may be required to verify compliance with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underwriting requirements.</w:t>
      </w:r>
    </w:p>
    <w:p w14:paraId="136D9DF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Current group coverage should not be cancelled until written confirmation of acceptance of coverage by AvMed is received. Renewal rates will be provided to the Subscribing Group, or their appointed representative, at least 30 days in advance of the Subscribing Group’s anniversary date, unless there is a reduction in benefits.  In instances where there is an increase in a copayment, deletion, amendment, or limitation of any of the Subscribing Group’s contracted benefits, at least a </w:t>
      </w:r>
      <w:proofErr w:type="gramStart"/>
      <w:r w:rsidRPr="00BC7B23">
        <w:rPr>
          <w:rFonts w:ascii="Segoe UI" w:hAnsi="Segoe UI" w:cs="Segoe UI"/>
          <w:sz w:val="16"/>
          <w:szCs w:val="16"/>
        </w:rPr>
        <w:t>45 day</w:t>
      </w:r>
      <w:proofErr w:type="gramEnd"/>
      <w:r w:rsidRPr="00BC7B23">
        <w:rPr>
          <w:rFonts w:ascii="Segoe UI" w:hAnsi="Segoe UI" w:cs="Segoe UI"/>
          <w:sz w:val="16"/>
          <w:szCs w:val="16"/>
        </w:rPr>
        <w:t xml:space="preserve"> advance notice will be provided.  This notification requirement does not apply in instances where an increase in benefits occurs. Additionally, the 45-day notice requirement shall not apply if benefits are amended, deleted, or limited at the request of the contract holder. The Subscribing Group will in turn notify the individual members of the group, and AvMed will be deemed to have complied with its notification requirements by providing such notice to the Subscribing Group, or their appointed representative.</w:t>
      </w:r>
    </w:p>
    <w:p w14:paraId="75878A4A"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AvMed has made every effort to ensure the accuracy of the information provided, but given the continuous improvements and ongoing development of our products and services, no warranty is made that the information provided is error-free.  In addition, the information provided is limited in nature and may not contain all applicable terms, conditions, limitations, or exclusions of the products and services referenced.</w:t>
      </w:r>
    </w:p>
    <w:p w14:paraId="57CEA25E" w14:textId="1212C7CC" w:rsidR="00124A95"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Multi-Option Guidelines: o Multi-Option Coverage is only available on an exclusive, total-replacement basis. o All plan option offerings must be made available to ALL eligible employees. o At least one "Active" employee must enroll in each plan offering (plans with COBRA-only enrollment are prohibited), and at least one Subscriber must be maintained in each plan in order for the group to renew under a multi-option offering. o Dual-Option is only available to groups with four or more enrolled Active employees. o Triple-Option is only available to groups with fifteen or more enrolled Active employees.</w:t>
      </w:r>
    </w:p>
    <w:sectPr w:rsidR="00124A95" w:rsidRPr="00BC7B23" w:rsidSect="00C06B7E">
      <w:headerReference w:type="default" r:id="rId18"/>
      <w:headerReference w:type="first" r:id="rId19"/>
      <w:pgSz w:w="12240" w:h="15840"/>
      <w:pgMar w:top="0" w:right="720" w:bottom="280" w:left="72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126DE" w14:textId="77777777" w:rsidR="007944C4" w:rsidRDefault="007944C4">
      <w:r>
        <w:separator/>
      </w:r>
    </w:p>
  </w:endnote>
  <w:endnote w:type="continuationSeparator" w:id="0">
    <w:p w14:paraId="4E65364A" w14:textId="77777777" w:rsidR="007944C4" w:rsidRDefault="0079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vantGarde Bk BT">
    <w:altName w:val="Century Gothic"/>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988224"/>
      <w:docPartObj>
        <w:docPartGallery w:val="Page Numbers (Bottom of Page)"/>
        <w:docPartUnique/>
      </w:docPartObj>
    </w:sdtPr>
    <w:sdtEndPr>
      <w:rPr>
        <w:noProof/>
      </w:rPr>
    </w:sdtEndPr>
    <w:sdtContent>
      <w:p w14:paraId="7639E0D5" w14:textId="53248514" w:rsidR="00F5168C" w:rsidRDefault="00F516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2834FC" w14:textId="77777777" w:rsidR="00F5168C" w:rsidRDefault="00F5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B025B" w14:textId="77777777" w:rsidR="00C32A3A" w:rsidRPr="007A0C35" w:rsidRDefault="007944C4" w:rsidP="007A0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F0E20" w14:textId="77777777" w:rsidR="007944C4" w:rsidRDefault="007944C4">
      <w:r>
        <w:separator/>
      </w:r>
    </w:p>
  </w:footnote>
  <w:footnote w:type="continuationSeparator" w:id="0">
    <w:p w14:paraId="7570D10B" w14:textId="77777777" w:rsidR="007944C4" w:rsidRDefault="00794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31E3E" w14:textId="650D6594" w:rsidR="00576974" w:rsidRDefault="00576974" w:rsidP="00DF451C">
    <w:pPr>
      <w:pStyle w:val="Header"/>
    </w:pPr>
    <w:r>
      <w:rPr>
        <w:noProof/>
      </w:rPr>
      <w:drawing>
        <wp:anchor distT="0" distB="0" distL="114300" distR="114300" simplePos="0" relativeHeight="251659264" behindDoc="1" locked="0" layoutInCell="1" allowOverlap="1" wp14:anchorId="4DFEB89B" wp14:editId="3A70834B">
          <wp:simplePos x="0" y="0"/>
          <wp:positionH relativeFrom="page">
            <wp:align>left</wp:align>
          </wp:positionH>
          <wp:positionV relativeFrom="paragraph">
            <wp:posOffset>156845</wp:posOffset>
          </wp:positionV>
          <wp:extent cx="8232775" cy="2905125"/>
          <wp:effectExtent l="0" t="0" r="0" b="9525"/>
          <wp:wrapTight wrapText="bothSides">
            <wp:wrapPolygon edited="0">
              <wp:start x="0" y="0"/>
              <wp:lineTo x="0" y="21529"/>
              <wp:lineTo x="21542" y="21529"/>
              <wp:lineTo x="2154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232775" cy="290512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4B5B8" w14:textId="306C7A45" w:rsidR="00C06B7E" w:rsidRDefault="00C06B7E">
    <w:r>
      <w:rPr>
        <w:noProof/>
      </w:rPr>
      <w:drawing>
        <wp:inline distT="0" distB="0" distL="0" distR="0" wp14:anchorId="4C9B6409" wp14:editId="0059853D">
          <wp:extent cx="2449830" cy="549664"/>
          <wp:effectExtent l="0" t="0" r="7620" b="3175"/>
          <wp:docPr id="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bl>
    <w:tblPr>
      <w:tblW w:w="10800" w:type="dxa"/>
      <w:tblBorders>
        <w:bottom w:val="single" w:sz="12" w:space="0" w:color="auto"/>
      </w:tblBorders>
      <w:tblLook w:val="04A0" w:firstRow="1" w:lastRow="0" w:firstColumn="1" w:lastColumn="0" w:noHBand="0" w:noVBand="1"/>
    </w:tblPr>
    <w:tblGrid>
      <w:gridCol w:w="4149"/>
      <w:gridCol w:w="2335"/>
      <w:gridCol w:w="4316"/>
    </w:tblGrid>
    <w:tr w:rsidR="00C06B7E" w14:paraId="5247DF47" w14:textId="77777777" w:rsidTr="00C06B7E">
      <w:tc>
        <w:tcPr>
          <w:tcW w:w="6484" w:type="dxa"/>
          <w:gridSpan w:val="2"/>
          <w:shd w:val="clear" w:color="auto" w:fill="auto"/>
          <w:tcMar>
            <w:left w:w="0" w:type="dxa"/>
            <w:right w:w="0" w:type="dxa"/>
          </w:tcMar>
        </w:tcPr>
        <w:p w14:paraId="6AB56DE9" w14:textId="26EE6476" w:rsidR="00C32A3A" w:rsidRPr="00276C1E" w:rsidRDefault="00276C1E" w:rsidP="00B507A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Pr>
              <w:rFonts w:asciiTheme="minorHAnsi" w:hAnsiTheme="minorHAnsi" w:cstheme="minorHAnsi"/>
              <w:sz w:val="16"/>
              <w:szCs w:val="16"/>
            </w:rPr>
            <w:t>Test Employer Group</w:t>
          </w:r>
        </w:p>
        <w:p w14:paraId="3D39EDDF" w14:textId="6BDE2A16" w:rsidR="00276C1E" w:rsidRPr="00276C1E" w:rsidRDefault="00276C1E" w:rsidP="00B507A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Pr>
              <w:rFonts w:asciiTheme="minorHAnsi" w:hAnsiTheme="minorHAnsi" w:cstheme="minorHAnsi"/>
              <w:sz w:val="16"/>
              <w:szCs w:val="16"/>
            </w:rPr>
            <w:t>100531990001221</w:t>
          </w:r>
        </w:p>
        <w:p w14:paraId="177EB7FD" w14:textId="1CA96F96" w:rsidR="00276C1E" w:rsidRDefault="00276C1E" w:rsidP="00B507A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Pr>
              <w:sz w:val="16"/>
              <w:szCs w:val="16"/>
            </w:rPr>
            <w:t>33156</w:t>
          </w:r>
          <w:r w:rsidRPr="00276C1E">
            <w:rPr>
              <w:sz w:val="16"/>
              <w:szCs w:val="16"/>
            </w:rPr>
            <w:t>/</w:t>
          </w:r>
          <w:r>
            <w:rPr>
              <w:sz w:val="16"/>
              <w:szCs w:val="16"/>
            </w:rPr>
            <w:t>Miami-Dade</w:t>
          </w:r>
        </w:p>
        <w:p w14:paraId="66E73FB3" w14:textId="557BA2E5" w:rsidR="00276C1E" w:rsidRPr="00276C1E" w:rsidRDefault="00276C1E" w:rsidP="00B507AE">
          <w:pPr>
            <w:pStyle w:val="Header"/>
            <w:rPr>
              <w:sz w:val="16"/>
              <w:szCs w:val="16"/>
            </w:rPr>
          </w:pPr>
          <w:r>
            <w:rPr>
              <w:b/>
              <w:sz w:val="16"/>
              <w:szCs w:val="16"/>
            </w:rPr>
            <w:t xml:space="preserve">Effective Date: </w:t>
          </w:r>
          <w:r>
            <w:rPr>
              <w:sz w:val="16"/>
              <w:szCs w:val="16"/>
            </w:rPr>
            <w:t>11/01/2018</w:t>
          </w:r>
        </w:p>
        <w:p w14:paraId="67B5D88B" w14:textId="074A2B9B" w:rsidR="00276C1E" w:rsidRPr="00276C1E" w:rsidRDefault="00276C1E" w:rsidP="00B507AE">
          <w:pPr>
            <w:pStyle w:val="Header"/>
            <w:rPr>
              <w:sz w:val="16"/>
              <w:szCs w:val="16"/>
            </w:rPr>
          </w:pPr>
          <w:r>
            <w:rPr>
              <w:b/>
              <w:sz w:val="16"/>
              <w:szCs w:val="16"/>
            </w:rPr>
            <w:t xml:space="preserve">Quote Prepared On: </w:t>
          </w:r>
          <w:r>
            <w:rPr>
              <w:sz w:val="16"/>
              <w:szCs w:val="16"/>
            </w:rPr>
            <w:t>11/07/2018</w:t>
          </w:r>
        </w:p>
      </w:tc>
      <w:tc>
        <w:tcPr>
          <w:tcW w:w="4316" w:type="dxa"/>
          <w:shd w:val="clear" w:color="auto" w:fill="auto"/>
          <w:tcMar>
            <w:left w:w="0" w:type="dxa"/>
            <w:right w:w="0" w:type="dxa"/>
          </w:tcMar>
        </w:tcPr>
        <w:p w14:paraId="46414D86" w14:textId="77777777" w:rsidR="00C32A3A" w:rsidRDefault="007944C4" w:rsidP="00B507AE">
          <w:pPr>
            <w:pStyle w:val="Header"/>
          </w:pPr>
        </w:p>
      </w:tc>
    </w:tr>
    <w:tr w:rsidR="00276C1E" w:rsidRPr="007F5882" w14:paraId="48DEE9F3" w14:textId="77777777" w:rsidTr="00C06B7E">
      <w:trPr>
        <w:trHeight w:val="207"/>
      </w:trPr>
      <w:tc>
        <w:tcPr>
          <w:tcW w:w="4149" w:type="dxa"/>
          <w:shd w:val="clear" w:color="auto" w:fill="auto"/>
          <w:tcMar>
            <w:left w:w="0" w:type="dxa"/>
            <w:right w:w="0" w:type="dxa"/>
          </w:tcMar>
        </w:tcPr>
        <w:p w14:paraId="5D6DF72A" w14:textId="75C4C265" w:rsidR="00C32A3A" w:rsidRPr="00956441" w:rsidRDefault="007944C4" w:rsidP="00AB7850">
          <w:pPr>
            <w:autoSpaceDE w:val="0"/>
            <w:autoSpaceDN w:val="0"/>
            <w:adjustRightInd w:val="0"/>
            <w:rPr>
              <w:rFonts w:ascii="Arial" w:hAnsi="Arial" w:cs="Arial"/>
              <w:sz w:val="16"/>
              <w:szCs w:val="18"/>
            </w:rPr>
          </w:pPr>
        </w:p>
      </w:tc>
      <w:tc>
        <w:tcPr>
          <w:tcW w:w="2335" w:type="dxa"/>
          <w:shd w:val="clear" w:color="auto" w:fill="auto"/>
          <w:tcMar>
            <w:left w:w="0" w:type="dxa"/>
            <w:right w:w="0" w:type="dxa"/>
          </w:tcMar>
        </w:tcPr>
        <w:p w14:paraId="5EAFF706" w14:textId="0F1BAB90" w:rsidR="00C32A3A" w:rsidRPr="00194E5F" w:rsidRDefault="007944C4" w:rsidP="00B507AE">
          <w:pPr>
            <w:pStyle w:val="Header"/>
            <w:jc w:val="right"/>
            <w:rPr>
              <w:sz w:val="16"/>
            </w:rPr>
          </w:pPr>
          <w:bookmarkStart w:id="0" w:name="AgentPreparedBy"/>
          <w:bookmarkEnd w:id="0"/>
        </w:p>
      </w:tc>
      <w:tc>
        <w:tcPr>
          <w:tcW w:w="4316" w:type="dxa"/>
          <w:shd w:val="clear" w:color="auto" w:fill="auto"/>
          <w:tcMar>
            <w:left w:w="0" w:type="dxa"/>
            <w:right w:w="0" w:type="dxa"/>
          </w:tcMar>
        </w:tcPr>
        <w:p w14:paraId="62FAC185" w14:textId="2D757BD0" w:rsidR="00C32A3A" w:rsidRPr="00194E5F" w:rsidRDefault="007944C4" w:rsidP="00B507AE">
          <w:pPr>
            <w:autoSpaceDE w:val="0"/>
            <w:autoSpaceDN w:val="0"/>
            <w:adjustRightInd w:val="0"/>
            <w:rPr>
              <w:sz w:val="16"/>
            </w:rPr>
          </w:pPr>
        </w:p>
      </w:tc>
    </w:tr>
  </w:tbl>
  <w:p w14:paraId="2AC1F8EE" w14:textId="77777777" w:rsidR="00C32A3A" w:rsidRPr="00387BB8" w:rsidRDefault="007944C4" w:rsidP="00387BB8">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0F1C8" w14:textId="7F357862" w:rsidR="00E00001" w:rsidRDefault="00E00001" w:rsidP="00DF45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6823"/>
      <w:gridCol w:w="3947"/>
      <w:gridCol w:w="30"/>
    </w:tblGrid>
    <w:tr w:rsidR="00276C1E" w14:paraId="634CCD10" w14:textId="77777777" w:rsidTr="00CD65DE">
      <w:tc>
        <w:tcPr>
          <w:tcW w:w="5395" w:type="dxa"/>
          <w:gridSpan w:val="2"/>
          <w:shd w:val="clear" w:color="auto" w:fill="auto"/>
          <w:tcMar>
            <w:left w:w="0" w:type="dxa"/>
            <w:right w:w="0" w:type="dxa"/>
          </w:tcMar>
        </w:tcPr>
        <w:p w14:paraId="41FDC798" w14:textId="46785ADC" w:rsidR="006E2E29" w:rsidRDefault="000657A9" w:rsidP="00B507AE">
          <w:pPr>
            <w:pStyle w:val="Header"/>
          </w:pPr>
          <w:r>
            <w:rPr>
              <w:noProof/>
            </w:rPr>
            <w:drawing>
              <wp:anchor distT="0" distB="0" distL="114300" distR="114300" simplePos="0" relativeHeight="251661312" behindDoc="1" locked="0" layoutInCell="1" allowOverlap="1" wp14:anchorId="12429153" wp14:editId="03EE318F">
                <wp:simplePos x="0" y="0"/>
                <wp:positionH relativeFrom="page">
                  <wp:posOffset>626</wp:posOffset>
                </wp:positionH>
                <wp:positionV relativeFrom="paragraph">
                  <wp:posOffset>156949</wp:posOffset>
                </wp:positionV>
                <wp:extent cx="6833879" cy="2905125"/>
                <wp:effectExtent l="0" t="0" r="5080" b="0"/>
                <wp:wrapTight wrapText="bothSides">
                  <wp:wrapPolygon edited="0">
                    <wp:start x="0" y="0"/>
                    <wp:lineTo x="0" y="21388"/>
                    <wp:lineTo x="21556" y="21388"/>
                    <wp:lineTo x="2155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833906" cy="2905136"/>
                        </a:xfrm>
                        <a:prstGeom prst="rect">
                          <a:avLst/>
                        </a:prstGeom>
                      </pic:spPr>
                    </pic:pic>
                  </a:graphicData>
                </a:graphic>
                <wp14:sizeRelH relativeFrom="page">
                  <wp14:pctWidth>0</wp14:pctWidth>
                </wp14:sizeRelH>
                <wp14:sizeRelV relativeFrom="page">
                  <wp14:pctHeight>0</wp14:pctHeight>
                </wp14:sizeRelV>
              </wp:anchor>
            </w:drawing>
          </w:r>
        </w:p>
      </w:tc>
      <w:tc>
        <w:tcPr>
          <w:tcW w:w="5405" w:type="dxa"/>
          <w:shd w:val="clear" w:color="auto" w:fill="auto"/>
          <w:tcMar>
            <w:left w:w="0" w:type="dxa"/>
            <w:right w:w="0" w:type="dxa"/>
          </w:tcMar>
        </w:tcPr>
        <w:p w14:paraId="3FDED98D" w14:textId="77777777" w:rsidR="006E2E29" w:rsidRDefault="006E2E29" w:rsidP="00B507AE">
          <w:pPr>
            <w:pStyle w:val="Header"/>
          </w:pPr>
        </w:p>
      </w:tc>
    </w:tr>
    <w:tr w:rsidR="00276C1E" w:rsidRPr="007F5882" w14:paraId="1A9EF501" w14:textId="77777777" w:rsidTr="000657A9">
      <w:trPr>
        <w:trHeight w:val="171"/>
      </w:trPr>
      <w:tc>
        <w:tcPr>
          <w:tcW w:w="4865" w:type="dxa"/>
          <w:shd w:val="clear" w:color="auto" w:fill="auto"/>
          <w:tcMar>
            <w:left w:w="0" w:type="dxa"/>
            <w:right w:w="0" w:type="dxa"/>
          </w:tcMar>
        </w:tcPr>
        <w:p w14:paraId="1463CCA9" w14:textId="724CC8C8" w:rsidR="006E2E29" w:rsidRPr="00956441" w:rsidRDefault="00276C1E" w:rsidP="00AB7850">
          <w:pPr>
            <w:autoSpaceDE w:val="0"/>
            <w:autoSpaceDN w:val="0"/>
            <w:adjustRightInd w:val="0"/>
            <w:rPr>
              <w:rFonts w:ascii="Arial" w:hAnsi="Arial" w:cs="Arial"/>
              <w:sz w:val="16"/>
              <w:szCs w:val="18"/>
            </w:rPr>
          </w:pPr>
          <w:r>
            <w:rPr>
              <w:rFonts w:ascii="Arial" w:hAnsi="Arial" w:cs="Arial"/>
              <w:sz w:val="16"/>
              <w:szCs w:val="18"/>
            </w:rPr>
            <w:ptab w:relativeTo="margin" w:alignment="left" w:leader="none"/>
          </w:r>
        </w:p>
      </w:tc>
      <w:tc>
        <w:tcPr>
          <w:tcW w:w="2812" w:type="dxa"/>
          <w:shd w:val="clear" w:color="auto" w:fill="auto"/>
          <w:tcMar>
            <w:left w:w="0" w:type="dxa"/>
            <w:right w:w="0" w:type="dxa"/>
          </w:tcMar>
        </w:tcPr>
        <w:p w14:paraId="53AF2DCF" w14:textId="77777777" w:rsidR="006E2E29" w:rsidRPr="00194E5F" w:rsidRDefault="006E2E29" w:rsidP="00B507AE">
          <w:pPr>
            <w:pStyle w:val="Header"/>
            <w:jc w:val="right"/>
            <w:rPr>
              <w:sz w:val="16"/>
            </w:rPr>
          </w:pPr>
        </w:p>
      </w:tc>
      <w:tc>
        <w:tcPr>
          <w:tcW w:w="3123" w:type="dxa"/>
          <w:shd w:val="clear" w:color="auto" w:fill="auto"/>
          <w:tcMar>
            <w:left w:w="0" w:type="dxa"/>
            <w:right w:w="0" w:type="dxa"/>
          </w:tcMar>
        </w:tcPr>
        <w:p w14:paraId="027D43CE" w14:textId="77777777" w:rsidR="006E2E29" w:rsidRPr="00194E5F" w:rsidRDefault="006E2E29" w:rsidP="00B507AE">
          <w:pPr>
            <w:autoSpaceDE w:val="0"/>
            <w:autoSpaceDN w:val="0"/>
            <w:adjustRightInd w:val="0"/>
            <w:rPr>
              <w:sz w:val="16"/>
            </w:rPr>
          </w:pPr>
        </w:p>
      </w:tc>
    </w:tr>
  </w:tbl>
  <w:p w14:paraId="5F29DF8F" w14:textId="77777777" w:rsidR="006E2E29" w:rsidRPr="00387BB8" w:rsidRDefault="006E2E29" w:rsidP="00387BB8">
    <w:pPr>
      <w:pStyle w:val="Header"/>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77C56" w14:textId="52780DA4" w:rsidR="00C06B7E" w:rsidRDefault="00C06B7E" w:rsidP="00DF451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4016"/>
      <w:gridCol w:w="2322"/>
      <w:gridCol w:w="4462"/>
    </w:tblGrid>
    <w:tr w:rsidR="006E2E29" w14:paraId="3422E94F" w14:textId="77777777" w:rsidTr="00CD65DE">
      <w:tc>
        <w:tcPr>
          <w:tcW w:w="5395" w:type="dxa"/>
          <w:gridSpan w:val="2"/>
          <w:shd w:val="clear" w:color="auto" w:fill="auto"/>
          <w:tcMar>
            <w:left w:w="0" w:type="dxa"/>
            <w:right w:w="0" w:type="dxa"/>
          </w:tcMar>
        </w:tcPr>
        <w:p w14:paraId="48330E1A" w14:textId="108FC2B7" w:rsidR="006E2E29" w:rsidRDefault="006E2E29" w:rsidP="00B507AE">
          <w:pPr>
            <w:pStyle w:val="Header"/>
          </w:pPr>
        </w:p>
        <w:p w14:paraId="69B0E398" w14:textId="77777777" w:rsidR="006E2E29" w:rsidRDefault="006E2E29" w:rsidP="00B507AE">
          <w:pPr>
            <w:pStyle w:val="Header"/>
          </w:pPr>
        </w:p>
      </w:tc>
      <w:tc>
        <w:tcPr>
          <w:tcW w:w="5405" w:type="dxa"/>
          <w:shd w:val="clear" w:color="auto" w:fill="auto"/>
          <w:tcMar>
            <w:left w:w="0" w:type="dxa"/>
            <w:right w:w="0" w:type="dxa"/>
          </w:tcMar>
        </w:tcPr>
        <w:p w14:paraId="42182A7E" w14:textId="77777777" w:rsidR="006E2E29" w:rsidRDefault="006E2E29" w:rsidP="00B507AE">
          <w:pPr>
            <w:pStyle w:val="Header"/>
          </w:pPr>
        </w:p>
      </w:tc>
    </w:tr>
    <w:tr w:rsidR="006E2E29" w:rsidRPr="007F5882" w14:paraId="7ACB89DF" w14:textId="77777777" w:rsidTr="00CD65DE">
      <w:trPr>
        <w:trHeight w:val="1034"/>
      </w:trPr>
      <w:tc>
        <w:tcPr>
          <w:tcW w:w="4865" w:type="dxa"/>
          <w:shd w:val="clear" w:color="auto" w:fill="auto"/>
          <w:tcMar>
            <w:left w:w="0" w:type="dxa"/>
            <w:right w:w="0" w:type="dxa"/>
          </w:tcMar>
        </w:tcPr>
        <w:p w14:paraId="3A5D44C1" w14:textId="77777777" w:rsidR="006E2E29" w:rsidRPr="00956441" w:rsidRDefault="006E2E29" w:rsidP="00AB7850">
          <w:pPr>
            <w:autoSpaceDE w:val="0"/>
            <w:autoSpaceDN w:val="0"/>
            <w:adjustRightInd w:val="0"/>
            <w:rPr>
              <w:rFonts w:ascii="Arial" w:hAnsi="Arial" w:cs="Arial"/>
              <w:sz w:val="16"/>
              <w:szCs w:val="18"/>
            </w:rPr>
          </w:pPr>
        </w:p>
      </w:tc>
      <w:tc>
        <w:tcPr>
          <w:tcW w:w="2812" w:type="dxa"/>
          <w:shd w:val="clear" w:color="auto" w:fill="auto"/>
          <w:tcMar>
            <w:left w:w="0" w:type="dxa"/>
            <w:right w:w="0" w:type="dxa"/>
          </w:tcMar>
        </w:tcPr>
        <w:p w14:paraId="27237DC7" w14:textId="77777777" w:rsidR="006E2E29" w:rsidRPr="00194E5F" w:rsidRDefault="006E2E29" w:rsidP="00B507AE">
          <w:pPr>
            <w:pStyle w:val="Header"/>
            <w:jc w:val="right"/>
            <w:rPr>
              <w:sz w:val="16"/>
            </w:rPr>
          </w:pPr>
        </w:p>
      </w:tc>
      <w:tc>
        <w:tcPr>
          <w:tcW w:w="3123" w:type="dxa"/>
          <w:shd w:val="clear" w:color="auto" w:fill="auto"/>
          <w:tcMar>
            <w:left w:w="0" w:type="dxa"/>
            <w:right w:w="0" w:type="dxa"/>
          </w:tcMar>
        </w:tcPr>
        <w:p w14:paraId="179CF0B8" w14:textId="77777777" w:rsidR="006E2E29" w:rsidRPr="00194E5F" w:rsidRDefault="006E2E29" w:rsidP="00B507AE">
          <w:pPr>
            <w:autoSpaceDE w:val="0"/>
            <w:autoSpaceDN w:val="0"/>
            <w:adjustRightInd w:val="0"/>
            <w:rPr>
              <w:sz w:val="16"/>
            </w:rPr>
          </w:pPr>
        </w:p>
      </w:tc>
    </w:tr>
  </w:tbl>
  <w:p w14:paraId="6D7537B4" w14:textId="77777777" w:rsidR="006E2E29" w:rsidRPr="00387BB8" w:rsidRDefault="006E2E29" w:rsidP="00387BB8">
    <w:pPr>
      <w:pStyle w:val="Header"/>
      <w:rPr>
        <w:sz w:val="2"/>
        <w:szCs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4396B" w14:textId="77777777" w:rsidR="00C06B7E" w:rsidRDefault="00C06B7E" w:rsidP="00C06B7E">
    <w:pPr>
      <w:pStyle w:val="Header"/>
      <w:rPr>
        <w:rFonts w:asciiTheme="minorHAnsi" w:hAnsiTheme="minorHAnsi" w:cstheme="minorHAnsi"/>
        <w:b/>
        <w:sz w:val="16"/>
        <w:szCs w:val="16"/>
      </w:rPr>
    </w:pPr>
  </w:p>
  <w:p w14:paraId="458ADF98" w14:textId="7BB0937F" w:rsidR="00C06B7E" w:rsidRDefault="00C06B7E" w:rsidP="00C06B7E">
    <w:pPr>
      <w:pStyle w:val="Header"/>
      <w:rPr>
        <w:rFonts w:asciiTheme="minorHAnsi" w:hAnsiTheme="minorHAnsi" w:cstheme="minorHAnsi"/>
        <w:b/>
        <w:sz w:val="16"/>
        <w:szCs w:val="16"/>
      </w:rPr>
    </w:pPr>
    <w:r>
      <w:rPr>
        <w:noProof/>
      </w:rPr>
      <w:drawing>
        <wp:inline distT="0" distB="0" distL="0" distR="0" wp14:anchorId="401761B4" wp14:editId="5C0C05E3">
          <wp:extent cx="2449830" cy="549664"/>
          <wp:effectExtent l="0" t="0" r="7620" b="3175"/>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p w14:paraId="4D2EAD83" w14:textId="534D9C41"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Pr>
        <w:rFonts w:asciiTheme="minorHAnsi" w:hAnsiTheme="minorHAnsi" w:cstheme="minorHAnsi"/>
        <w:sz w:val="16"/>
        <w:szCs w:val="16"/>
      </w:rPr>
      <w:t>Test Employer Group</w:t>
    </w:r>
  </w:p>
  <w:p w14:paraId="12C35E79" w14:textId="1334ACBA"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Pr>
        <w:rFonts w:asciiTheme="minorHAnsi" w:hAnsiTheme="minorHAnsi" w:cstheme="minorHAnsi"/>
        <w:sz w:val="16"/>
        <w:szCs w:val="16"/>
      </w:rPr>
      <w:t>100531990001221</w:t>
    </w:r>
  </w:p>
  <w:p w14:paraId="6C0C004D" w14:textId="4B0AE0B7"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Pr>
        <w:sz w:val="16"/>
        <w:szCs w:val="16"/>
      </w:rPr>
      <w:t>33156</w:t>
    </w:r>
    <w:r w:rsidRPr="00276C1E">
      <w:rPr>
        <w:sz w:val="16"/>
        <w:szCs w:val="16"/>
      </w:rPr>
      <w:t>/</w:t>
    </w:r>
    <w:r>
      <w:rPr>
        <w:sz w:val="16"/>
        <w:szCs w:val="16"/>
      </w:rPr>
      <w:t>Miami-Dade</w:t>
    </w:r>
  </w:p>
  <w:p w14:paraId="23747A98" w14:textId="7786A18C" w:rsidR="00C06B7E" w:rsidRPr="00276C1E" w:rsidRDefault="00C06B7E" w:rsidP="00C06B7E">
    <w:pPr>
      <w:pStyle w:val="Header"/>
      <w:rPr>
        <w:sz w:val="16"/>
        <w:szCs w:val="16"/>
      </w:rPr>
    </w:pPr>
    <w:r>
      <w:rPr>
        <w:b/>
        <w:sz w:val="16"/>
        <w:szCs w:val="16"/>
      </w:rPr>
      <w:t xml:space="preserve">Effective Date: </w:t>
    </w:r>
    <w:r>
      <w:rPr>
        <w:sz w:val="16"/>
        <w:szCs w:val="16"/>
      </w:rPr>
      <w:t>11/01/2018</w:t>
    </w:r>
  </w:p>
  <w:p w14:paraId="03D58359" w14:textId="40F2B188" w:rsidR="00C06B7E" w:rsidRDefault="00C06B7E" w:rsidP="00C06B7E">
    <w:pPr>
      <w:pStyle w:val="Header"/>
      <w:rPr>
        <w:sz w:val="16"/>
        <w:szCs w:val="16"/>
      </w:rPr>
    </w:pPr>
    <w:r>
      <w:rPr>
        <w:b/>
        <w:sz w:val="16"/>
        <w:szCs w:val="16"/>
      </w:rPr>
      <w:t xml:space="preserve">Quote Prepared On: </w:t>
    </w:r>
    <w:r>
      <w:rPr>
        <w:sz w:val="16"/>
        <w:szCs w:val="16"/>
      </w:rPr>
      <w:t>11/07/2018</w:t>
    </w:r>
  </w:p>
  <w:p w14:paraId="3AE132F2" w14:textId="77777777" w:rsidR="00C06B7E" w:rsidRDefault="00C06B7E" w:rsidP="00C06B7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4515"/>
      <w:gridCol w:w="2218"/>
      <w:gridCol w:w="4067"/>
    </w:tblGrid>
    <w:tr w:rsidR="00C06B7E" w14:paraId="31D50005" w14:textId="77777777" w:rsidTr="00CD65DE">
      <w:tc>
        <w:tcPr>
          <w:tcW w:w="5395" w:type="dxa"/>
          <w:gridSpan w:val="2"/>
          <w:shd w:val="clear" w:color="auto" w:fill="auto"/>
          <w:tcMar>
            <w:left w:w="0" w:type="dxa"/>
            <w:right w:w="0" w:type="dxa"/>
          </w:tcMar>
        </w:tcPr>
        <w:p w14:paraId="61779921" w14:textId="77777777" w:rsidR="00C06B7E" w:rsidRDefault="00C06B7E" w:rsidP="00B507AE">
          <w:pPr>
            <w:pStyle w:val="Header"/>
          </w:pPr>
        </w:p>
        <w:p w14:paraId="443A6B51" w14:textId="6332E9F8" w:rsidR="00C06B7E" w:rsidRDefault="00C06B7E" w:rsidP="00B507AE">
          <w:pPr>
            <w:pStyle w:val="Header"/>
          </w:pPr>
          <w:r>
            <w:rPr>
              <w:noProof/>
            </w:rPr>
            <w:drawing>
              <wp:inline distT="0" distB="0" distL="0" distR="0" wp14:anchorId="3346C422" wp14:editId="3CDF1B8D">
                <wp:extent cx="2449830" cy="549664"/>
                <wp:effectExtent l="0" t="0" r="7620" b="317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c>
      <w:tc>
        <w:tcPr>
          <w:tcW w:w="5405" w:type="dxa"/>
          <w:shd w:val="clear" w:color="auto" w:fill="auto"/>
          <w:tcMar>
            <w:left w:w="0" w:type="dxa"/>
            <w:right w:w="0" w:type="dxa"/>
          </w:tcMar>
        </w:tcPr>
        <w:p w14:paraId="1033E496" w14:textId="77777777" w:rsidR="00C06B7E" w:rsidRDefault="00C06B7E" w:rsidP="00B507AE">
          <w:pPr>
            <w:pStyle w:val="Header"/>
          </w:pPr>
        </w:p>
      </w:tc>
    </w:tr>
    <w:tr w:rsidR="00C06B7E" w:rsidRPr="007F5882" w14:paraId="51AFD292" w14:textId="77777777" w:rsidTr="00CD65DE">
      <w:trPr>
        <w:trHeight w:val="1034"/>
      </w:trPr>
      <w:tc>
        <w:tcPr>
          <w:tcW w:w="4865" w:type="dxa"/>
          <w:shd w:val="clear" w:color="auto" w:fill="auto"/>
          <w:tcMar>
            <w:left w:w="0" w:type="dxa"/>
            <w:right w:w="0" w:type="dxa"/>
          </w:tcMar>
        </w:tcPr>
        <w:p w14:paraId="559770C1" w14:textId="7C748A88"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Pr>
              <w:rFonts w:asciiTheme="minorHAnsi" w:hAnsiTheme="minorHAnsi" w:cstheme="minorHAnsi"/>
              <w:sz w:val="16"/>
              <w:szCs w:val="16"/>
            </w:rPr>
            <w:t>Test Employer Group</w:t>
          </w:r>
        </w:p>
        <w:p w14:paraId="2DCD8C95" w14:textId="5373E734"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Pr>
              <w:rFonts w:asciiTheme="minorHAnsi" w:hAnsiTheme="minorHAnsi" w:cstheme="minorHAnsi"/>
              <w:sz w:val="16"/>
              <w:szCs w:val="16"/>
            </w:rPr>
            <w:t>100531990001221</w:t>
          </w:r>
        </w:p>
        <w:p w14:paraId="4196FC42" w14:textId="28F2712C"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Pr>
              <w:sz w:val="16"/>
              <w:szCs w:val="16"/>
            </w:rPr>
            <w:t>33156</w:t>
          </w:r>
          <w:r w:rsidRPr="00276C1E">
            <w:rPr>
              <w:sz w:val="16"/>
              <w:szCs w:val="16"/>
            </w:rPr>
            <w:t>/</w:t>
          </w:r>
          <w:r>
            <w:rPr>
              <w:sz w:val="16"/>
              <w:szCs w:val="16"/>
            </w:rPr>
            <w:t>Miami-Dade</w:t>
          </w:r>
        </w:p>
        <w:p w14:paraId="5858386E" w14:textId="66E20E16" w:rsidR="00C06B7E" w:rsidRPr="00276C1E" w:rsidRDefault="00C06B7E" w:rsidP="00C06B7E">
          <w:pPr>
            <w:pStyle w:val="Header"/>
            <w:rPr>
              <w:sz w:val="16"/>
              <w:szCs w:val="16"/>
            </w:rPr>
          </w:pPr>
          <w:r>
            <w:rPr>
              <w:b/>
              <w:sz w:val="16"/>
              <w:szCs w:val="16"/>
            </w:rPr>
            <w:t xml:space="preserve">Effective Date: </w:t>
          </w:r>
          <w:r>
            <w:rPr>
              <w:sz w:val="16"/>
              <w:szCs w:val="16"/>
            </w:rPr>
            <w:t>11/01/2018</w:t>
          </w:r>
        </w:p>
        <w:p w14:paraId="536E9C21" w14:textId="5B830355" w:rsidR="00C06B7E" w:rsidRPr="00956441" w:rsidRDefault="00C06B7E" w:rsidP="00C06B7E">
          <w:pPr>
            <w:autoSpaceDE w:val="0"/>
            <w:autoSpaceDN w:val="0"/>
            <w:adjustRightInd w:val="0"/>
            <w:rPr>
              <w:rFonts w:ascii="Arial" w:hAnsi="Arial" w:cs="Arial"/>
              <w:sz w:val="16"/>
              <w:szCs w:val="18"/>
            </w:rPr>
          </w:pPr>
          <w:r>
            <w:rPr>
              <w:b/>
              <w:sz w:val="16"/>
              <w:szCs w:val="16"/>
            </w:rPr>
            <w:t xml:space="preserve">Quote Prepared On: </w:t>
          </w:r>
          <w:r>
            <w:rPr>
              <w:sz w:val="16"/>
              <w:szCs w:val="16"/>
            </w:rPr>
            <w:t>11/07/2018</w:t>
          </w:r>
        </w:p>
      </w:tc>
      <w:tc>
        <w:tcPr>
          <w:tcW w:w="2812" w:type="dxa"/>
          <w:shd w:val="clear" w:color="auto" w:fill="auto"/>
          <w:tcMar>
            <w:left w:w="0" w:type="dxa"/>
            <w:right w:w="0" w:type="dxa"/>
          </w:tcMar>
        </w:tcPr>
        <w:p w14:paraId="55686F6F" w14:textId="77777777" w:rsidR="00C06B7E" w:rsidRPr="00194E5F" w:rsidRDefault="00C06B7E" w:rsidP="00B507AE">
          <w:pPr>
            <w:pStyle w:val="Header"/>
            <w:jc w:val="right"/>
            <w:rPr>
              <w:sz w:val="16"/>
            </w:rPr>
          </w:pPr>
        </w:p>
      </w:tc>
      <w:tc>
        <w:tcPr>
          <w:tcW w:w="3123" w:type="dxa"/>
          <w:shd w:val="clear" w:color="auto" w:fill="auto"/>
          <w:tcMar>
            <w:left w:w="0" w:type="dxa"/>
            <w:right w:w="0" w:type="dxa"/>
          </w:tcMar>
        </w:tcPr>
        <w:p w14:paraId="2287E02D" w14:textId="77777777" w:rsidR="00C06B7E" w:rsidRPr="00194E5F" w:rsidRDefault="00C06B7E" w:rsidP="00B507AE">
          <w:pPr>
            <w:autoSpaceDE w:val="0"/>
            <w:autoSpaceDN w:val="0"/>
            <w:adjustRightInd w:val="0"/>
            <w:rPr>
              <w:sz w:val="16"/>
            </w:rPr>
          </w:pPr>
        </w:p>
      </w:tc>
    </w:tr>
  </w:tbl>
  <w:p w14:paraId="612E1C07" w14:textId="77777777" w:rsidR="00C06B7E" w:rsidRPr="00387BB8" w:rsidRDefault="00C06B7E" w:rsidP="00387BB8">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12CD"/>
    <w:multiLevelType w:val="hybridMultilevel"/>
    <w:tmpl w:val="06BA56FA"/>
    <w:lvl w:ilvl="0" w:tplc="517C54A0">
      <w:start w:val="1"/>
      <w:numFmt w:val="bullet"/>
      <w:lvlText w:val=""/>
      <w:lvlJc w:val="left"/>
      <w:pPr>
        <w:tabs>
          <w:tab w:val="num" w:pos="720"/>
        </w:tabs>
        <w:ind w:left="720" w:hanging="360"/>
      </w:pPr>
      <w:rPr>
        <w:rFonts w:ascii="Wingdings" w:hAnsi="Wingdings" w:hint="default"/>
      </w:rPr>
    </w:lvl>
    <w:lvl w:ilvl="1" w:tplc="EC46FD60">
      <w:start w:val="871"/>
      <w:numFmt w:val="bullet"/>
      <w:lvlText w:val=""/>
      <w:lvlJc w:val="left"/>
      <w:pPr>
        <w:tabs>
          <w:tab w:val="num" w:pos="1440"/>
        </w:tabs>
        <w:ind w:left="1440" w:hanging="360"/>
      </w:pPr>
      <w:rPr>
        <w:rFonts w:ascii="Wingdings" w:hAnsi="Wingdings" w:hint="default"/>
      </w:rPr>
    </w:lvl>
    <w:lvl w:ilvl="2" w:tplc="F58C98F0">
      <w:start w:val="1"/>
      <w:numFmt w:val="bullet"/>
      <w:lvlText w:val=""/>
      <w:lvlJc w:val="left"/>
      <w:pPr>
        <w:tabs>
          <w:tab w:val="num" w:pos="2160"/>
        </w:tabs>
        <w:ind w:left="2160" w:hanging="360"/>
      </w:pPr>
      <w:rPr>
        <w:rFonts w:ascii="Wingdings" w:hAnsi="Wingdings" w:hint="default"/>
      </w:rPr>
    </w:lvl>
    <w:lvl w:ilvl="3" w:tplc="96FEF64A">
      <w:start w:val="1"/>
      <w:numFmt w:val="bullet"/>
      <w:lvlText w:val=""/>
      <w:lvlJc w:val="left"/>
      <w:pPr>
        <w:tabs>
          <w:tab w:val="num" w:pos="2880"/>
        </w:tabs>
        <w:ind w:left="2880" w:hanging="360"/>
      </w:pPr>
      <w:rPr>
        <w:rFonts w:ascii="Wingdings" w:hAnsi="Wingdings" w:hint="default"/>
      </w:rPr>
    </w:lvl>
    <w:lvl w:ilvl="4" w:tplc="2DFEE4EC">
      <w:start w:val="1"/>
      <w:numFmt w:val="bullet"/>
      <w:lvlText w:val=""/>
      <w:lvlJc w:val="left"/>
      <w:pPr>
        <w:tabs>
          <w:tab w:val="num" w:pos="3600"/>
        </w:tabs>
        <w:ind w:left="3600" w:hanging="360"/>
      </w:pPr>
      <w:rPr>
        <w:rFonts w:ascii="Wingdings" w:hAnsi="Wingdings" w:hint="default"/>
      </w:rPr>
    </w:lvl>
    <w:lvl w:ilvl="5" w:tplc="E1482290">
      <w:start w:val="1"/>
      <w:numFmt w:val="bullet"/>
      <w:lvlText w:val=""/>
      <w:lvlJc w:val="left"/>
      <w:pPr>
        <w:tabs>
          <w:tab w:val="num" w:pos="4320"/>
        </w:tabs>
        <w:ind w:left="4320" w:hanging="360"/>
      </w:pPr>
      <w:rPr>
        <w:rFonts w:ascii="Wingdings" w:hAnsi="Wingdings" w:hint="default"/>
      </w:rPr>
    </w:lvl>
    <w:lvl w:ilvl="6" w:tplc="5358B944">
      <w:start w:val="1"/>
      <w:numFmt w:val="bullet"/>
      <w:lvlText w:val=""/>
      <w:lvlJc w:val="left"/>
      <w:pPr>
        <w:tabs>
          <w:tab w:val="num" w:pos="5040"/>
        </w:tabs>
        <w:ind w:left="5040" w:hanging="360"/>
      </w:pPr>
      <w:rPr>
        <w:rFonts w:ascii="Wingdings" w:hAnsi="Wingdings" w:hint="default"/>
      </w:rPr>
    </w:lvl>
    <w:lvl w:ilvl="7" w:tplc="ED7C2CA2">
      <w:start w:val="1"/>
      <w:numFmt w:val="bullet"/>
      <w:lvlText w:val=""/>
      <w:lvlJc w:val="left"/>
      <w:pPr>
        <w:tabs>
          <w:tab w:val="num" w:pos="5760"/>
        </w:tabs>
        <w:ind w:left="5760" w:hanging="360"/>
      </w:pPr>
      <w:rPr>
        <w:rFonts w:ascii="Wingdings" w:hAnsi="Wingdings" w:hint="default"/>
      </w:rPr>
    </w:lvl>
    <w:lvl w:ilvl="8" w:tplc="C1EC024A">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3B5769"/>
    <w:multiLevelType w:val="hybridMultilevel"/>
    <w:tmpl w:val="4C806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9B1FB4"/>
    <w:multiLevelType w:val="hybridMultilevel"/>
    <w:tmpl w:val="DBF4CF8E"/>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3" w15:restartNumberingAfterBreak="0">
    <w:nsid w:val="3B987DD9"/>
    <w:multiLevelType w:val="hybridMultilevel"/>
    <w:tmpl w:val="A9F81FB6"/>
    <w:lvl w:ilvl="0" w:tplc="A3B28AD6">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E6ABF"/>
    <w:multiLevelType w:val="hybridMultilevel"/>
    <w:tmpl w:val="D164978C"/>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2A7D24"/>
    <w:multiLevelType w:val="hybridMultilevel"/>
    <w:tmpl w:val="5E6A6662"/>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1E"/>
    <w:rsid w:val="000657A9"/>
    <w:rsid w:val="00124A95"/>
    <w:rsid w:val="001D5161"/>
    <w:rsid w:val="00254C16"/>
    <w:rsid w:val="00276C1E"/>
    <w:rsid w:val="00384D06"/>
    <w:rsid w:val="003F633D"/>
    <w:rsid w:val="00453EB0"/>
    <w:rsid w:val="005167AF"/>
    <w:rsid w:val="00576974"/>
    <w:rsid w:val="00623B40"/>
    <w:rsid w:val="006E2E29"/>
    <w:rsid w:val="007944C4"/>
    <w:rsid w:val="00907C5E"/>
    <w:rsid w:val="00907FF5"/>
    <w:rsid w:val="00A3495A"/>
    <w:rsid w:val="00BC7B23"/>
    <w:rsid w:val="00C06B7E"/>
    <w:rsid w:val="00C256D8"/>
    <w:rsid w:val="00C47019"/>
    <w:rsid w:val="00CF271E"/>
    <w:rsid w:val="00D0166D"/>
    <w:rsid w:val="00D22401"/>
    <w:rsid w:val="00DF498B"/>
    <w:rsid w:val="00E00001"/>
    <w:rsid w:val="00E433C0"/>
    <w:rsid w:val="00F5168C"/>
    <w:rsid w:val="00F97F3F"/>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E4F79"/>
  <w15:chartTrackingRefBased/>
  <w15:docId w15:val="{1ECC6E14-8D90-4992-86B4-7AB7AAD2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71E"/>
    <w:pPr>
      <w:spacing w:after="0" w:line="240" w:lineRule="auto"/>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71E"/>
    <w:pPr>
      <w:tabs>
        <w:tab w:val="center" w:pos="4680"/>
        <w:tab w:val="right" w:pos="9360"/>
      </w:tabs>
    </w:pPr>
  </w:style>
  <w:style w:type="character" w:customStyle="1" w:styleId="HeaderChar">
    <w:name w:val="Header Char"/>
    <w:basedOn w:val="DefaultParagraphFont"/>
    <w:link w:val="Header"/>
    <w:uiPriority w:val="99"/>
    <w:rsid w:val="00CF271E"/>
    <w:rPr>
      <w:rFonts w:ascii="Calibri" w:eastAsia="Times New Roman" w:hAnsi="Calibri" w:cs="Times New Roman"/>
      <w:sz w:val="20"/>
      <w:szCs w:val="20"/>
    </w:rPr>
  </w:style>
  <w:style w:type="paragraph" w:styleId="Footer">
    <w:name w:val="footer"/>
    <w:basedOn w:val="Normal"/>
    <w:link w:val="FooterChar"/>
    <w:uiPriority w:val="99"/>
    <w:unhideWhenUsed/>
    <w:rsid w:val="00CF271E"/>
    <w:pPr>
      <w:tabs>
        <w:tab w:val="center" w:pos="4680"/>
        <w:tab w:val="right" w:pos="9360"/>
      </w:tabs>
    </w:pPr>
  </w:style>
  <w:style w:type="character" w:customStyle="1" w:styleId="FooterChar">
    <w:name w:val="Footer Char"/>
    <w:basedOn w:val="DefaultParagraphFont"/>
    <w:link w:val="Footer"/>
    <w:uiPriority w:val="99"/>
    <w:rsid w:val="00CF271E"/>
    <w:rPr>
      <w:rFonts w:ascii="Calibri" w:eastAsia="Times New Roman" w:hAnsi="Calibri" w:cs="Times New Roman"/>
      <w:sz w:val="20"/>
      <w:szCs w:val="20"/>
    </w:rPr>
  </w:style>
  <w:style w:type="paragraph" w:styleId="ListParagraph">
    <w:name w:val="List Paragraph"/>
    <w:basedOn w:val="Normal"/>
    <w:uiPriority w:val="1"/>
    <w:qFormat/>
    <w:rsid w:val="00CF271E"/>
    <w:pPr>
      <w:ind w:left="720"/>
      <w:contextualSpacing/>
    </w:pPr>
  </w:style>
  <w:style w:type="paragraph" w:styleId="NoSpacing">
    <w:name w:val="No Spacing"/>
    <w:link w:val="NoSpacingChar"/>
    <w:uiPriority w:val="1"/>
    <w:qFormat/>
    <w:rsid w:val="00CF271E"/>
    <w:pPr>
      <w:spacing w:after="0" w:line="240" w:lineRule="auto"/>
    </w:pPr>
    <w:rPr>
      <w:rFonts w:ascii="Calibri" w:eastAsia="Calibri" w:hAnsi="Calibri" w:cs="Times New Roman"/>
    </w:rPr>
  </w:style>
  <w:style w:type="character" w:customStyle="1" w:styleId="NoSpacingChar">
    <w:name w:val="No Spacing Char"/>
    <w:link w:val="NoSpacing"/>
    <w:uiPriority w:val="1"/>
    <w:rsid w:val="00CF271E"/>
    <w:rPr>
      <w:rFonts w:ascii="Calibri" w:eastAsia="Calibri" w:hAnsi="Calibri" w:cs="Times New Roman"/>
    </w:rPr>
  </w:style>
  <w:style w:type="paragraph" w:styleId="BodyText">
    <w:name w:val="Body Text"/>
    <w:basedOn w:val="Normal"/>
    <w:link w:val="BodyTextChar"/>
    <w:uiPriority w:val="1"/>
    <w:qFormat/>
    <w:rsid w:val="00CF271E"/>
    <w:rPr>
      <w:rFonts w:ascii="Times New Roman" w:hAnsi="Times New Roman"/>
      <w:i/>
      <w:iCs/>
      <w:sz w:val="24"/>
      <w:szCs w:val="24"/>
    </w:rPr>
  </w:style>
  <w:style w:type="character" w:customStyle="1" w:styleId="BodyTextChar">
    <w:name w:val="Body Text Char"/>
    <w:basedOn w:val="DefaultParagraphFont"/>
    <w:link w:val="BodyText"/>
    <w:uiPriority w:val="1"/>
    <w:rsid w:val="00CF271E"/>
    <w:rPr>
      <w:rFonts w:ascii="Times New Roman" w:eastAsia="Times New Roman" w:hAnsi="Times New Roman" w:cs="Times New Roman"/>
      <w:i/>
      <w:iCs/>
      <w:sz w:val="24"/>
      <w:szCs w:val="24"/>
    </w:rPr>
  </w:style>
  <w:style w:type="table" w:styleId="TableGrid">
    <w:name w:val="Table Grid"/>
    <w:basedOn w:val="TableNormal"/>
    <w:uiPriority w:val="39"/>
    <w:rsid w:val="0090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07FF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907F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124A9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9342C-BC0B-4D34-9EE3-A0F12097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Raghavan</dc:creator>
  <cp:keywords/>
  <dc:description/>
  <cp:lastModifiedBy>Varun Raghavan</cp:lastModifiedBy>
  <cp:revision>12</cp:revision>
  <dcterms:created xsi:type="dcterms:W3CDTF">2018-11-07T13:24:00Z</dcterms:created>
  <dcterms:modified xsi:type="dcterms:W3CDTF">2018-11-07T20:52:00Z</dcterms:modified>
</cp:coreProperties>
</file>