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A4A"/>
          <w:sz w:val="52"/>
        </w:rPr>
        <w:t>Pulse Pipeline — Project Confluence Page</w:t>
      </w:r>
    </w:p>
    <w:p>
      <w:r>
        <w:rPr>
          <w:i/>
          <w:color w:val="0EA5E9"/>
          <w:sz w:val="25"/>
        </w:rPr>
        <w:t>WorkForge · Data / ML Engineer Track · Simulated Company Project Space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2A4A"/>
          </w:tcPr>
          <w:p>
            <w:r>
              <w:rPr>
                <w:b/>
                <w:color w:val="FFFFFF"/>
              </w:rPr>
              <w:t>Field</w:t>
            </w:r>
          </w:p>
        </w:tc>
        <w:tc>
          <w:tcPr>
            <w:tcW w:type="dxa" w:w="4320"/>
            <w:shd w:val="clear" w:color="auto" w:fill="0B2A4A"/>
          </w:tcPr>
          <w:p>
            <w:r>
              <w:rPr>
                <w:b/>
                <w:color w:val="FFFFFF"/>
              </w:rPr>
              <w:t>Value</w:t>
            </w:r>
          </w:p>
        </w:tc>
      </w:tr>
      <w:tr>
        <w:tc>
          <w:tcPr>
            <w:tcW w:type="dxa" w:w="4320"/>
          </w:tcPr>
          <w:p>
            <w:r>
              <w:rPr>
                <w:sz w:val="20"/>
              </w:rPr>
              <w:t>Project name</w:t>
            </w:r>
          </w:p>
        </w:tc>
        <w:tc>
          <w:tcPr>
            <w:tcW w:type="dxa" w:w="4320"/>
          </w:tcPr>
          <w:p>
            <w:r>
              <w:rPr>
                <w:sz w:val="20"/>
              </w:rPr>
              <w:t>Pulse Pipeline (repo: real-time-stock-pipeline)</w:t>
            </w:r>
          </w:p>
        </w:tc>
      </w:tr>
      <w:tr>
        <w:tc>
          <w:tcPr>
            <w:tcW w:type="dxa" w:w="4320"/>
          </w:tcPr>
          <w:p>
            <w:r>
              <w:rPr>
                <w:sz w:val="20"/>
              </w:rPr>
              <w:t>Role track</w:t>
            </w:r>
          </w:p>
        </w:tc>
        <w:tc>
          <w:tcPr>
            <w:tcW w:type="dxa" w:w="4320"/>
          </w:tcPr>
          <w:p>
            <w:r>
              <w:rPr>
                <w:sz w:val="20"/>
              </w:rPr>
              <w:t>Data / ML Engineer</w:t>
            </w:r>
          </w:p>
        </w:tc>
      </w:tr>
      <w:tr>
        <w:tc>
          <w:tcPr>
            <w:tcW w:type="dxa" w:w="4320"/>
          </w:tcPr>
          <w:p>
            <w:r>
              <w:rPr>
                <w:sz w:val="20"/>
              </w:rPr>
              <w:t>Platform</w:t>
            </w:r>
          </w:p>
        </w:tc>
        <w:tc>
          <w:tcPr>
            <w:tcW w:type="dxa" w:w="4320"/>
          </w:tcPr>
          <w:p>
            <w:r>
              <w:rPr>
                <w:sz w:val="20"/>
              </w:rPr>
              <w:t>WorkForge — simulated workspace (Jira board · Repository · IDE)</w:t>
            </w:r>
          </w:p>
        </w:tc>
      </w:tr>
      <w:tr>
        <w:tc>
          <w:tcPr>
            <w:tcW w:type="dxa" w:w="4320"/>
          </w:tcPr>
          <w:p>
            <w:r>
              <w:rPr>
                <w:sz w:val="20"/>
              </w:rPr>
              <w:t>Purpose</w:t>
            </w:r>
          </w:p>
        </w:tc>
        <w:tc>
          <w:tcPr>
            <w:tcW w:type="dxa" w:w="4320"/>
          </w:tcPr>
          <w:p>
            <w:r>
              <w:rPr>
                <w:sz w:val="20"/>
              </w:rPr>
              <w:t>Ingest, process, store and visualize real-time OHLCV stock data</w:t>
            </w:r>
          </w:p>
        </w:tc>
      </w:tr>
      <w:tr>
        <w:tc>
          <w:tcPr>
            <w:tcW w:type="dxa" w:w="4320"/>
          </w:tcPr>
          <w:p>
            <w:r>
              <w:rPr>
                <w:sz w:val="20"/>
              </w:rPr>
              <w:t>Runtime</w:t>
            </w:r>
          </w:p>
        </w:tc>
        <w:tc>
          <w:tcPr>
            <w:tcW w:type="dxa" w:w="4320"/>
          </w:tcPr>
          <w:p>
            <w:r>
              <w:rPr>
                <w:sz w:val="20"/>
              </w:rPr>
              <w:t>Python 3.11 · Docker Compose</w:t>
            </w:r>
          </w:p>
        </w:tc>
      </w:tr>
      <w:tr>
        <w:tc>
          <w:tcPr>
            <w:tcW w:type="dxa" w:w="4320"/>
          </w:tcPr>
          <w:p>
            <w:r>
              <w:rPr>
                <w:sz w:val="20"/>
              </w:rPr>
              <w:t>Primary candidate-facing UI</w:t>
            </w:r>
          </w:p>
        </w:tc>
        <w:tc>
          <w:tcPr>
            <w:tcW w:type="dxa" w:w="4320"/>
          </w:tcPr>
          <w:p>
            <w:r>
              <w:rPr>
                <w:sz w:val="20"/>
              </w:rPr>
              <w:t>Streamlit dashboard on port 8501</w:t>
            </w:r>
          </w:p>
        </w:tc>
      </w:tr>
      <w:tr>
        <w:tc>
          <w:tcPr>
            <w:tcW w:type="dxa" w:w="4320"/>
          </w:tcPr>
          <w:p>
            <w:r>
              <w:rPr>
                <w:sz w:val="20"/>
              </w:rPr>
              <w:t>Ticket structure</w:t>
            </w:r>
          </w:p>
        </w:tc>
        <w:tc>
          <w:tcPr>
            <w:tcW w:type="dxa" w:w="4320"/>
          </w:tcPr>
          <w:p>
            <w:r>
              <w:rPr>
                <w:sz w:val="20"/>
              </w:rPr>
              <w:t>17 tasks across 5 modules (see Section 4)</w:t>
            </w:r>
          </w:p>
        </w:tc>
      </w:tr>
      <w:tr>
        <w:tc>
          <w:tcPr>
            <w:tcW w:type="dxa" w:w="4320"/>
          </w:tcPr>
          <w:p>
            <w:r>
              <w:rPr>
                <w:sz w:val="20"/>
              </w:rPr>
              <w:t>Final milestone</w:t>
            </w:r>
          </w:p>
        </w:tc>
        <w:tc>
          <w:tcPr>
            <w:tcW w:type="dxa" w:w="4320"/>
          </w:tcPr>
          <w:p>
            <w:r>
              <w:rPr>
                <w:sz w:val="20"/>
              </w:rPr>
              <w:t>Switch the finished pipeline from sample data onto live Yahoo Finance data</w:t>
            </w:r>
          </w:p>
        </w:tc>
      </w:tr>
      <w:tr>
        <w:tc>
          <w:tcPr>
            <w:tcW w:type="dxa" w:w="4320"/>
          </w:tcPr>
          <w:p>
            <w:r>
              <w:rPr>
                <w:sz w:val="20"/>
              </w:rPr>
              <w:t>Page owner</w:t>
            </w:r>
          </w:p>
        </w:tc>
        <w:tc>
          <w:tcPr>
            <w:tcW w:type="dxa" w:w="4320"/>
          </w:tcPr>
          <w:p>
            <w:r>
              <w:rPr>
                <w:sz w:val="20"/>
              </w:rPr>
              <w:t>Varun Reddy (varunreddyykp@gmail.com)</w:t>
            </w:r>
          </w:p>
        </w:tc>
      </w:tr>
      <w:tr>
        <w:tc>
          <w:tcPr>
            <w:tcW w:type="dxa" w:w="4320"/>
          </w:tcPr>
          <w:p>
            <w:r>
              <w:rPr>
                <w:sz w:val="20"/>
              </w:rPr>
              <w:t>Status</w:t>
            </w:r>
          </w:p>
        </w:tc>
        <w:tc>
          <w:tcPr>
            <w:tcW w:type="dxa" w:w="4320"/>
          </w:tcPr>
          <w:p>
            <w:r>
              <w:rPr>
                <w:sz w:val="20"/>
              </w:rPr>
              <w:t>Candidate-ready</w:t>
            </w:r>
          </w:p>
        </w:tc>
      </w:tr>
    </w:tbl>
    <w:p/>
    <w:p>
      <w:r>
        <w:br w:type="page"/>
      </w:r>
    </w:p>
    <w:p>
      <w:pPr>
        <w:pStyle w:val="Heading1"/>
      </w:pPr>
      <w:r>
        <w:t>1. What this project is, in the WorkForge story</w:t>
      </w:r>
    </w:p>
    <w:p>
      <w:r>
        <w:t>Pulse Pipeline is one of the realistic, multi-ticket projects offered on WorkForge's Data / ML Engineer track. Instead of a course with lessons, the candidate lands inside a simulated company workspace: a Jira-style board with tickets, a GitHub-style repository they browse and modify, and an integrated IDE where they do the actual engineering work. The underlying codebase is this repository.</w:t>
      </w:r>
    </w:p>
    <w:p>
      <w:r>
        <w:t>The pipeline the candidate is building is an event-driven market-data application: it takes stock bars from a data source, streams them through Redis, validates and enriches them, stores the results in PostgreSQL and MinIO, and renders live technical-analysis charts in a Streamlit dashboard. It is deliberately built with the same shape as a real production data platform (stream → process → warehouse → lake → BI), scaled down to run on a laptop.</w:t>
      </w:r>
    </w:p>
    <w:p>
      <w:pPr>
        <w:shd w:val="clear" w:color="auto" w:fill="EAF4FF"/>
        <w:spacing w:before="120" w:after="200"/>
        <w:ind w:left="216"/>
      </w:pPr>
      <w:r>
        <w:rPr>
          <w:b/>
          <w:color w:val="0B2A4A"/>
          <w:sz w:val="21"/>
        </w:rPr>
        <w:t xml:space="preserve">Key framing for the candidate:  </w:t>
      </w:r>
      <w:r>
        <w:rPr>
          <w:sz w:val="21"/>
        </w:rPr>
        <w:t>They are not "completing exercises" — they are picking up tickets against an existing codebase, the same way a new hire on a data platform team would: read the ticket, find the relevant file, understand the surrounding code, implement, test, move the ticket forward.</w:t>
      </w:r>
    </w:p>
    <w:p>
      <w:pPr>
        <w:pStyle w:val="Heading1"/>
      </w:pPr>
      <w:r>
        <w:t>2. Kickoff script — what to tell the candidate at initial setup</w:t>
      </w:r>
    </w:p>
    <w:p>
      <w:r>
        <w:t>Use this section verbatim (or close to it) the first time a candidate opens this project in their WorkForge workspace, before they touch the first ticket.</w:t>
      </w:r>
    </w:p>
    <w:p>
      <w:pPr>
        <w:pStyle w:val="Heading2"/>
      </w:pPr>
      <w:r>
        <w:t>2.1 Orientation message</w:t>
      </w:r>
    </w:p>
    <w:p>
      <w:pPr>
        <w:shd w:val="clear" w:color="auto" w:fill="EAF4FF"/>
        <w:spacing w:before="120" w:after="200"/>
        <w:ind w:left="216"/>
      </w:pPr>
      <w:r>
        <w:rPr>
          <w:b/>
          <w:color w:val="0B2A4A"/>
          <w:sz w:val="21"/>
        </w:rPr>
        <w:t xml:space="preserve">Say / paste to the candidate:  </w:t>
      </w:r>
      <w:r>
        <w:rPr>
          <w:sz w:val="21"/>
        </w:rPr>
        <w:t>“Welcome to Pulse Pipeline. You're joining as a Data Engineer on a small team that streams live stock prices, computes technical indicators, and serves them on a dashboard. The repo is already scaffolded — your job is to work the Jira board top to bottom, module by module. Don't worry about live market data yet: for every ticket, the project runs in a deterministic 'sample' mode so your results are repeatable. The very last thing you'll do, once every ticket is closed, is switch the pipeline over to real Yahoo Finance data and prove it works end to end. That's your definition of done.”</w:t>
      </w:r>
    </w:p>
    <w:p>
      <w:pPr>
        <w:pStyle w:val="Heading2"/>
      </w:pPr>
      <w:r>
        <w:t>2.2 Environment setup — have the candidate run this once</w:t>
      </w:r>
    </w:p>
    <w:p>
      <w:r>
        <w:t>Prerequisites to confirm before they start:</w:t>
      </w:r>
    </w:p>
    <w:p>
      <w:pPr>
        <w:pStyle w:val="ListBullet"/>
      </w:pPr>
      <w:r>
        <w:t>Docker Desktop (or Docker Engine + Compose v2) installed and running</w:t>
      </w:r>
    </w:p>
    <w:p>
      <w:pPr>
        <w:pStyle w:val="ListBullet"/>
      </w:pPr>
      <w:r>
        <w:t>Python 3.11+ available if they want a local virtualenv for tests/docs</w:t>
      </w:r>
    </w:p>
    <w:p>
      <w:pPr>
        <w:pStyle w:val="ListBullet"/>
      </w:pPr>
      <w:r>
        <w:t>No Yahoo Finance / SendGrid account is required yet — both are optional at this stage</w:t>
      </w:r>
    </w:p>
    <w:p>
      <w:r>
        <w:t>Initial bootstrap commands (candidate runs these in the IDE/terminal work area):</w:t>
      </w:r>
    </w:p>
    <w:p>
      <w:pPr>
        <w:spacing w:before="80" w:after="200"/>
        <w:shd w:val="clear" w:color="auto" w:fill="F2F2F2"/>
      </w:pPr>
      <w:r>
        <w:rPr>
          <w:rFonts w:ascii="Consolas" w:hAnsi="Consolas"/>
          <w:color w:val="1A1A1A"/>
          <w:sz w:val="19"/>
        </w:rPr>
        <w:t>cp .env.example .env</w:t>
      </w:r>
      <w:r>
        <w:rPr>
          <w:rFonts w:ascii="Consolas" w:hAnsi="Consolas"/>
          <w:color w:val="1A1A1A"/>
          <w:sz w:val="19"/>
        </w:rPr>
        <w:br/>
        <w:t>docker compose up --build</w:t>
      </w:r>
    </w:p>
    <w:p>
      <w:r>
        <w:t>This single command starts every backing service: Redis, PostgreSQL, MinIO, the producer, the consumer, and the Streamlit dashboard.</w:t>
      </w:r>
    </w:p>
    <w:p>
      <w:pPr>
        <w:pStyle w:val="Heading2"/>
      </w:pPr>
      <w:r>
        <w:t>2.3 Force deterministic (sample) mode for all ticket work</w:t>
      </w:r>
    </w:p>
    <w:p>
      <w:r>
        <w:t>Before the candidate starts Module 1, make sure their .env has these values so every ticket produces repeatable, offline results — no dependency on Yahoo Finance being reachable or the market being open:</w:t>
      </w:r>
    </w:p>
    <w:p>
      <w:pPr>
        <w:spacing w:before="80" w:after="200"/>
        <w:shd w:val="clear" w:color="auto" w:fill="F2F2F2"/>
      </w:pPr>
      <w:r>
        <w:rPr>
          <w:rFonts w:ascii="Consolas" w:hAnsi="Consolas"/>
          <w:color w:val="1A1A1A"/>
          <w:sz w:val="19"/>
        </w:rPr>
        <w:t>DATA_SOURCE=sample</w:t>
      </w:r>
      <w:r>
        <w:rPr>
          <w:rFonts w:ascii="Consolas" w:hAnsi="Consolas"/>
          <w:color w:val="1A1A1A"/>
          <w:sz w:val="19"/>
        </w:rPr>
        <w:br/>
        <w:t>POLL_INTERVAL_SECONDS=0.1</w:t>
      </w:r>
      <w:r>
        <w:rPr>
          <w:rFonts w:ascii="Consolas" w:hAnsi="Consolas"/>
          <w:color w:val="1A1A1A"/>
          <w:sz w:val="19"/>
        </w:rPr>
        <w:br/>
        <w:t>ENABLE_EMAIL_ALERTS=false</w:t>
      </w:r>
    </w:p>
    <w:p>
      <w:pPr>
        <w:shd w:val="clear" w:color="auto" w:fill="EAF4FF"/>
        <w:spacing w:before="120" w:after="200"/>
        <w:ind w:left="216"/>
      </w:pPr>
      <w:r>
        <w:rPr>
          <w:b/>
          <w:color w:val="0B2A4A"/>
          <w:sz w:val="21"/>
        </w:rPr>
        <w:t xml:space="preserve">Why sample mode first:  </w:t>
      </w:r>
      <w:r>
        <w:rPr>
          <w:sz w:val="21"/>
        </w:rPr>
        <w:t>Sample mode replays a bundled CSV (data/sample/ohlcv_sample.csv) instead of calling Yahoo Finance. It supplies 80 bars per bundled ticker — enough to warm up SMA-50 and prove the full dual-storage path — without any internet dependency or market-hours timing issue getting in the candidate's way while they're still writing code.</w:t>
      </w:r>
    </w:p>
    <w:p>
      <w:pPr>
        <w:pStyle w:val="Heading2"/>
      </w:pPr>
      <w:r>
        <w:t>2.4 What the candidate should see once the stack is up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A4A"/>
          </w:tcPr>
          <w:p>
            <w:r>
              <w:rPr>
                <w:b/>
                <w:color w:val="FFFFFF"/>
              </w:rPr>
              <w:t>Preview</w:t>
            </w:r>
          </w:p>
        </w:tc>
        <w:tc>
          <w:tcPr>
            <w:tcW w:type="dxa" w:w="2880"/>
            <w:shd w:val="clear" w:color="auto" w:fill="0B2A4A"/>
          </w:tcPr>
          <w:p>
            <w:r>
              <w:rPr>
                <w:b/>
                <w:color w:val="FFFFFF"/>
              </w:rPr>
              <w:t>URL / Port</w:t>
            </w:r>
          </w:p>
        </w:tc>
        <w:tc>
          <w:tcPr>
            <w:tcW w:type="dxa" w:w="2880"/>
            <w:shd w:val="clear" w:color="auto" w:fill="0B2A4A"/>
          </w:tcPr>
          <w:p>
            <w:r>
              <w:rPr>
                <w:b/>
                <w:color w:val="FFFFFF"/>
              </w:rPr>
              <w:t>What it confirms</w:t>
            </w:r>
          </w:p>
        </w:tc>
      </w:tr>
      <w:tr>
        <w:tc>
          <w:tcPr>
            <w:tcW w:type="dxa" w:w="2880"/>
          </w:tcPr>
          <w:p>
            <w:r>
              <w:rPr>
                <w:sz w:val="20"/>
              </w:rPr>
              <w:t>Streamlit dashboard</w:t>
            </w:r>
          </w:p>
        </w:tc>
        <w:tc>
          <w:tcPr>
            <w:tcW w:type="dxa" w:w="2880"/>
          </w:tcPr>
          <w:p>
            <w:r>
              <w:rPr>
                <w:sz w:val="20"/>
              </w:rPr>
              <w:t>http://localhost:8501</w:t>
            </w:r>
          </w:p>
        </w:tc>
        <w:tc>
          <w:tcPr>
            <w:tcW w:type="dxa" w:w="2880"/>
          </w:tcPr>
          <w:p>
            <w:r>
              <w:rPr>
                <w:sz w:val="20"/>
              </w:rPr>
              <w:t>End-to-end pipeline is alive</w:t>
            </w:r>
          </w:p>
        </w:tc>
      </w:tr>
      <w:tr>
        <w:tc>
          <w:tcPr>
            <w:tcW w:type="dxa" w:w="2880"/>
          </w:tcPr>
          <w:p>
            <w:r>
              <w:rPr>
                <w:sz w:val="20"/>
              </w:rPr>
              <w:t>Dashboard health endpoint</w:t>
            </w:r>
          </w:p>
        </w:tc>
        <w:tc>
          <w:tcPr>
            <w:tcW w:type="dxa" w:w="2880"/>
          </w:tcPr>
          <w:p>
            <w:r>
              <w:rPr>
                <w:sz w:val="20"/>
              </w:rPr>
              <w:t>http://localhost:8501/_stcore/health</w:t>
            </w:r>
          </w:p>
        </w:tc>
        <w:tc>
          <w:tcPr>
            <w:tcW w:type="dxa" w:w="2880"/>
          </w:tcPr>
          <w:p>
            <w:r>
              <w:rPr>
                <w:sz w:val="20"/>
              </w:rPr>
              <w:t>App container is healthy</w:t>
            </w:r>
          </w:p>
        </w:tc>
      </w:tr>
      <w:tr>
        <w:tc>
          <w:tcPr>
            <w:tcW w:type="dxa" w:w="2880"/>
          </w:tcPr>
          <w:p>
            <w:r>
              <w:rPr>
                <w:sz w:val="20"/>
              </w:rPr>
              <w:t>MinIO console</w:t>
            </w:r>
          </w:p>
        </w:tc>
        <w:tc>
          <w:tcPr>
            <w:tcW w:type="dxa" w:w="2880"/>
          </w:tcPr>
          <w:p>
            <w:r>
              <w:rPr>
                <w:sz w:val="20"/>
              </w:rPr>
              <w:t>http://localhost:9001 (minioadmin)</w:t>
            </w:r>
          </w:p>
        </w:tc>
        <w:tc>
          <w:tcPr>
            <w:tcW w:type="dxa" w:w="2880"/>
          </w:tcPr>
          <w:p>
            <w:r>
              <w:rPr>
                <w:sz w:val="20"/>
              </w:rPr>
              <w:t>Raw Parquet objects are landing</w:t>
            </w:r>
          </w:p>
        </w:tc>
      </w:tr>
    </w:tbl>
    <w:p/>
    <w:p>
      <w:r>
        <w:t>In the WorkForge workspace, only 8501 (required) and 9001 (optional, for storage inspection) should be exposed as candidate-facing previews. Redis, PostgreSQL, and MinIO's API port (9000) stay internal to the workspace network.</w:t>
      </w:r>
    </w:p>
    <w:p>
      <w:pPr>
        <w:pStyle w:val="Heading2"/>
      </w:pPr>
      <w:r>
        <w:t>2.5 First verification the candidate should run</w:t>
      </w:r>
    </w:p>
    <w:p>
      <w:r>
        <w:t>Before opening the first ticket, have them confirm the untouched scaffold boots cleanly:</w:t>
      </w:r>
    </w:p>
    <w:p>
      <w:pPr>
        <w:spacing w:before="80" w:after="200"/>
        <w:shd w:val="clear" w:color="auto" w:fill="F2F2F2"/>
      </w:pPr>
      <w:r>
        <w:rPr>
          <w:rFonts w:ascii="Consolas" w:hAnsi="Consolas"/>
          <w:color w:val="1A1A1A"/>
          <w:sz w:val="19"/>
        </w:rPr>
        <w:t>docker compose ps -a</w:t>
      </w:r>
      <w:r>
        <w:rPr>
          <w:rFonts w:ascii="Consolas" w:hAnsi="Consolas"/>
          <w:color w:val="1A1A1A"/>
          <w:sz w:val="19"/>
        </w:rPr>
        <w:br/>
        <w:t>docker compose logs --tail=50 producer consumer dashboard</w:t>
      </w:r>
    </w:p>
    <w:p>
      <w:r>
        <w:t>Then point them at the Jira board — Module 1, Ticket 1 (“Project scaffolding”) — to begin.</w:t>
      </w:r>
    </w:p>
    <w:p>
      <w:r>
        <w:br w:type="page"/>
      </w:r>
    </w:p>
    <w:p>
      <w:pPr>
        <w:pStyle w:val="Heading1"/>
      </w:pPr>
      <w:r>
        <w:t>3. System architecture</w:t>
      </w:r>
    </w:p>
    <w:p>
      <w:r>
        <w:t>Pulse Pipeline has 15 integrated building blocks. The candidate touches nearly all of them across the 17 tickets.</w:t>
      </w:r>
    </w:p>
    <w:p>
      <w:pPr>
        <w:pStyle w:val="Heading2"/>
      </w:pPr>
      <w:r>
        <w:t>3.1 Data flow, end to end</w:t>
      </w:r>
    </w:p>
    <w:p>
      <w:pPr>
        <w:pStyle w:val="ListNumber"/>
      </w:pPr>
      <w:r>
        <w:t>A data source (Yahoo Finance, bundled sample CSV, or a candidate-imported CSV/Parquet file) supplies OHLCV bars.</w:t>
      </w:r>
    </w:p>
    <w:p>
      <w:pPr>
        <w:pStyle w:val="ListNumber"/>
      </w:pPr>
      <w:r>
        <w:t>The Producer fetches or replays bars and publishes each as a JSON event to the Redis Stream stock:ohlcv.</w:t>
      </w:r>
    </w:p>
    <w:p>
      <w:pPr>
        <w:pStyle w:val="ListNumber"/>
      </w:pPr>
      <w:r>
        <w:t>The Consumer reads from Redis via a consumer group (pipeline / worker-1), validates each bar with a Pydantic schema, and normalizes it.</w:t>
      </w:r>
    </w:p>
    <w:p>
      <w:pPr>
        <w:pStyle w:val="ListNumber"/>
      </w:pPr>
      <w:r>
        <w:t>The Consumer writes an immutable raw Parquet object to MinIO and upserts the raw row into PostgreSQL.</w:t>
      </w:r>
    </w:p>
    <w:p>
      <w:pPr>
        <w:pStyle w:val="ListNumber"/>
      </w:pPr>
      <w:r>
        <w:t>The Consumer loads recent history for that ticker, cleans it, and computes indicators (SMA, RSI, MACD, Bollinger Bands, crossovers).</w:t>
      </w:r>
    </w:p>
    <w:p>
      <w:pPr>
        <w:pStyle w:val="ListNumber"/>
      </w:pPr>
      <w:r>
        <w:t>Processed indicator values are upserted into PostgreSQL and the Redis event is acknowledged.</w:t>
      </w:r>
    </w:p>
    <w:p>
      <w:pPr>
        <w:pStyle w:val="ListNumber"/>
      </w:pPr>
      <w:r>
        <w:t>Optional: SMA-crossover / RSI-threshold events can trigger a SendGrid email alert.</w:t>
      </w:r>
    </w:p>
    <w:p>
      <w:pPr>
        <w:pStyle w:val="ListNumber"/>
      </w:pPr>
      <w:r>
        <w:t>The Streamlit dashboard polls PostgreSQL every 10 seconds and renders candlesticks, indicator overlays, and trend/momentum summaries.</w:t>
      </w:r>
    </w:p>
    <w:p>
      <w:pPr>
        <w:pStyle w:val="ListNumber"/>
      </w:pPr>
      <w:r>
        <w:t>On demand, dbt reads PostgreSQL and builds daily_ohlcv and weekly_trends analytical models.</w:t>
      </w:r>
    </w:p>
    <w:p>
      <w:pPr>
        <w:pStyle w:val="Heading2"/>
      </w:pPr>
      <w:r>
        <w:t>3.2 Core integrations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2A4A"/>
          </w:tcPr>
          <w:p>
            <w:r>
              <w:rPr>
                <w:b/>
                <w:color w:val="FFFFFF"/>
              </w:rPr>
              <w:t>#</w:t>
            </w:r>
          </w:p>
        </w:tc>
        <w:tc>
          <w:tcPr>
            <w:tcW w:type="dxa" w:w="2160"/>
            <w:shd w:val="clear" w:color="auto" w:fill="0B2A4A"/>
          </w:tcPr>
          <w:p>
            <w:r>
              <w:rPr>
                <w:b/>
                <w:color w:val="FFFFFF"/>
              </w:rPr>
              <w:t>Integration</w:t>
            </w:r>
          </w:p>
        </w:tc>
        <w:tc>
          <w:tcPr>
            <w:tcW w:type="dxa" w:w="2160"/>
            <w:shd w:val="clear" w:color="auto" w:fill="0B2A4A"/>
          </w:tcPr>
          <w:p>
            <w:r>
              <w:rPr>
                <w:b/>
                <w:color w:val="FFFFFF"/>
              </w:rPr>
              <w:t>Responsibility</w:t>
            </w:r>
          </w:p>
        </w:tc>
        <w:tc>
          <w:tcPr>
            <w:tcW w:type="dxa" w:w="2160"/>
            <w:shd w:val="clear" w:color="auto" w:fill="0B2A4A"/>
          </w:tcPr>
          <w:p>
            <w:r>
              <w:rPr>
                <w:b/>
                <w:color w:val="FFFFFF"/>
              </w:rPr>
              <w:t>Requirement</w:t>
            </w:r>
          </w:p>
        </w:tc>
      </w:tr>
      <w:tr>
        <w:tc>
          <w:tcPr>
            <w:tcW w:type="dxa" w:w="2160"/>
          </w:tcPr>
          <w:p>
            <w:r>
              <w:rPr>
                <w:sz w:val="20"/>
              </w:rPr>
              <w:t>1</w:t>
            </w:r>
          </w:p>
        </w:tc>
        <w:tc>
          <w:tcPr>
            <w:tcW w:type="dxa" w:w="2160"/>
          </w:tcPr>
          <w:p>
            <w:r>
              <w:rPr>
                <w:sz w:val="20"/>
              </w:rPr>
              <w:t>Yahoo Finance (yfinance)</w:t>
            </w:r>
          </w:p>
        </w:tc>
        <w:tc>
          <w:tcPr>
            <w:tcW w:type="dxa" w:w="2160"/>
          </w:tcPr>
          <w:p>
            <w:r>
              <w:rPr>
                <w:sz w:val="20"/>
              </w:rPr>
              <w:t>Optional live OHLCV source</w:t>
            </w:r>
          </w:p>
        </w:tc>
        <w:tc>
          <w:tcPr>
            <w:tcW w:type="dxa" w:w="2160"/>
          </w:tcPr>
          <w:p>
            <w:r>
              <w:rPr>
                <w:sz w:val="20"/>
              </w:rPr>
              <w:t>Optional until final milestone</w:t>
            </w:r>
          </w:p>
        </w:tc>
      </w:tr>
      <w:tr>
        <w:tc>
          <w:tcPr>
            <w:tcW w:type="dxa" w:w="2160"/>
          </w:tcPr>
          <w:p>
            <w:r>
              <w:rPr>
                <w:sz w:val="20"/>
              </w:rPr>
              <w:t>2</w:t>
            </w:r>
          </w:p>
        </w:tc>
        <w:tc>
          <w:tcPr>
            <w:tcW w:type="dxa" w:w="2160"/>
          </w:tcPr>
          <w:p>
            <w:r>
              <w:rPr>
                <w:sz w:val="20"/>
              </w:rPr>
              <w:t>Bundled sample CSV</w:t>
            </w:r>
          </w:p>
        </w:tc>
        <w:tc>
          <w:tcPr>
            <w:tcW w:type="dxa" w:w="2160"/>
          </w:tcPr>
          <w:p>
            <w:r>
              <w:rPr>
                <w:sz w:val="20"/>
              </w:rPr>
              <w:t>Offline WorkForge source / live fallback</w:t>
            </w:r>
          </w:p>
        </w:tc>
        <w:tc>
          <w:tcPr>
            <w:tcW w:type="dxa" w:w="2160"/>
          </w:tcPr>
          <w:p>
            <w:r>
              <w:rPr>
                <w:sz w:val="20"/>
              </w:rPr>
              <w:t>Used for all ticket work</w:t>
            </w:r>
          </w:p>
        </w:tc>
      </w:tr>
      <w:tr>
        <w:tc>
          <w:tcPr>
            <w:tcW w:type="dxa" w:w="2160"/>
          </w:tcPr>
          <w:p>
            <w:r>
              <w:rPr>
                <w:sz w:val="20"/>
              </w:rPr>
              <w:t>3</w:t>
            </w:r>
          </w:p>
        </w:tc>
        <w:tc>
          <w:tcPr>
            <w:tcW w:type="dxa" w:w="2160"/>
          </w:tcPr>
          <w:p>
            <w:r>
              <w:rPr>
                <w:sz w:val="20"/>
              </w:rPr>
              <w:t>CSV/Parquet importer</w:t>
            </w:r>
          </w:p>
        </w:tc>
        <w:tc>
          <w:tcPr>
            <w:tcW w:type="dxa" w:w="2160"/>
          </w:tcPr>
          <w:p>
            <w:r>
              <w:rPr>
                <w:sz w:val="20"/>
              </w:rPr>
              <w:t>Candidate dataset input</w:t>
            </w:r>
          </w:p>
        </w:tc>
        <w:tc>
          <w:tcPr>
            <w:tcW w:type="dxa" w:w="2160"/>
          </w:tcPr>
          <w:p>
            <w:r>
              <w:rPr>
                <w:sz w:val="20"/>
              </w:rPr>
              <w:t>Optional</w:t>
            </w:r>
          </w:p>
        </w:tc>
      </w:tr>
      <w:tr>
        <w:tc>
          <w:tcPr>
            <w:tcW w:type="dxa" w:w="2160"/>
          </w:tcPr>
          <w:p>
            <w:r>
              <w:rPr>
                <w:sz w:val="20"/>
              </w:rPr>
              <w:t>4</w:t>
            </w:r>
          </w:p>
        </w:tc>
        <w:tc>
          <w:tcPr>
            <w:tcW w:type="dxa" w:w="2160"/>
          </w:tcPr>
          <w:p>
            <w:r>
              <w:rPr>
                <w:sz w:val="20"/>
              </w:rPr>
              <w:t>Producer</w:t>
            </w:r>
          </w:p>
        </w:tc>
        <w:tc>
          <w:tcPr>
            <w:tcW w:type="dxa" w:w="2160"/>
          </w:tcPr>
          <w:p>
            <w:r>
              <w:rPr>
                <w:sz w:val="20"/>
              </w:rPr>
              <w:t>Fetches or replays bars, creates events</w:t>
            </w:r>
          </w:p>
        </w:tc>
        <w:tc>
          <w:tcPr>
            <w:tcW w:type="dxa" w:w="2160"/>
          </w:tcPr>
          <w:p>
            <w:r>
              <w:rPr>
                <w:sz w:val="20"/>
              </w:rPr>
              <w:t>Required</w:t>
            </w:r>
          </w:p>
        </w:tc>
      </w:tr>
      <w:tr>
        <w:tc>
          <w:tcPr>
            <w:tcW w:type="dxa" w:w="2160"/>
          </w:tcPr>
          <w:p>
            <w:r>
              <w:rPr>
                <w:sz w:val="20"/>
              </w:rPr>
              <w:t>5</w:t>
            </w:r>
          </w:p>
        </w:tc>
        <w:tc>
          <w:tcPr>
            <w:tcW w:type="dxa" w:w="2160"/>
          </w:tcPr>
          <w:p>
            <w:r>
              <w:rPr>
                <w:sz w:val="20"/>
              </w:rPr>
              <w:t>Redis Streams</w:t>
            </w:r>
          </w:p>
        </w:tc>
        <w:tc>
          <w:tcPr>
            <w:tcW w:type="dxa" w:w="2160"/>
          </w:tcPr>
          <w:p>
            <w:r>
              <w:rPr>
                <w:sz w:val="20"/>
              </w:rPr>
              <w:t>Event transport, consumer-group delivery</w:t>
            </w:r>
          </w:p>
        </w:tc>
        <w:tc>
          <w:tcPr>
            <w:tcW w:type="dxa" w:w="2160"/>
          </w:tcPr>
          <w:p>
            <w:r>
              <w:rPr>
                <w:sz w:val="20"/>
              </w:rPr>
              <w:t>Required</w:t>
            </w:r>
          </w:p>
        </w:tc>
      </w:tr>
      <w:tr>
        <w:tc>
          <w:tcPr>
            <w:tcW w:type="dxa" w:w="2160"/>
          </w:tcPr>
          <w:p>
            <w:r>
              <w:rPr>
                <w:sz w:val="20"/>
              </w:rPr>
              <w:t>6</w:t>
            </w:r>
          </w:p>
        </w:tc>
        <w:tc>
          <w:tcPr>
            <w:tcW w:type="dxa" w:w="2160"/>
          </w:tcPr>
          <w:p>
            <w:r>
              <w:rPr>
                <w:sz w:val="20"/>
              </w:rPr>
              <w:t>Consumer</w:t>
            </w:r>
          </w:p>
        </w:tc>
        <w:tc>
          <w:tcPr>
            <w:tcW w:type="dxa" w:w="2160"/>
          </w:tcPr>
          <w:p>
            <w:r>
              <w:rPr>
                <w:sz w:val="20"/>
              </w:rPr>
              <w:t>Coordinates processing and storage</w:t>
            </w:r>
          </w:p>
        </w:tc>
        <w:tc>
          <w:tcPr>
            <w:tcW w:type="dxa" w:w="2160"/>
          </w:tcPr>
          <w:p>
            <w:r>
              <w:rPr>
                <w:sz w:val="20"/>
              </w:rPr>
              <w:t>Required</w:t>
            </w:r>
          </w:p>
        </w:tc>
      </w:tr>
      <w:tr>
        <w:tc>
          <w:tcPr>
            <w:tcW w:type="dxa" w:w="2160"/>
          </w:tcPr>
          <w:p>
            <w:r>
              <w:rPr>
                <w:sz w:val="20"/>
              </w:rPr>
              <w:t>7</w:t>
            </w:r>
          </w:p>
        </w:tc>
        <w:tc>
          <w:tcPr>
            <w:tcW w:type="dxa" w:w="2160"/>
          </w:tcPr>
          <w:p>
            <w:r>
              <w:rPr>
                <w:sz w:val="20"/>
              </w:rPr>
              <w:t>Pydantic + cleaning</w:t>
            </w:r>
          </w:p>
        </w:tc>
        <w:tc>
          <w:tcPr>
            <w:tcW w:type="dxa" w:w="2160"/>
          </w:tcPr>
          <w:p>
            <w:r>
              <w:rPr>
                <w:sz w:val="20"/>
              </w:rPr>
              <w:t>Validates / normalizes market bars</w:t>
            </w:r>
          </w:p>
        </w:tc>
        <w:tc>
          <w:tcPr>
            <w:tcW w:type="dxa" w:w="2160"/>
          </w:tcPr>
          <w:p>
            <w:r>
              <w:rPr>
                <w:sz w:val="20"/>
              </w:rPr>
              <w:t>Required</w:t>
            </w:r>
          </w:p>
        </w:tc>
      </w:tr>
      <w:tr>
        <w:tc>
          <w:tcPr>
            <w:tcW w:type="dxa" w:w="2160"/>
          </w:tcPr>
          <w:p>
            <w:r>
              <w:rPr>
                <w:sz w:val="20"/>
              </w:rPr>
              <w:t>8</w:t>
            </w:r>
          </w:p>
        </w:tc>
        <w:tc>
          <w:tcPr>
            <w:tcW w:type="dxa" w:w="2160"/>
          </w:tcPr>
          <w:p>
            <w:r>
              <w:rPr>
                <w:sz w:val="20"/>
              </w:rPr>
              <w:t>Indicator engine</w:t>
            </w:r>
          </w:p>
        </w:tc>
        <w:tc>
          <w:tcPr>
            <w:tcW w:type="dxa" w:w="2160"/>
          </w:tcPr>
          <w:p>
            <w:r>
              <w:rPr>
                <w:sz w:val="20"/>
              </w:rPr>
              <w:t>SMA, RSI, MACD, Bollinger, crossovers</w:t>
            </w:r>
          </w:p>
        </w:tc>
        <w:tc>
          <w:tcPr>
            <w:tcW w:type="dxa" w:w="2160"/>
          </w:tcPr>
          <w:p>
            <w:r>
              <w:rPr>
                <w:sz w:val="20"/>
              </w:rPr>
              <w:t>Required</w:t>
            </w:r>
          </w:p>
        </w:tc>
      </w:tr>
      <w:tr>
        <w:tc>
          <w:tcPr>
            <w:tcW w:type="dxa" w:w="2160"/>
          </w:tcPr>
          <w:p>
            <w:r>
              <w:rPr>
                <w:sz w:val="20"/>
              </w:rPr>
              <w:t>9</w:t>
            </w:r>
          </w:p>
        </w:tc>
        <w:tc>
          <w:tcPr>
            <w:tcW w:type="dxa" w:w="2160"/>
          </w:tcPr>
          <w:p>
            <w:r>
              <w:rPr>
                <w:sz w:val="20"/>
              </w:rPr>
              <w:t>PostgreSQL</w:t>
            </w:r>
          </w:p>
        </w:tc>
        <w:tc>
          <w:tcPr>
            <w:tcW w:type="dxa" w:w="2160"/>
          </w:tcPr>
          <w:p>
            <w:r>
              <w:rPr>
                <w:sz w:val="20"/>
              </w:rPr>
              <w:t>Queryable raw + processed records</w:t>
            </w:r>
          </w:p>
        </w:tc>
        <w:tc>
          <w:tcPr>
            <w:tcW w:type="dxa" w:w="2160"/>
          </w:tcPr>
          <w:p>
            <w:r>
              <w:rPr>
                <w:sz w:val="20"/>
              </w:rPr>
              <w:t>Required</w:t>
            </w:r>
          </w:p>
        </w:tc>
      </w:tr>
      <w:tr>
        <w:tc>
          <w:tcPr>
            <w:tcW w:type="dxa" w:w="2160"/>
          </w:tcPr>
          <w:p>
            <w:r>
              <w:rPr>
                <w:sz w:val="20"/>
              </w:rPr>
              <w:t>10</w:t>
            </w:r>
          </w:p>
        </w:tc>
        <w:tc>
          <w:tcPr>
            <w:tcW w:type="dxa" w:w="2160"/>
          </w:tcPr>
          <w:p>
            <w:r>
              <w:rPr>
                <w:sz w:val="20"/>
              </w:rPr>
              <w:t>MinIO</w:t>
            </w:r>
          </w:p>
        </w:tc>
        <w:tc>
          <w:tcPr>
            <w:tcW w:type="dxa" w:w="2160"/>
          </w:tcPr>
          <w:p>
            <w:r>
              <w:rPr>
                <w:sz w:val="20"/>
              </w:rPr>
              <w:t>S3-compatible Parquet object storage</w:t>
            </w:r>
          </w:p>
        </w:tc>
        <w:tc>
          <w:tcPr>
            <w:tcW w:type="dxa" w:w="2160"/>
          </w:tcPr>
          <w:p>
            <w:r>
              <w:rPr>
                <w:sz w:val="20"/>
              </w:rPr>
              <w:t>Required</w:t>
            </w:r>
          </w:p>
        </w:tc>
      </w:tr>
      <w:tr>
        <w:tc>
          <w:tcPr>
            <w:tcW w:type="dxa" w:w="2160"/>
          </w:tcPr>
          <w:p>
            <w:r>
              <w:rPr>
                <w:sz w:val="20"/>
              </w:rPr>
              <w:t>11</w:t>
            </w:r>
          </w:p>
        </w:tc>
        <w:tc>
          <w:tcPr>
            <w:tcW w:type="dxa" w:w="2160"/>
          </w:tcPr>
          <w:p>
            <w:r>
              <w:rPr>
                <w:sz w:val="20"/>
              </w:rPr>
              <w:t>Streamlit + Plotly</w:t>
            </w:r>
          </w:p>
        </w:tc>
        <w:tc>
          <w:tcPr>
            <w:tcW w:type="dxa" w:w="2160"/>
          </w:tcPr>
          <w:p>
            <w:r>
              <w:rPr>
                <w:sz w:val="20"/>
              </w:rPr>
              <w:t>Dashboard, charts, trend analysis</w:t>
            </w:r>
          </w:p>
        </w:tc>
        <w:tc>
          <w:tcPr>
            <w:tcW w:type="dxa" w:w="2160"/>
          </w:tcPr>
          <w:p>
            <w:r>
              <w:rPr>
                <w:sz w:val="20"/>
              </w:rPr>
              <w:t>Required</w:t>
            </w:r>
          </w:p>
        </w:tc>
      </w:tr>
      <w:tr>
        <w:tc>
          <w:tcPr>
            <w:tcW w:type="dxa" w:w="2160"/>
          </w:tcPr>
          <w:p>
            <w:r>
              <w:rPr>
                <w:sz w:val="20"/>
              </w:rPr>
              <w:t>12</w:t>
            </w:r>
          </w:p>
        </w:tc>
        <w:tc>
          <w:tcPr>
            <w:tcW w:type="dxa" w:w="2160"/>
          </w:tcPr>
          <w:p>
            <w:r>
              <w:rPr>
                <w:sz w:val="20"/>
              </w:rPr>
              <w:t>dbt</w:t>
            </w:r>
          </w:p>
        </w:tc>
        <w:tc>
          <w:tcPr>
            <w:tcW w:type="dxa" w:w="2160"/>
          </w:tcPr>
          <w:p>
            <w:r>
              <w:rPr>
                <w:sz w:val="20"/>
              </w:rPr>
              <w:t>Daily / weekly analytical models</w:t>
            </w:r>
          </w:p>
        </w:tc>
        <w:tc>
          <w:tcPr>
            <w:tcW w:type="dxa" w:w="2160"/>
          </w:tcPr>
          <w:p>
            <w:r>
              <w:rPr>
                <w:sz w:val="20"/>
              </w:rPr>
              <w:t>On demand</w:t>
            </w:r>
          </w:p>
        </w:tc>
      </w:tr>
      <w:tr>
        <w:tc>
          <w:tcPr>
            <w:tcW w:type="dxa" w:w="2160"/>
          </w:tcPr>
          <w:p>
            <w:r>
              <w:rPr>
                <w:sz w:val="20"/>
              </w:rPr>
              <w:t>13</w:t>
            </w:r>
          </w:p>
        </w:tc>
        <w:tc>
          <w:tcPr>
            <w:tcW w:type="dxa" w:w="2160"/>
          </w:tcPr>
          <w:p>
            <w:r>
              <w:rPr>
                <w:sz w:val="20"/>
              </w:rPr>
              <w:t>SendGrid</w:t>
            </w:r>
          </w:p>
        </w:tc>
        <w:tc>
          <w:tcPr>
            <w:tcW w:type="dxa" w:w="2160"/>
          </w:tcPr>
          <w:p>
            <w:r>
              <w:rPr>
                <w:sz w:val="20"/>
              </w:rPr>
              <w:t>Optional email alerts</w:t>
            </w:r>
          </w:p>
        </w:tc>
        <w:tc>
          <w:tcPr>
            <w:tcW w:type="dxa" w:w="2160"/>
          </w:tcPr>
          <w:p>
            <w:r>
              <w:rPr>
                <w:sz w:val="20"/>
              </w:rPr>
              <w:t>Disabled by default</w:t>
            </w:r>
          </w:p>
        </w:tc>
      </w:tr>
      <w:tr>
        <w:tc>
          <w:tcPr>
            <w:tcW w:type="dxa" w:w="2160"/>
          </w:tcPr>
          <w:p>
            <w:r>
              <w:rPr>
                <w:sz w:val="20"/>
              </w:rPr>
              <w:t>14</w:t>
            </w:r>
          </w:p>
        </w:tc>
        <w:tc>
          <w:tcPr>
            <w:tcW w:type="dxa" w:w="2160"/>
          </w:tcPr>
          <w:p>
            <w:r>
              <w:rPr>
                <w:sz w:val="20"/>
              </w:rPr>
              <w:t>Docker Compose</w:t>
            </w:r>
          </w:p>
        </w:tc>
        <w:tc>
          <w:tcPr>
            <w:tcW w:type="dxa" w:w="2160"/>
          </w:tcPr>
          <w:p>
            <w:r>
              <w:rPr>
                <w:sz w:val="20"/>
              </w:rPr>
              <w:t>Services, networking, health, volumes</w:t>
            </w:r>
          </w:p>
        </w:tc>
        <w:tc>
          <w:tcPr>
            <w:tcW w:type="dxa" w:w="2160"/>
          </w:tcPr>
          <w:p>
            <w:r>
              <w:rPr>
                <w:sz w:val="20"/>
              </w:rPr>
              <w:t>Required</w:t>
            </w:r>
          </w:p>
        </w:tc>
      </w:tr>
      <w:tr>
        <w:tc>
          <w:tcPr>
            <w:tcW w:type="dxa" w:w="2160"/>
          </w:tcPr>
          <w:p>
            <w:r>
              <w:rPr>
                <w:sz w:val="20"/>
              </w:rPr>
              <w:t>15</w:t>
            </w:r>
          </w:p>
        </w:tc>
        <w:tc>
          <w:tcPr>
            <w:tcW w:type="dxa" w:w="2160"/>
          </w:tcPr>
          <w:p>
            <w:r>
              <w:rPr>
                <w:sz w:val="20"/>
              </w:rPr>
              <w:t>GitHub Actions + MkDocs</w:t>
            </w:r>
          </w:p>
        </w:tc>
        <w:tc>
          <w:tcPr>
            <w:tcW w:type="dxa" w:w="2160"/>
          </w:tcPr>
          <w:p>
            <w:r>
              <w:rPr>
                <w:sz w:val="20"/>
              </w:rPr>
              <w:t>CI and documentation</w:t>
            </w:r>
          </w:p>
        </w:tc>
        <w:tc>
          <w:tcPr>
            <w:tcW w:type="dxa" w:w="2160"/>
          </w:tcPr>
          <w:p>
            <w:r>
              <w:rPr>
                <w:sz w:val="20"/>
              </w:rPr>
              <w:t>Development</w:t>
            </w:r>
          </w:p>
        </w:tc>
      </w:tr>
    </w:tbl>
    <w:p/>
    <w:p>
      <w:pPr>
        <w:pStyle w:val="Heading2"/>
      </w:pPr>
      <w:r>
        <w:t>3.3 Data-source modes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A4A"/>
          </w:tcPr>
          <w:p>
            <w:r>
              <w:rPr>
                <w:b/>
                <w:color w:val="FFFFFF"/>
              </w:rPr>
              <w:t>Mode</w:t>
            </w:r>
          </w:p>
        </w:tc>
        <w:tc>
          <w:tcPr>
            <w:tcW w:type="dxa" w:w="2880"/>
            <w:shd w:val="clear" w:color="auto" w:fill="0B2A4A"/>
          </w:tcPr>
          <w:p>
            <w:r>
              <w:rPr>
                <w:b/>
                <w:color w:val="FFFFFF"/>
              </w:rPr>
              <w:t>Behaviour</w:t>
            </w:r>
          </w:p>
        </w:tc>
        <w:tc>
          <w:tcPr>
            <w:tcW w:type="dxa" w:w="2880"/>
            <w:shd w:val="clear" w:color="auto" w:fill="0B2A4A"/>
          </w:tcPr>
          <w:p>
            <w:r>
              <w:rPr>
                <w:b/>
                <w:color w:val="FFFFFF"/>
              </w:rPr>
              <w:t>When to use it</w:t>
            </w:r>
          </w:p>
        </w:tc>
      </w:tr>
      <w:tr>
        <w:tc>
          <w:tcPr>
            <w:tcW w:type="dxa" w:w="2880"/>
          </w:tcPr>
          <w:p>
            <w:r>
              <w:rPr>
                <w:sz w:val="20"/>
              </w:rPr>
              <w:t>sample</w:t>
            </w:r>
          </w:p>
        </w:tc>
        <w:tc>
          <w:tcPr>
            <w:tcW w:type="dxa" w:w="2880"/>
          </w:tcPr>
          <w:p>
            <w:r>
              <w:rPr>
                <w:sz w:val="20"/>
              </w:rPr>
              <w:t>Replays bundled data with no internet dependency</w:t>
            </w:r>
          </w:p>
        </w:tc>
        <w:tc>
          <w:tcPr>
            <w:tcW w:type="dxa" w:w="2880"/>
          </w:tcPr>
          <w:p>
            <w:r>
              <w:rPr>
                <w:sz w:val="20"/>
              </w:rPr>
              <w:t>All ticket work in the WorkForge workspace</w:t>
            </w:r>
          </w:p>
        </w:tc>
      </w:tr>
      <w:tr>
        <w:tc>
          <w:tcPr>
            <w:tcW w:type="dxa" w:w="2880"/>
          </w:tcPr>
          <w:p>
            <w:r>
              <w:rPr>
                <w:sz w:val="20"/>
              </w:rPr>
              <w:t>auto</w:t>
            </w:r>
          </w:p>
        </w:tc>
        <w:tc>
          <w:tcPr>
            <w:tcW w:type="dxa" w:w="2880"/>
          </w:tcPr>
          <w:p>
            <w:r>
              <w:rPr>
                <w:sz w:val="20"/>
              </w:rPr>
              <w:t>Tries Yahoo Finance, falls back to sample during a cooldown if unreachable</w:t>
            </w:r>
          </w:p>
        </w:tc>
        <w:tc>
          <w:tcPr>
            <w:tcW w:type="dxa" w:w="2880"/>
          </w:tcPr>
          <w:p>
            <w:r>
              <w:rPr>
                <w:sz w:val="20"/>
              </w:rPr>
              <w:t>Local demos</w:t>
            </w:r>
          </w:p>
        </w:tc>
      </w:tr>
      <w:tr>
        <w:tc>
          <w:tcPr>
            <w:tcW w:type="dxa" w:w="2880"/>
          </w:tcPr>
          <w:p>
            <w:r>
              <w:rPr>
                <w:sz w:val="20"/>
              </w:rPr>
              <w:t>live</w:t>
            </w:r>
          </w:p>
        </w:tc>
        <w:tc>
          <w:tcPr>
            <w:tcW w:type="dxa" w:w="2880"/>
          </w:tcPr>
          <w:p>
            <w:r>
              <w:rPr>
                <w:sz w:val="20"/>
              </w:rPr>
              <w:t>Requires Yahoo Finance; surfaces retrieval failures instead of falling back</w:t>
            </w:r>
          </w:p>
        </w:tc>
        <w:tc>
          <w:tcPr>
            <w:tcW w:type="dxa" w:w="2880"/>
          </w:tcPr>
          <w:p>
            <w:r>
              <w:rPr>
                <w:sz w:val="20"/>
              </w:rPr>
              <w:t>Final live-integration milestone</w:t>
            </w:r>
          </w:p>
        </w:tc>
      </w:tr>
    </w:tbl>
    <w:p/>
    <w:p>
      <w:pPr>
        <w:pStyle w:val="Heading2"/>
      </w:pPr>
      <w:r>
        <w:t>3.4 Dual storage</w:t>
      </w:r>
    </w:p>
    <w:p>
      <w:r>
        <w:t>Every valid bar is written twice, for different purposes — a standard lake-plus-warehouse pattern:</w:t>
      </w:r>
    </w:p>
    <w:p>
      <w:pPr>
        <w:pStyle w:val="ListBullet"/>
      </w:pPr>
      <w:r>
        <w:t>PostgreSQL — raw_ohlcv (normalized source bars) and processed_indicators (calculated values), keyed on the idempotent (ticker, timestamp) grain. The dashboard and dbt both query PostgreSQL.</w:t>
      </w:r>
    </w:p>
    <w:p>
      <w:pPr>
        <w:pStyle w:val="ListBullet"/>
      </w:pPr>
      <w:r>
        <w:t>MinIO — immutable Parquet objects via an S3-compatible API, in bucket raw-ohlcv, preserving file-based raw history separately from the query database.</w:t>
      </w:r>
    </w:p>
    <w:p>
      <w:pPr>
        <w:pStyle w:val="Heading2"/>
      </w:pPr>
      <w:r>
        <w:t>3.5 Ports and network 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2A4A"/>
          </w:tcPr>
          <w:p>
            <w:r>
              <w:rPr>
                <w:b/>
                <w:color w:val="FFFFFF"/>
              </w:rPr>
              <w:t>Service</w:t>
            </w:r>
          </w:p>
        </w:tc>
        <w:tc>
          <w:tcPr>
            <w:tcW w:type="dxa" w:w="2160"/>
            <w:shd w:val="clear" w:color="auto" w:fill="0B2A4A"/>
          </w:tcPr>
          <w:p>
            <w:r>
              <w:rPr>
                <w:b/>
                <w:color w:val="FFFFFF"/>
              </w:rPr>
              <w:t>Container address</w:t>
            </w:r>
          </w:p>
        </w:tc>
        <w:tc>
          <w:tcPr>
            <w:tcW w:type="dxa" w:w="2160"/>
            <w:shd w:val="clear" w:color="auto" w:fill="0B2A4A"/>
          </w:tcPr>
          <w:p>
            <w:r>
              <w:rPr>
                <w:b/>
                <w:color w:val="FFFFFF"/>
              </w:rPr>
              <w:t>Host address</w:t>
            </w:r>
          </w:p>
        </w:tc>
        <w:tc>
          <w:tcPr>
            <w:tcW w:type="dxa" w:w="2160"/>
            <w:shd w:val="clear" w:color="auto" w:fill="0B2A4A"/>
          </w:tcPr>
          <w:p>
            <w:r>
              <w:rPr>
                <w:b/>
                <w:color w:val="FFFFFF"/>
              </w:rPr>
              <w:t>Clients</w:t>
            </w:r>
          </w:p>
        </w:tc>
      </w:tr>
      <w:tr>
        <w:tc>
          <w:tcPr>
            <w:tcW w:type="dxa" w:w="2160"/>
          </w:tcPr>
          <w:p>
            <w:r>
              <w:rPr>
                <w:sz w:val="20"/>
              </w:rPr>
              <w:t>Redis</w:t>
            </w:r>
          </w:p>
        </w:tc>
        <w:tc>
          <w:tcPr>
            <w:tcW w:type="dxa" w:w="2160"/>
          </w:tcPr>
          <w:p>
            <w:r>
              <w:rPr>
                <w:sz w:val="20"/>
              </w:rPr>
              <w:t>redis:6379</w:t>
            </w:r>
          </w:p>
        </w:tc>
        <w:tc>
          <w:tcPr>
            <w:tcW w:type="dxa" w:w="2160"/>
          </w:tcPr>
          <w:p>
            <w:r>
              <w:rPr>
                <w:sz w:val="20"/>
              </w:rPr>
              <w:t>127.0.0.1:6379</w:t>
            </w:r>
          </w:p>
        </w:tc>
        <w:tc>
          <w:tcPr>
            <w:tcW w:type="dxa" w:w="2160"/>
          </w:tcPr>
          <w:p>
            <w:r>
              <w:rPr>
                <w:sz w:val="20"/>
              </w:rPr>
              <w:t>Producer, consumer, importer</w:t>
            </w:r>
          </w:p>
        </w:tc>
      </w:tr>
      <w:tr>
        <w:tc>
          <w:tcPr>
            <w:tcW w:type="dxa" w:w="2160"/>
          </w:tcPr>
          <w:p>
            <w:r>
              <w:rPr>
                <w:sz w:val="20"/>
              </w:rPr>
              <w:t>PostgreSQL</w:t>
            </w:r>
          </w:p>
        </w:tc>
        <w:tc>
          <w:tcPr>
            <w:tcW w:type="dxa" w:w="2160"/>
          </w:tcPr>
          <w:p>
            <w:r>
              <w:rPr>
                <w:sz w:val="20"/>
              </w:rPr>
              <w:t>postgres:5432</w:t>
            </w:r>
          </w:p>
        </w:tc>
        <w:tc>
          <w:tcPr>
            <w:tcW w:type="dxa" w:w="2160"/>
          </w:tcPr>
          <w:p>
            <w:r>
              <w:rPr>
                <w:sz w:val="20"/>
              </w:rPr>
              <w:t>127.0.0.1:5432</w:t>
            </w:r>
          </w:p>
        </w:tc>
        <w:tc>
          <w:tcPr>
            <w:tcW w:type="dxa" w:w="2160"/>
          </w:tcPr>
          <w:p>
            <w:r>
              <w:rPr>
                <w:sz w:val="20"/>
              </w:rPr>
              <w:t>Consumer, dashboard, dbt</w:t>
            </w:r>
          </w:p>
        </w:tc>
      </w:tr>
      <w:tr>
        <w:tc>
          <w:tcPr>
            <w:tcW w:type="dxa" w:w="2160"/>
          </w:tcPr>
          <w:p>
            <w:r>
              <w:rPr>
                <w:sz w:val="20"/>
              </w:rPr>
              <w:t>MinIO API</w:t>
            </w:r>
          </w:p>
        </w:tc>
        <w:tc>
          <w:tcPr>
            <w:tcW w:type="dxa" w:w="2160"/>
          </w:tcPr>
          <w:p>
            <w:r>
              <w:rPr>
                <w:sz w:val="20"/>
              </w:rPr>
              <w:t>minio:9000</w:t>
            </w:r>
          </w:p>
        </w:tc>
        <w:tc>
          <w:tcPr>
            <w:tcW w:type="dxa" w:w="2160"/>
          </w:tcPr>
          <w:p>
            <w:r>
              <w:rPr>
                <w:sz w:val="20"/>
              </w:rPr>
              <w:t>127.0.0.1:9000</w:t>
            </w:r>
          </w:p>
        </w:tc>
        <w:tc>
          <w:tcPr>
            <w:tcW w:type="dxa" w:w="2160"/>
          </w:tcPr>
          <w:p>
            <w:r>
              <w:rPr>
                <w:sz w:val="20"/>
              </w:rPr>
              <w:t>Consumer, MinIO client</w:t>
            </w:r>
          </w:p>
        </w:tc>
      </w:tr>
      <w:tr>
        <w:tc>
          <w:tcPr>
            <w:tcW w:type="dxa" w:w="2160"/>
          </w:tcPr>
          <w:p>
            <w:r>
              <w:rPr>
                <w:sz w:val="20"/>
              </w:rPr>
              <w:t>MinIO console</w:t>
            </w:r>
          </w:p>
        </w:tc>
        <w:tc>
          <w:tcPr>
            <w:tcW w:type="dxa" w:w="2160"/>
          </w:tcPr>
          <w:p>
            <w:r>
              <w:rPr>
                <w:sz w:val="20"/>
              </w:rPr>
              <w:t>minio:9001</w:t>
            </w:r>
          </w:p>
        </w:tc>
        <w:tc>
          <w:tcPr>
            <w:tcW w:type="dxa" w:w="2160"/>
          </w:tcPr>
          <w:p>
            <w:r>
              <w:rPr>
                <w:sz w:val="20"/>
              </w:rPr>
              <w:t>http://localhost:9001</w:t>
            </w:r>
          </w:p>
        </w:tc>
        <w:tc>
          <w:tcPr>
            <w:tcW w:type="dxa" w:w="2160"/>
          </w:tcPr>
          <w:p>
            <w:r>
              <w:rPr>
                <w:sz w:val="20"/>
              </w:rPr>
              <w:t>Administrator / candidate inspection</w:t>
            </w:r>
          </w:p>
        </w:tc>
      </w:tr>
      <w:tr>
        <w:tc>
          <w:tcPr>
            <w:tcW w:type="dxa" w:w="2160"/>
          </w:tcPr>
          <w:p>
            <w:r>
              <w:rPr>
                <w:sz w:val="20"/>
              </w:rPr>
              <w:t>Dashboard</w:t>
            </w:r>
          </w:p>
        </w:tc>
        <w:tc>
          <w:tcPr>
            <w:tcW w:type="dxa" w:w="2160"/>
          </w:tcPr>
          <w:p>
            <w:r>
              <w:rPr>
                <w:sz w:val="20"/>
              </w:rPr>
              <w:t>dashboard:8501</w:t>
            </w:r>
          </w:p>
        </w:tc>
        <w:tc>
          <w:tcPr>
            <w:tcW w:type="dxa" w:w="2160"/>
          </w:tcPr>
          <w:p>
            <w:r>
              <w:rPr>
                <w:sz w:val="20"/>
              </w:rPr>
              <w:t>http://localhost:8501</w:t>
            </w:r>
          </w:p>
        </w:tc>
        <w:tc>
          <w:tcPr>
            <w:tcW w:type="dxa" w:w="2160"/>
          </w:tcPr>
          <w:p>
            <w:r>
              <w:rPr>
                <w:sz w:val="20"/>
              </w:rPr>
              <w:t>Candidate browser</w:t>
            </w:r>
          </w:p>
        </w:tc>
      </w:tr>
    </w:tbl>
    <w:p/>
    <w:p>
      <w:r>
        <w:br w:type="page"/>
      </w:r>
    </w:p>
    <w:p>
      <w:pPr>
        <w:pStyle w:val="Heading1"/>
      </w:pPr>
      <w:r>
        <w:t>4. Ticket / task map (17 tickets, 5 modules)</w:t>
      </w:r>
    </w:p>
    <w:p>
      <w:r>
        <w:t>Each ticket on the Jira board maps to specific files in the repository, so the candidate always knows where to work.</w:t>
      </w:r>
    </w:p>
    <w:p>
      <w:pPr>
        <w:pStyle w:val="Heading2"/>
      </w:pPr>
      <w:r>
        <w:t>Module 1 — Setup &amp; ingestion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A4A"/>
          </w:tcPr>
          <w:p>
            <w:r>
              <w:rPr>
                <w:b/>
                <w:color w:val="FFFFFF"/>
              </w:rPr>
              <w:t>Ticket</w:t>
            </w:r>
          </w:p>
        </w:tc>
        <w:tc>
          <w:tcPr>
            <w:tcW w:type="dxa" w:w="2880"/>
            <w:shd w:val="clear" w:color="auto" w:fill="0B2A4A"/>
          </w:tcPr>
          <w:p>
            <w:r>
              <w:rPr>
                <w:b/>
                <w:color w:val="FFFFFF"/>
              </w:rPr>
              <w:t>Title</w:t>
            </w:r>
          </w:p>
        </w:tc>
        <w:tc>
          <w:tcPr>
            <w:tcW w:type="dxa" w:w="2880"/>
            <w:shd w:val="clear" w:color="auto" w:fill="0B2A4A"/>
          </w:tcPr>
          <w:p>
            <w:r>
              <w:rPr>
                <w:b/>
                <w:color w:val="FFFFFF"/>
              </w:rPr>
              <w:t>Primary files</w:t>
            </w:r>
          </w:p>
        </w:tc>
      </w:tr>
      <w:tr>
        <w:tc>
          <w:tcPr>
            <w:tcW w:type="dxa" w:w="2880"/>
          </w:tcPr>
          <w:p>
            <w:r>
              <w:rPr>
                <w:sz w:val="20"/>
              </w:rPr>
              <w:t>1</w:t>
            </w:r>
          </w:p>
        </w:tc>
        <w:tc>
          <w:tcPr>
            <w:tcW w:type="dxa" w:w="2880"/>
          </w:tcPr>
          <w:p>
            <w:r>
              <w:rPr>
                <w:sz w:val="20"/>
              </w:rPr>
              <w:t>Project scaffolding</w:t>
            </w:r>
          </w:p>
        </w:tc>
        <w:tc>
          <w:tcPr>
            <w:tcW w:type="dxa" w:w="2880"/>
          </w:tcPr>
          <w:p>
            <w:r>
              <w:rPr>
                <w:sz w:val="20"/>
              </w:rPr>
              <w:t>repo layout, .gitignore</w:t>
            </w:r>
          </w:p>
        </w:tc>
      </w:tr>
      <w:tr>
        <w:tc>
          <w:tcPr>
            <w:tcW w:type="dxa" w:w="2880"/>
          </w:tcPr>
          <w:p>
            <w:r>
              <w:rPr>
                <w:sz w:val="20"/>
              </w:rPr>
              <w:t>2</w:t>
            </w:r>
          </w:p>
        </w:tc>
        <w:tc>
          <w:tcPr>
            <w:tcW w:type="dxa" w:w="2880"/>
          </w:tcPr>
          <w:p>
            <w:r>
              <w:rPr>
                <w:sz w:val="20"/>
              </w:rPr>
              <w:t>Environment &amp; dependencies</w:t>
            </w:r>
          </w:p>
        </w:tc>
        <w:tc>
          <w:tcPr>
            <w:tcW w:type="dxa" w:w="2880"/>
          </w:tcPr>
          <w:p>
            <w:r>
              <w:rPr>
                <w:sz w:val="20"/>
              </w:rPr>
              <w:t>requirements.txt, .env.example</w:t>
            </w:r>
          </w:p>
        </w:tc>
      </w:tr>
      <w:tr>
        <w:tc>
          <w:tcPr>
            <w:tcW w:type="dxa" w:w="2880"/>
          </w:tcPr>
          <w:p>
            <w:r>
              <w:rPr>
                <w:sz w:val="20"/>
              </w:rPr>
              <w:t>3</w:t>
            </w:r>
          </w:p>
        </w:tc>
        <w:tc>
          <w:tcPr>
            <w:tcW w:type="dxa" w:w="2880"/>
          </w:tcPr>
          <w:p>
            <w:r>
              <w:rPr>
                <w:sz w:val="20"/>
              </w:rPr>
              <w:t>API integration</w:t>
            </w:r>
          </w:p>
        </w:tc>
        <w:tc>
          <w:tcPr>
            <w:tcW w:type="dxa" w:w="2880"/>
          </w:tcPr>
          <w:p>
            <w:r>
              <w:rPr>
                <w:sz w:val="20"/>
              </w:rPr>
              <w:t>src/ingestion/fetcher.py</w:t>
            </w:r>
          </w:p>
        </w:tc>
      </w:tr>
    </w:tbl>
    <w:p/>
    <w:p>
      <w:pPr>
        <w:pStyle w:val="Heading2"/>
      </w:pPr>
      <w:r>
        <w:t>Module 2 — Streaming &amp; storage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A4A"/>
          </w:tcPr>
          <w:p>
            <w:r>
              <w:rPr>
                <w:b/>
                <w:color w:val="FFFFFF"/>
              </w:rPr>
              <w:t>Ticket</w:t>
            </w:r>
          </w:p>
        </w:tc>
        <w:tc>
          <w:tcPr>
            <w:tcW w:type="dxa" w:w="2880"/>
            <w:shd w:val="clear" w:color="auto" w:fill="0B2A4A"/>
          </w:tcPr>
          <w:p>
            <w:r>
              <w:rPr>
                <w:b/>
                <w:color w:val="FFFFFF"/>
              </w:rPr>
              <w:t>Title</w:t>
            </w:r>
          </w:p>
        </w:tc>
        <w:tc>
          <w:tcPr>
            <w:tcW w:type="dxa" w:w="2880"/>
            <w:shd w:val="clear" w:color="auto" w:fill="0B2A4A"/>
          </w:tcPr>
          <w:p>
            <w:r>
              <w:rPr>
                <w:b/>
                <w:color w:val="FFFFFF"/>
              </w:rPr>
              <w:t>Primary files</w:t>
            </w:r>
          </w:p>
        </w:tc>
      </w:tr>
      <w:tr>
        <w:tc>
          <w:tcPr>
            <w:tcW w:type="dxa" w:w="2880"/>
          </w:tcPr>
          <w:p>
            <w:r>
              <w:rPr>
                <w:sz w:val="20"/>
              </w:rPr>
              <w:t>4</w:t>
            </w:r>
          </w:p>
        </w:tc>
        <w:tc>
          <w:tcPr>
            <w:tcW w:type="dxa" w:w="2880"/>
          </w:tcPr>
          <w:p>
            <w:r>
              <w:rPr>
                <w:sz w:val="20"/>
              </w:rPr>
              <w:t>Real-time producer</w:t>
            </w:r>
          </w:p>
        </w:tc>
        <w:tc>
          <w:tcPr>
            <w:tcW w:type="dxa" w:w="2880"/>
          </w:tcPr>
          <w:p>
            <w:r>
              <w:rPr>
                <w:sz w:val="20"/>
              </w:rPr>
              <w:t>src/ingestion/producer.py</w:t>
            </w:r>
          </w:p>
        </w:tc>
      </w:tr>
      <w:tr>
        <w:tc>
          <w:tcPr>
            <w:tcW w:type="dxa" w:w="2880"/>
          </w:tcPr>
          <w:p>
            <w:r>
              <w:rPr>
                <w:sz w:val="20"/>
              </w:rPr>
              <w:t>5</w:t>
            </w:r>
          </w:p>
        </w:tc>
        <w:tc>
          <w:tcPr>
            <w:tcW w:type="dxa" w:w="2880"/>
          </w:tcPr>
          <w:p>
            <w:r>
              <w:rPr>
                <w:sz w:val="20"/>
              </w:rPr>
              <w:t>Message consumer</w:t>
            </w:r>
          </w:p>
        </w:tc>
        <w:tc>
          <w:tcPr>
            <w:tcW w:type="dxa" w:w="2880"/>
          </w:tcPr>
          <w:p>
            <w:r>
              <w:rPr>
                <w:sz w:val="20"/>
              </w:rPr>
              <w:t>src/processing/consumer.py, schema.py</w:t>
            </w:r>
          </w:p>
        </w:tc>
      </w:tr>
      <w:tr>
        <w:tc>
          <w:tcPr>
            <w:tcW w:type="dxa" w:w="2880"/>
          </w:tcPr>
          <w:p>
            <w:r>
              <w:rPr>
                <w:sz w:val="20"/>
              </w:rPr>
              <w:t>6</w:t>
            </w:r>
          </w:p>
        </w:tc>
        <w:tc>
          <w:tcPr>
            <w:tcW w:type="dxa" w:w="2880"/>
          </w:tcPr>
          <w:p>
            <w:r>
              <w:rPr>
                <w:sz w:val="20"/>
              </w:rPr>
              <w:t>Raw data storage</w:t>
            </w:r>
          </w:p>
        </w:tc>
        <w:tc>
          <w:tcPr>
            <w:tcW w:type="dxa" w:w="2880"/>
          </w:tcPr>
          <w:p>
            <w:r>
              <w:rPr>
                <w:sz w:val="20"/>
              </w:rPr>
              <w:t>src/storage/minio_writer.py</w:t>
            </w:r>
          </w:p>
        </w:tc>
      </w:tr>
      <w:tr>
        <w:tc>
          <w:tcPr>
            <w:tcW w:type="dxa" w:w="2880"/>
          </w:tcPr>
          <w:p>
            <w:r>
              <w:rPr>
                <w:sz w:val="20"/>
              </w:rPr>
              <w:t>7</w:t>
            </w:r>
          </w:p>
        </w:tc>
        <w:tc>
          <w:tcPr>
            <w:tcW w:type="dxa" w:w="2880"/>
          </w:tcPr>
          <w:p>
            <w:r>
              <w:rPr>
                <w:sz w:val="20"/>
              </w:rPr>
              <w:t>Logging &amp; monitoring</w:t>
            </w:r>
          </w:p>
        </w:tc>
        <w:tc>
          <w:tcPr>
            <w:tcW w:type="dxa" w:w="2880"/>
          </w:tcPr>
          <w:p>
            <w:r>
              <w:rPr>
                <w:sz w:val="20"/>
              </w:rPr>
              <w:t>src/utils/logging_config.py, health_check.py</w:t>
            </w:r>
          </w:p>
        </w:tc>
      </w:tr>
    </w:tbl>
    <w:p/>
    <w:p>
      <w:pPr>
        <w:pStyle w:val="Heading2"/>
      </w:pPr>
      <w:r>
        <w:t>Module 3 — Processing &amp; database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A4A"/>
          </w:tcPr>
          <w:p>
            <w:r>
              <w:rPr>
                <w:b/>
                <w:color w:val="FFFFFF"/>
              </w:rPr>
              <w:t>Ticket</w:t>
            </w:r>
          </w:p>
        </w:tc>
        <w:tc>
          <w:tcPr>
            <w:tcW w:type="dxa" w:w="2880"/>
            <w:shd w:val="clear" w:color="auto" w:fill="0B2A4A"/>
          </w:tcPr>
          <w:p>
            <w:r>
              <w:rPr>
                <w:b/>
                <w:color w:val="FFFFFF"/>
              </w:rPr>
              <w:t>Title</w:t>
            </w:r>
          </w:p>
        </w:tc>
        <w:tc>
          <w:tcPr>
            <w:tcW w:type="dxa" w:w="2880"/>
            <w:shd w:val="clear" w:color="auto" w:fill="0B2A4A"/>
          </w:tcPr>
          <w:p>
            <w:r>
              <w:rPr>
                <w:b/>
                <w:color w:val="FFFFFF"/>
              </w:rPr>
              <w:t>Primary files</w:t>
            </w:r>
          </w:p>
        </w:tc>
      </w:tr>
      <w:tr>
        <w:tc>
          <w:tcPr>
            <w:tcW w:type="dxa" w:w="2880"/>
          </w:tcPr>
          <w:p>
            <w:r>
              <w:rPr>
                <w:sz w:val="20"/>
              </w:rPr>
              <w:t>8</w:t>
            </w:r>
          </w:p>
        </w:tc>
        <w:tc>
          <w:tcPr>
            <w:tcW w:type="dxa" w:w="2880"/>
          </w:tcPr>
          <w:p>
            <w:r>
              <w:rPr>
                <w:sz w:val="20"/>
              </w:rPr>
              <w:t>Data cleaning</w:t>
            </w:r>
          </w:p>
        </w:tc>
        <w:tc>
          <w:tcPr>
            <w:tcW w:type="dxa" w:w="2880"/>
          </w:tcPr>
          <w:p>
            <w:r>
              <w:rPr>
                <w:sz w:val="20"/>
              </w:rPr>
              <w:t>src/processing/cleaner.py</w:t>
            </w:r>
          </w:p>
        </w:tc>
      </w:tr>
      <w:tr>
        <w:tc>
          <w:tcPr>
            <w:tcW w:type="dxa" w:w="2880"/>
          </w:tcPr>
          <w:p>
            <w:r>
              <w:rPr>
                <w:sz w:val="20"/>
              </w:rPr>
              <w:t>9</w:t>
            </w:r>
          </w:p>
        </w:tc>
        <w:tc>
          <w:tcPr>
            <w:tcW w:type="dxa" w:w="2880"/>
          </w:tcPr>
          <w:p>
            <w:r>
              <w:rPr>
                <w:sz w:val="20"/>
              </w:rPr>
              <w:t>Technical indicators</w:t>
            </w:r>
          </w:p>
        </w:tc>
        <w:tc>
          <w:tcPr>
            <w:tcW w:type="dxa" w:w="2880"/>
          </w:tcPr>
          <w:p>
            <w:r>
              <w:rPr>
                <w:sz w:val="20"/>
              </w:rPr>
              <w:t>src/processing/indicators.py, tests/test_indicators.py</w:t>
            </w:r>
          </w:p>
        </w:tc>
      </w:tr>
      <w:tr>
        <w:tc>
          <w:tcPr>
            <w:tcW w:type="dxa" w:w="2880"/>
          </w:tcPr>
          <w:p>
            <w:r>
              <w:rPr>
                <w:sz w:val="20"/>
              </w:rPr>
              <w:t>10</w:t>
            </w:r>
          </w:p>
        </w:tc>
        <w:tc>
          <w:tcPr>
            <w:tcW w:type="dxa" w:w="2880"/>
          </w:tcPr>
          <w:p>
            <w:r>
              <w:rPr>
                <w:sz w:val="20"/>
              </w:rPr>
              <w:t>Database modeling</w:t>
            </w:r>
          </w:p>
        </w:tc>
        <w:tc>
          <w:tcPr>
            <w:tcW w:type="dxa" w:w="2880"/>
          </w:tcPr>
          <w:p>
            <w:r>
              <w:rPr>
                <w:sz w:val="20"/>
              </w:rPr>
              <w:t>sql/schema.sql</w:t>
            </w:r>
          </w:p>
        </w:tc>
      </w:tr>
      <w:tr>
        <w:tc>
          <w:tcPr>
            <w:tcW w:type="dxa" w:w="2880"/>
          </w:tcPr>
          <w:p>
            <w:r>
              <w:rPr>
                <w:sz w:val="20"/>
              </w:rPr>
              <w:t>11</w:t>
            </w:r>
          </w:p>
        </w:tc>
        <w:tc>
          <w:tcPr>
            <w:tcW w:type="dxa" w:w="2880"/>
          </w:tcPr>
          <w:p>
            <w:r>
              <w:rPr>
                <w:sz w:val="20"/>
              </w:rPr>
              <w:t>dbt transformations</w:t>
            </w:r>
          </w:p>
        </w:tc>
        <w:tc>
          <w:tcPr>
            <w:tcW w:type="dxa" w:w="2880"/>
          </w:tcPr>
          <w:p>
            <w:r>
              <w:rPr>
                <w:sz w:val="20"/>
              </w:rPr>
              <w:t>dbt_project/models/</w:t>
            </w:r>
          </w:p>
        </w:tc>
      </w:tr>
    </w:tbl>
    <w:p/>
    <w:p>
      <w:pPr>
        <w:pStyle w:val="Heading2"/>
      </w:pPr>
      <w:r>
        <w:t>Module 4 — Dashboard &amp; alerts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A4A"/>
          </w:tcPr>
          <w:p>
            <w:r>
              <w:rPr>
                <w:b/>
                <w:color w:val="FFFFFF"/>
              </w:rPr>
              <w:t>Ticket</w:t>
            </w:r>
          </w:p>
        </w:tc>
        <w:tc>
          <w:tcPr>
            <w:tcW w:type="dxa" w:w="2880"/>
            <w:shd w:val="clear" w:color="auto" w:fill="0B2A4A"/>
          </w:tcPr>
          <w:p>
            <w:r>
              <w:rPr>
                <w:b/>
                <w:color w:val="FFFFFF"/>
              </w:rPr>
              <w:t>Title</w:t>
            </w:r>
          </w:p>
        </w:tc>
        <w:tc>
          <w:tcPr>
            <w:tcW w:type="dxa" w:w="2880"/>
            <w:shd w:val="clear" w:color="auto" w:fill="0B2A4A"/>
          </w:tcPr>
          <w:p>
            <w:r>
              <w:rPr>
                <w:b/>
                <w:color w:val="FFFFFF"/>
              </w:rPr>
              <w:t>Primary files</w:t>
            </w:r>
          </w:p>
        </w:tc>
      </w:tr>
      <w:tr>
        <w:tc>
          <w:tcPr>
            <w:tcW w:type="dxa" w:w="2880"/>
          </w:tcPr>
          <w:p>
            <w:r>
              <w:rPr>
                <w:sz w:val="20"/>
              </w:rPr>
              <w:t>12</w:t>
            </w:r>
          </w:p>
        </w:tc>
        <w:tc>
          <w:tcPr>
            <w:tcW w:type="dxa" w:w="2880"/>
          </w:tcPr>
          <w:p>
            <w:r>
              <w:rPr>
                <w:sz w:val="20"/>
              </w:rPr>
              <w:t>Streamlit dashboard</w:t>
            </w:r>
          </w:p>
        </w:tc>
        <w:tc>
          <w:tcPr>
            <w:tcW w:type="dxa" w:w="2880"/>
          </w:tcPr>
          <w:p>
            <w:r>
              <w:rPr>
                <w:sz w:val="20"/>
              </w:rPr>
              <w:t>src/dashboard/app.py</w:t>
            </w:r>
          </w:p>
        </w:tc>
      </w:tr>
      <w:tr>
        <w:tc>
          <w:tcPr>
            <w:tcW w:type="dxa" w:w="2880"/>
          </w:tcPr>
          <w:p>
            <w:r>
              <w:rPr>
                <w:sz w:val="20"/>
              </w:rPr>
              <w:t>13</w:t>
            </w:r>
          </w:p>
        </w:tc>
        <w:tc>
          <w:tcPr>
            <w:tcW w:type="dxa" w:w="2880"/>
          </w:tcPr>
          <w:p>
            <w:r>
              <w:rPr>
                <w:sz w:val="20"/>
              </w:rPr>
              <w:t>Crossover detection</w:t>
            </w:r>
          </w:p>
        </w:tc>
        <w:tc>
          <w:tcPr>
            <w:tcW w:type="dxa" w:w="2880"/>
          </w:tcPr>
          <w:p>
            <w:r>
              <w:rPr>
                <w:sz w:val="20"/>
              </w:rPr>
              <w:t>src/processing/signals.py</w:t>
            </w:r>
          </w:p>
        </w:tc>
      </w:tr>
      <w:tr>
        <w:tc>
          <w:tcPr>
            <w:tcW w:type="dxa" w:w="2880"/>
          </w:tcPr>
          <w:p>
            <w:r>
              <w:rPr>
                <w:sz w:val="20"/>
              </w:rPr>
              <w:t>14</w:t>
            </w:r>
          </w:p>
        </w:tc>
        <w:tc>
          <w:tcPr>
            <w:tcW w:type="dxa" w:w="2880"/>
          </w:tcPr>
          <w:p>
            <w:r>
              <w:rPr>
                <w:sz w:val="20"/>
              </w:rPr>
              <w:t>Email alerts</w:t>
            </w:r>
          </w:p>
        </w:tc>
        <w:tc>
          <w:tcPr>
            <w:tcW w:type="dxa" w:w="2880"/>
          </w:tcPr>
          <w:p>
            <w:r>
              <w:rPr>
                <w:sz w:val="20"/>
              </w:rPr>
              <w:t>src/alerts/notifier.py</w:t>
            </w:r>
          </w:p>
        </w:tc>
      </w:tr>
    </w:tbl>
    <w:p/>
    <w:p>
      <w:pPr>
        <w:pStyle w:val="Heading2"/>
      </w:pPr>
      <w:r>
        <w:t>Module 5 — Deployment &amp; polish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A4A"/>
          </w:tcPr>
          <w:p>
            <w:r>
              <w:rPr>
                <w:b/>
                <w:color w:val="FFFFFF"/>
              </w:rPr>
              <w:t>Ticket</w:t>
            </w:r>
          </w:p>
        </w:tc>
        <w:tc>
          <w:tcPr>
            <w:tcW w:type="dxa" w:w="2880"/>
            <w:shd w:val="clear" w:color="auto" w:fill="0B2A4A"/>
          </w:tcPr>
          <w:p>
            <w:r>
              <w:rPr>
                <w:b/>
                <w:color w:val="FFFFFF"/>
              </w:rPr>
              <w:t>Title</w:t>
            </w:r>
          </w:p>
        </w:tc>
        <w:tc>
          <w:tcPr>
            <w:tcW w:type="dxa" w:w="2880"/>
            <w:shd w:val="clear" w:color="auto" w:fill="0B2A4A"/>
          </w:tcPr>
          <w:p>
            <w:r>
              <w:rPr>
                <w:b/>
                <w:color w:val="FFFFFF"/>
              </w:rPr>
              <w:t>Primary files</w:t>
            </w:r>
          </w:p>
        </w:tc>
      </w:tr>
      <w:tr>
        <w:tc>
          <w:tcPr>
            <w:tcW w:type="dxa" w:w="2880"/>
          </w:tcPr>
          <w:p>
            <w:r>
              <w:rPr>
                <w:sz w:val="20"/>
              </w:rPr>
              <w:t>15</w:t>
            </w:r>
          </w:p>
        </w:tc>
        <w:tc>
          <w:tcPr>
            <w:tcW w:type="dxa" w:w="2880"/>
          </w:tcPr>
          <w:p>
            <w:r>
              <w:rPr>
                <w:sz w:val="20"/>
              </w:rPr>
              <w:t>Dockerization</w:t>
            </w:r>
          </w:p>
        </w:tc>
        <w:tc>
          <w:tcPr>
            <w:tcW w:type="dxa" w:w="2880"/>
          </w:tcPr>
          <w:p>
            <w:r>
              <w:rPr>
                <w:sz w:val="20"/>
              </w:rPr>
              <w:t>Dockerfile, docker-compose.yml</w:t>
            </w:r>
          </w:p>
        </w:tc>
      </w:tr>
      <w:tr>
        <w:tc>
          <w:tcPr>
            <w:tcW w:type="dxa" w:w="2880"/>
          </w:tcPr>
          <w:p>
            <w:r>
              <w:rPr>
                <w:sz w:val="20"/>
              </w:rPr>
              <w:t>16</w:t>
            </w:r>
          </w:p>
        </w:tc>
        <w:tc>
          <w:tcPr>
            <w:tcW w:type="dxa" w:w="2880"/>
          </w:tcPr>
          <w:p>
            <w:r>
              <w:rPr>
                <w:sz w:val="20"/>
              </w:rPr>
              <w:t>CI/CD</w:t>
            </w:r>
          </w:p>
        </w:tc>
        <w:tc>
          <w:tcPr>
            <w:tcW w:type="dxa" w:w="2880"/>
          </w:tcPr>
          <w:p>
            <w:r>
              <w:rPr>
                <w:sz w:val="20"/>
              </w:rPr>
              <w:t>.github/workflows/ci.yml</w:t>
            </w:r>
          </w:p>
        </w:tc>
      </w:tr>
      <w:tr>
        <w:tc>
          <w:tcPr>
            <w:tcW w:type="dxa" w:w="2880"/>
          </w:tcPr>
          <w:p>
            <w:r>
              <w:rPr>
                <w:sz w:val="20"/>
              </w:rPr>
              <w:t>17</w:t>
            </w:r>
          </w:p>
        </w:tc>
        <w:tc>
          <w:tcPr>
            <w:tcW w:type="dxa" w:w="2880"/>
          </w:tcPr>
          <w:p>
            <w:r>
              <w:rPr>
                <w:sz w:val="20"/>
              </w:rPr>
              <w:t>README &amp; documentation</w:t>
            </w:r>
          </w:p>
        </w:tc>
        <w:tc>
          <w:tcPr>
            <w:tcW w:type="dxa" w:w="2880"/>
          </w:tcPr>
          <w:p>
            <w:r>
              <w:rPr>
                <w:sz w:val="20"/>
              </w:rPr>
              <w:t>README.md, docs/</w:t>
            </w:r>
          </w:p>
        </w:tc>
      </w:tr>
    </w:tbl>
    <w:p/>
    <w:p>
      <w:r>
        <w:br w:type="page"/>
      </w:r>
    </w:p>
    <w:p>
      <w:pPr>
        <w:pStyle w:val="Heading1"/>
      </w:pPr>
      <w:r>
        <w:t>5. Final milestone — connect the finished pipeline to live Yahoo Finance data</w:t>
      </w:r>
    </w:p>
    <w:p>
      <w:pPr>
        <w:shd w:val="clear" w:color="auto" w:fill="EAF4FF"/>
        <w:spacing w:before="120" w:after="200"/>
        <w:ind w:left="216"/>
      </w:pPr>
      <w:r>
        <w:rPr>
          <w:b/>
          <w:color w:val="0B2A4A"/>
          <w:sz w:val="21"/>
        </w:rPr>
        <w:t xml:space="preserve">This is the graduation step:  </w:t>
      </w:r>
      <w:r>
        <w:rPr>
          <w:sz w:val="21"/>
        </w:rPr>
        <w:t>Every ticket up to this point is completed against deterministic sample data. Once ticket 17 is closed and the candidate's own end-to-end checks pass, the last task is to point the already-built database and pipeline at real, live Yahoo Finance market data and confirm the whole system — Redis, PostgreSQL, MinIO, dashboard — behaves correctly against a real feed.</w:t>
      </w:r>
    </w:p>
    <w:p>
      <w:pPr>
        <w:pStyle w:val="Heading2"/>
      </w:pPr>
      <w:r>
        <w:t>5.1 What actually changes</w:t>
      </w:r>
    </w:p>
    <w:p>
      <w:r>
        <w:t>Nothing about the architecture changes — that is the point of the exercise. Only the data source flips. In .env:</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A4A"/>
          </w:tcPr>
          <w:p>
            <w:r>
              <w:rPr>
                <w:b/>
                <w:color w:val="FFFFFF"/>
              </w:rPr>
              <w:t>Variable</w:t>
            </w:r>
          </w:p>
        </w:tc>
        <w:tc>
          <w:tcPr>
            <w:tcW w:type="dxa" w:w="2880"/>
            <w:shd w:val="clear" w:color="auto" w:fill="0B2A4A"/>
          </w:tcPr>
          <w:p>
            <w:r>
              <w:rPr>
                <w:b/>
                <w:color w:val="FFFFFF"/>
              </w:rPr>
              <w:t>Sample-mode value (tickets 1–17)</w:t>
            </w:r>
          </w:p>
        </w:tc>
        <w:tc>
          <w:tcPr>
            <w:tcW w:type="dxa" w:w="2880"/>
            <w:shd w:val="clear" w:color="auto" w:fill="0B2A4A"/>
          </w:tcPr>
          <w:p>
            <w:r>
              <w:rPr>
                <w:b/>
                <w:color w:val="FFFFFF"/>
              </w:rPr>
              <w:t>Live-integration value (final step)</w:t>
            </w:r>
          </w:p>
        </w:tc>
      </w:tr>
      <w:tr>
        <w:tc>
          <w:tcPr>
            <w:tcW w:type="dxa" w:w="2880"/>
          </w:tcPr>
          <w:p>
            <w:r>
              <w:rPr>
                <w:sz w:val="20"/>
              </w:rPr>
              <w:t>DATA_SOURCE</w:t>
            </w:r>
          </w:p>
        </w:tc>
        <w:tc>
          <w:tcPr>
            <w:tcW w:type="dxa" w:w="2880"/>
          </w:tcPr>
          <w:p>
            <w:r>
              <w:rPr>
                <w:sz w:val="20"/>
              </w:rPr>
              <w:t>sample</w:t>
            </w:r>
          </w:p>
        </w:tc>
        <w:tc>
          <w:tcPr>
            <w:tcW w:type="dxa" w:w="2880"/>
          </w:tcPr>
          <w:p>
            <w:r>
              <w:rPr>
                <w:sz w:val="20"/>
              </w:rPr>
              <w:t>auto (recommended) or live</w:t>
            </w:r>
          </w:p>
        </w:tc>
      </w:tr>
      <w:tr>
        <w:tc>
          <w:tcPr>
            <w:tcW w:type="dxa" w:w="2880"/>
          </w:tcPr>
          <w:p>
            <w:r>
              <w:rPr>
                <w:sz w:val="20"/>
              </w:rPr>
              <w:t>POLL_INTERVAL_SECONDS</w:t>
            </w:r>
          </w:p>
        </w:tc>
        <w:tc>
          <w:tcPr>
            <w:tcW w:type="dxa" w:w="2880"/>
          </w:tcPr>
          <w:p>
            <w:r>
              <w:rPr>
                <w:sz w:val="20"/>
              </w:rPr>
              <w:t>0.1</w:t>
            </w:r>
          </w:p>
        </w:tc>
        <w:tc>
          <w:tcPr>
            <w:tcW w:type="dxa" w:w="2880"/>
          </w:tcPr>
          <w:p>
            <w:r>
              <w:rPr>
                <w:sz w:val="20"/>
              </w:rPr>
              <w:t>5 (or higher — real polling cadence)</w:t>
            </w:r>
          </w:p>
        </w:tc>
      </w:tr>
      <w:tr>
        <w:tc>
          <w:tcPr>
            <w:tcW w:type="dxa" w:w="2880"/>
          </w:tcPr>
          <w:p>
            <w:r>
              <w:rPr>
                <w:sz w:val="20"/>
              </w:rPr>
              <w:t>TICKERS</w:t>
            </w:r>
          </w:p>
        </w:tc>
        <w:tc>
          <w:tcPr>
            <w:tcW w:type="dxa" w:w="2880"/>
          </w:tcPr>
          <w:p>
            <w:r>
              <w:rPr>
                <w:sz w:val="20"/>
              </w:rPr>
              <w:t>AAPL,MSFT,GOOGL (or as bundled)</w:t>
            </w:r>
          </w:p>
        </w:tc>
        <w:tc>
          <w:tcPr>
            <w:tcW w:type="dxa" w:w="2880"/>
          </w:tcPr>
          <w:p>
            <w:r>
              <w:rPr>
                <w:sz w:val="20"/>
              </w:rPr>
              <w:t>same, or a candidate-chosen ticker list</w:t>
            </w:r>
          </w:p>
        </w:tc>
      </w:tr>
    </w:tbl>
    <w:p/>
    <w:p>
      <w:pPr>
        <w:spacing w:before="80" w:after="200"/>
        <w:shd w:val="clear" w:color="auto" w:fill="F2F2F2"/>
      </w:pPr>
      <w:r>
        <w:rPr>
          <w:rFonts w:ascii="Consolas" w:hAnsi="Consolas"/>
          <w:color w:val="1A1A1A"/>
          <w:sz w:val="19"/>
        </w:rPr>
        <w:t># .env</w:t>
      </w:r>
      <w:r>
        <w:rPr>
          <w:rFonts w:ascii="Consolas" w:hAnsi="Consolas"/>
          <w:color w:val="1A1A1A"/>
          <w:sz w:val="19"/>
        </w:rPr>
        <w:br/>
        <w:t>DATA_SOURCE=auto</w:t>
      </w:r>
      <w:r>
        <w:rPr>
          <w:rFonts w:ascii="Consolas" w:hAnsi="Consolas"/>
          <w:color w:val="1A1A1A"/>
          <w:sz w:val="19"/>
        </w:rPr>
        <w:br/>
        <w:t>POLL_INTERVAL_SECONDS=5</w:t>
      </w:r>
      <w:r>
        <w:rPr>
          <w:rFonts w:ascii="Consolas" w:hAnsi="Consolas"/>
          <w:color w:val="1A1A1A"/>
          <w:sz w:val="19"/>
        </w:rPr>
        <w:br/>
        <w:t>LIVE_RETRY_COOLDOWN_SECONDS=600</w:t>
      </w:r>
    </w:p>
    <w:p>
      <w:r>
        <w:t>With DATA_SOURCE=auto, the producer tries yfinance first and only falls back to the sample replay during a cooldown window if Yahoo Finance is briefly unreachable — a realistic, resilient default. DATA_SOURCE=live removes that fallback entirely and surfaces retrieval failures directly, which is the stricter option if the candidate wants to prove hard dependency on the live feed.</w:t>
      </w:r>
    </w:p>
    <w:p>
      <w:pPr>
        <w:pStyle w:val="Heading2"/>
      </w:pPr>
      <w:r>
        <w:t>5.2 Steps to hand the candidate for this milestone</w:t>
      </w:r>
    </w:p>
    <w:p>
      <w:pPr>
        <w:pStyle w:val="ListNumber"/>
      </w:pPr>
      <w:r>
        <w:t>Stop or restart the stack after editing .env so the producer picks up the new DATA_SOURCE.</w:t>
      </w:r>
    </w:p>
    <w:p>
      <w:pPr>
        <w:pStyle w:val="ListNumber"/>
      </w:pPr>
      <w:r>
        <w:t>Run: docker compose up -d --build</w:t>
      </w:r>
    </w:p>
    <w:p>
      <w:pPr>
        <w:pStyle w:val="ListNumber"/>
      </w:pPr>
      <w:r>
        <w:t>Watch the producer logs to confirm it is fetching from Yahoo Finance: docker compose logs -f producer</w:t>
      </w:r>
    </w:p>
    <w:p>
      <w:pPr>
        <w:pStyle w:val="ListNumber"/>
      </w:pPr>
      <w:r>
        <w:t>Confirm five-minute OHLCV candles for the configured tickers are arriving (the same normalized event schema is used regardless of source — only the "source" field changes from sample/local to live).</w:t>
      </w:r>
    </w:p>
    <w:p>
      <w:pPr>
        <w:pStyle w:val="ListNumber"/>
      </w:pPr>
      <w:r>
        <w:t>Open the Streamlit dashboard (http://localhost:8501) and confirm the source label shown for each ticker now reads "live", indicators continue to populate, and the chart keeps refreshing every 10 seconds during market hours.</w:t>
      </w:r>
    </w:p>
    <w:p>
      <w:pPr>
        <w:pStyle w:val="ListNumber"/>
      </w:pPr>
      <w:r>
        <w:t>Verify PostgreSQL now contains live-sourced rows in raw_ohlcv and processed_indicators (same tables, same schema, new source value).</w:t>
      </w:r>
    </w:p>
    <w:p>
      <w:pPr>
        <w:pStyle w:val="ListNumber"/>
      </w:pPr>
      <w:r>
        <w:t>Optionally re-run make dbt so daily_ohlcv and weekly_trends pick up the live-sourced rows.</w:t>
      </w:r>
    </w:p>
    <w:p>
      <w:pPr>
        <w:pStyle w:val="ListNumber"/>
      </w:pPr>
      <w:r>
        <w:t>Run make e2e once more against the live-sourced stack to confirm the same automated checks that passed in sample mode still pass against a real feed.</w:t>
      </w:r>
    </w:p>
    <w:p>
      <w:pPr>
        <w:pStyle w:val="Heading2"/>
      </w:pPr>
      <w:r>
        <w:t>5.3 What this proves</w:t>
      </w:r>
    </w:p>
    <w:p>
      <w:pPr>
        <w:pStyle w:val="ListBullet"/>
      </w:pPr>
      <w:r>
        <w:t>The database schema and storage layer the candidate built are source-agnostic — they work identically whether bars come from sample replay, a candidate-imported file, or a live external API.</w:t>
      </w:r>
    </w:p>
    <w:p>
      <w:pPr>
        <w:pStyle w:val="ListBullet"/>
      </w:pPr>
      <w:r>
        <w:t>The candidate understands the difference between a deterministic test/dev data mode and a live production data mode — a real distinction every data engineering team manages.</w:t>
      </w:r>
    </w:p>
    <w:p>
      <w:pPr>
        <w:pStyle w:val="ListBullet"/>
      </w:pPr>
      <w:r>
        <w:t>The candidate can operate the system they built: change configuration, redeploy, and validate against a live external dependency rather than only a scripted fixture.</w:t>
      </w:r>
    </w:p>
    <w:p>
      <w:pPr>
        <w:shd w:val="clear" w:color="auto" w:fill="EAF4FF"/>
        <w:spacing w:before="120" w:after="200"/>
        <w:ind w:left="216"/>
      </w:pPr>
      <w:r>
        <w:rPr>
          <w:b/>
          <w:color w:val="0B2A4A"/>
          <w:sz w:val="21"/>
        </w:rPr>
        <w:t xml:space="preserve">Note for the instructor:  </w:t>
      </w:r>
      <w:r>
        <w:rPr>
          <w:sz w:val="21"/>
        </w:rPr>
        <w:t>yfinance / Yahoo Finance is a free, unofficial data source appropriate for this kind of education and simulation use, but it is not a guaranteed, SLA-backed production market-data service. Treat this milestone as proof the integration works, not as a claim the resulting app is production-grade for real trading use.</w:t>
      </w:r>
    </w:p>
    <w:p>
      <w:r>
        <w:br w:type="page"/>
      </w:r>
    </w:p>
    <w:p>
      <w:pPr>
        <w:pStyle w:val="Heading1"/>
      </w:pPr>
      <w:r>
        <w:t>6. Definition of done (project fully complete)</w:t>
      </w:r>
    </w:p>
    <w:p>
      <w:pPr>
        <w:pStyle w:val="ListBullet"/>
      </w:pPr>
      <w:r>
        <w:t>All required containers are healthy.</w:t>
      </w:r>
    </w:p>
    <w:p>
      <w:pPr>
        <w:pStyle w:val="ListBullet"/>
      </w:pPr>
      <w:r>
        <w:t>The producer (in live/auto mode) or importer publishes events successfully.</w:t>
      </w:r>
    </w:p>
    <w:p>
      <w:pPr>
        <w:pStyle w:val="ListBullet"/>
      </w:pPr>
      <w:r>
        <w:t>Redis shows zero consumer lag and zero pending events after processing.</w:t>
      </w:r>
    </w:p>
    <w:p>
      <w:pPr>
        <w:pStyle w:val="ListBullet"/>
      </w:pPr>
      <w:r>
        <w:t>MinIO contains Parquet objects for the ingested bars.</w:t>
      </w:r>
    </w:p>
    <w:p>
      <w:pPr>
        <w:pStyle w:val="ListBullet"/>
      </w:pPr>
      <w:r>
        <w:t>PostgreSQL contains both raw and indicator rows.</w:t>
      </w:r>
    </w:p>
    <w:p>
      <w:pPr>
        <w:pStyle w:val="ListBullet"/>
      </w:pPr>
      <w:r>
        <w:t>SMA and RSI values populate correctly after warmup.</w:t>
      </w:r>
    </w:p>
    <w:p>
      <w:pPr>
        <w:pStyle w:val="ListBullet"/>
      </w:pPr>
      <w:r>
        <w:t>The dashboard shows multiple candles, correctly labeled with their source, and refreshes automatically.</w:t>
      </w:r>
    </w:p>
    <w:p>
      <w:pPr>
        <w:pStyle w:val="ListBullet"/>
      </w:pPr>
      <w:r>
        <w:t>Chart analysis overlays (SMA, Bollinger, support/resistance) can be switched on and off.</w:t>
      </w:r>
    </w:p>
    <w:p>
      <w:pPr>
        <w:pStyle w:val="ListBullet"/>
      </w:pPr>
      <w:r>
        <w:t>dbt models and tests pass.</w:t>
      </w:r>
    </w:p>
    <w:p>
      <w:pPr>
        <w:pStyle w:val="ListBullet"/>
      </w:pPr>
      <w:r>
        <w:t>Lint, unit tests, and make e2e all pass.</w:t>
      </w:r>
    </w:p>
    <w:p>
      <w:pPr>
        <w:pStyle w:val="ListBullet"/>
      </w:pPr>
      <w:r>
        <w:t>The pipeline has been demonstrated running against live Yahoo Finance data, not only sample data.</w:t>
      </w:r>
    </w:p>
    <w:p>
      <w:pPr>
        <w:pStyle w:val="Heading1"/>
      </w:pPr>
      <w:r>
        <w:t>7. Security and operating boundaries</w:t>
      </w:r>
    </w:p>
    <w:p>
      <w:pPr>
        <w:pStyle w:val="ListBullet"/>
      </w:pPr>
      <w:r>
        <w:t>Commit .env.example only — never commit a populated .env.</w:t>
      </w:r>
    </w:p>
    <w:p>
      <w:pPr>
        <w:pStyle w:val="ListBullet"/>
      </w:pPr>
      <w:r>
        <w:t>Never store API keys, passwords, or candidate datasets in Git.</w:t>
      </w:r>
    </w:p>
    <w:p>
      <w:pPr>
        <w:pStyle w:val="ListBullet"/>
      </w:pPr>
      <w:r>
        <w:t>Replace default local credentials (e.g. MinIO's minioadmin) outside isolated development.</w:t>
      </w:r>
    </w:p>
    <w:p>
      <w:pPr>
        <w:pStyle w:val="ListBullet"/>
      </w:pPr>
      <w:r>
        <w:t>Keep SendGrid email alerts disabled until a real key is deliberately injected.</w:t>
      </w:r>
    </w:p>
    <w:p>
      <w:pPr>
        <w:pStyle w:val="ListBullet"/>
      </w:pPr>
      <w:r>
        <w:t>Keep administrative ports (Redis, PostgreSQL, MinIO API) internal to the workspace network; only 8501 (and optionally 9001) should be candidate-facing previews.</w:t>
      </w:r>
    </w:p>
    <w:p>
      <w:pPr>
        <w:pStyle w:val="ListBullet"/>
      </w:pPr>
      <w:r>
        <w:t>Treat any dataset a candidate imports as candidate-owned content.</w:t>
      </w:r>
    </w:p>
    <w:p>
      <w:pPr>
        <w:pStyle w:val="ListBullet"/>
      </w:pPr>
      <w:r>
        <w:t>Dashboard trend output describes historical behavior only — it is not financial advice.</w:t>
      </w:r>
    </w:p>
    <w:p>
      <w:pPr>
        <w:pStyle w:val="Heading1"/>
      </w:pPr>
      <w:r>
        <w:t>8. Command cheat sheet</w:t>
      </w:r>
    </w:p>
    <w:p>
      <w:pPr>
        <w:spacing w:before="80" w:after="200"/>
        <w:shd w:val="clear" w:color="auto" w:fill="F2F2F2"/>
      </w:pPr>
      <w:r>
        <w:rPr>
          <w:rFonts w:ascii="Consolas" w:hAnsi="Consolas"/>
          <w:color w:val="1A1A1A"/>
          <w:sz w:val="19"/>
        </w:rPr>
        <w:t># Initial setup</w:t>
      </w:r>
      <w:r>
        <w:rPr>
          <w:rFonts w:ascii="Consolas" w:hAnsi="Consolas"/>
          <w:color w:val="1A1A1A"/>
          <w:sz w:val="19"/>
        </w:rPr>
        <w:br/>
        <w:t>cp .env.example .env</w:t>
      </w:r>
      <w:r>
        <w:rPr>
          <w:rFonts w:ascii="Consolas" w:hAnsi="Consolas"/>
          <w:color w:val="1A1A1A"/>
          <w:sz w:val="19"/>
        </w:rPr>
        <w:br/>
        <w:t>docker compose up -d --build</w:t>
      </w:r>
      <w:r>
        <w:rPr>
          <w:rFonts w:ascii="Consolas" w:hAnsi="Consolas"/>
          <w:color w:val="1A1A1A"/>
          <w:sz w:val="19"/>
        </w:rPr>
        <w:br/>
      </w:r>
      <w:r>
        <w:rPr>
          <w:rFonts w:ascii="Consolas" w:hAnsi="Consolas"/>
          <w:color w:val="1A1A1A"/>
          <w:sz w:val="19"/>
        </w:rPr>
        <w:br/>
        <w:t># Health / status</w:t>
      </w:r>
      <w:r>
        <w:rPr>
          <w:rFonts w:ascii="Consolas" w:hAnsi="Consolas"/>
          <w:color w:val="1A1A1A"/>
          <w:sz w:val="19"/>
        </w:rPr>
        <w:br/>
        <w:t>docker compose ps -a</w:t>
      </w:r>
      <w:r>
        <w:rPr>
          <w:rFonts w:ascii="Consolas" w:hAnsi="Consolas"/>
          <w:color w:val="1A1A1A"/>
          <w:sz w:val="19"/>
        </w:rPr>
        <w:br/>
        <w:t>docker compose logs --tail=50 producer consumer dashboard</w:t>
      </w:r>
      <w:r>
        <w:rPr>
          <w:rFonts w:ascii="Consolas" w:hAnsi="Consolas"/>
          <w:color w:val="1A1A1A"/>
          <w:sz w:val="19"/>
        </w:rPr>
        <w:br/>
      </w:r>
      <w:r>
        <w:rPr>
          <w:rFonts w:ascii="Consolas" w:hAnsi="Consolas"/>
          <w:color w:val="1A1A1A"/>
          <w:sz w:val="19"/>
        </w:rPr>
        <w:br/>
        <w:t># Bring your own dataset</w:t>
      </w:r>
      <w:r>
        <w:rPr>
          <w:rFonts w:ascii="Consolas" w:hAnsi="Consolas"/>
          <w:color w:val="1A1A1A"/>
          <w:sz w:val="19"/>
        </w:rPr>
        <w:br/>
        <w:t>make validate-data FILE=/absolute/path/to/ohlcv.csv</w:t>
      </w:r>
      <w:r>
        <w:rPr>
          <w:rFonts w:ascii="Consolas" w:hAnsi="Consolas"/>
          <w:color w:val="1A1A1A"/>
          <w:sz w:val="19"/>
        </w:rPr>
        <w:br/>
        <w:t>make import-data FILE=/absolute/path/to/ohlcv.csv</w:t>
      </w:r>
      <w:r>
        <w:rPr>
          <w:rFonts w:ascii="Consolas" w:hAnsi="Consolas"/>
          <w:color w:val="1A1A1A"/>
          <w:sz w:val="19"/>
        </w:rPr>
        <w:br/>
      </w:r>
      <w:r>
        <w:rPr>
          <w:rFonts w:ascii="Consolas" w:hAnsi="Consolas"/>
          <w:color w:val="1A1A1A"/>
          <w:sz w:val="19"/>
        </w:rPr>
        <w:br/>
        <w:t># Analytics layer</w:t>
      </w:r>
      <w:r>
        <w:rPr>
          <w:rFonts w:ascii="Consolas" w:hAnsi="Consolas"/>
          <w:color w:val="1A1A1A"/>
          <w:sz w:val="19"/>
        </w:rPr>
        <w:br/>
        <w:t>make dbt</w:t>
      </w:r>
      <w:r>
        <w:rPr>
          <w:rFonts w:ascii="Consolas" w:hAnsi="Consolas"/>
          <w:color w:val="1A1A1A"/>
          <w:sz w:val="19"/>
        </w:rPr>
        <w:br/>
      </w:r>
      <w:r>
        <w:rPr>
          <w:rFonts w:ascii="Consolas" w:hAnsi="Consolas"/>
          <w:color w:val="1A1A1A"/>
          <w:sz w:val="19"/>
        </w:rPr>
        <w:br/>
        <w:t># Verification</w:t>
      </w:r>
      <w:r>
        <w:rPr>
          <w:rFonts w:ascii="Consolas" w:hAnsi="Consolas"/>
          <w:color w:val="1A1A1A"/>
          <w:sz w:val="19"/>
        </w:rPr>
        <w:br/>
        <w:t>make e2e</w:t>
      </w:r>
      <w:r>
        <w:rPr>
          <w:rFonts w:ascii="Consolas" w:hAnsi="Consolas"/>
          <w:color w:val="1A1A1A"/>
          <w:sz w:val="19"/>
        </w:rPr>
        <w:br/>
        <w:t>.venv/bin/python -m flake8 src tests</w:t>
      </w:r>
      <w:r>
        <w:rPr>
          <w:rFonts w:ascii="Consolas" w:hAnsi="Consolas"/>
          <w:color w:val="1A1A1A"/>
          <w:sz w:val="19"/>
        </w:rPr>
        <w:br/>
        <w:t>.venv/bin/python -m pytest tests -q</w:t>
      </w:r>
      <w:r>
        <w:rPr>
          <w:rFonts w:ascii="Consolas" w:hAnsi="Consolas"/>
          <w:color w:val="1A1A1A"/>
          <w:sz w:val="19"/>
        </w:rPr>
        <w:br/>
        <w:t>docker compose config --quiet</w:t>
      </w:r>
    </w:p>
    <w:p/>
    <w:p>
      <w:r>
        <w:rPr>
          <w:i/>
          <w:color w:val="444444"/>
          <w:sz w:val="18"/>
        </w:rPr>
        <w:t>Source material consolidated from this repository's docs/confluence-project-flow.md, docs/setup.md, docs/workforge-handoff.md, docs/tasks.md and .env.example.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A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A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