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Building for ActCAD, or building for the world?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A directors briefing — concept approval in principle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Companion documents already circulated:</w:t>
      </w:r>
    </w:p>
    <w:p>
      <w:pPr>
        <w:spacing w:after="100" w:before="60"/>
      </w:pPr>
      <w:r>
        <w:rPr>
          <w:rFonts w:ascii="Consolas" w:cs="Consolas" w:eastAsia="Consolas" w:hAnsi="Consolas"/>
          <w:sz w:val="18"/>
          <w:szCs w:val="18"/>
        </w:rPr>
        <w:t xml:space="preserve">docs/tejascad-story.md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docs/tejascad-company-structure.md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docs/tejascad-vs-intellicad.md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docs/tejascad-licensing-architecture.md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Working brand TejasCAD pending TM clearance. </w:t>
      </w:r>
      <w:r>
        <w:rPr>
          <w:i/>
          <w:iCs/>
          <w:sz w:val="19"/>
          <w:szCs w:val="19"/>
        </w:rPr>
        <w:t xml:space="preserve">ITC and ODA pricing are actuals we pay or can verify; our own projections are illustrative.</w:t>
      </w:r>
      <w:r>
        <w:rPr>
          <w:i/>
          <w:iCs/>
          <w:sz w:val="19"/>
          <w:szCs w:val="19"/>
        </w:rPr>
        <w:t xml:space="preserve"> This briefing asks for concept approval, not a spend commitment.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The decision on the table today</w:t>
      </w:r>
    </w:p>
    <w:p>
      <w:pPr>
        <w:spacing w:after="100" w:before="60"/>
      </w:pPr>
      <w:r>
        <w:rPr>
          <w:sz w:val="19"/>
          <w:szCs w:val="19"/>
        </w:rPr>
        <w:t xml:space="preserve">We are already re-architecting ActCAD off IntelliCAD onto our own engine. </w:t>
      </w:r>
      <w:r>
        <w:rPr>
          <w:b/>
          <w:bCs/>
          <w:color w:val="1E3A5C"/>
          <w:sz w:val="19"/>
          <w:szCs w:val="19"/>
        </w:rPr>
        <w:t xml:space="preserve">That work continues either way.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Do we build the new engine only for ActCAD — or do we build it as a platform that ActCAD is the anchor tenant of, and license the same platform to other CAD vendors under their own brand?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Why the question arises now:</w:t>
      </w:r>
      <w:r>
        <w:rPr>
          <w:sz w:val="19"/>
          <w:szCs w:val="19"/>
        </w:rPr>
        <w:t xml:space="preserve"> every seam we are building to serve ActCAD — the tenant-profile layer, the license service, the plugin host, the AI agent — </w:t>
      </w:r>
      <w:r>
        <w:rPr>
          <w:b/>
          <w:bCs/>
          <w:color w:val="1E3A5C"/>
          <w:sz w:val="19"/>
          <w:szCs w:val="19"/>
        </w:rPr>
        <w:t xml:space="preserve">is exactly what a white-label CAD platform needs.</w:t>
      </w:r>
      <w:r>
        <w:rPr>
          <w:sz w:val="19"/>
          <w:szCs w:val="19"/>
        </w:rPr>
        <w:t xml:space="preserve"> We are paying for it either way.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And the market it would serve is specific:</w:t>
      </w:r>
      <w:r>
        <w:rPr>
          <w:sz w:val="19"/>
          <w:szCs w:val="19"/>
        </w:rPr>
        <w:t xml:space="preserve"> ~40 IntelliCAD Consortium members stuck where ActCAD was · ~200 vertical ISVs with no clean engine to license · a BIM-lite startup segment that cannot afford to build one. </w:t>
      </w:r>
      <w:r>
        <w:rPr>
          <w:b/>
          <w:bCs/>
          <w:color w:val="1E3A5C"/>
          <w:sz w:val="19"/>
          <w:szCs w:val="19"/>
        </w:rPr>
        <w:t xml:space="preserve">They already spend $700K–1.3M a year all-in on a foundation they don't love.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"Can we build it?" is settled.</w:t>
      </w:r>
      <w:r>
        <w:rPr>
          <w:sz w:val="19"/>
          <w:szCs w:val="19"/>
        </w:rPr>
        <w:t xml:space="preserve"> Phase 0 is six weeks in, ~207 commits, with a working viewer the ActCAD team beta-tests daily. </w:t>
      </w:r>
      <w:r>
        <w:rPr>
          <w:b/>
          <w:bCs/>
          <w:color w:val="1E3A5C"/>
          <w:sz w:val="19"/>
          <w:szCs w:val="19"/>
        </w:rPr>
        <w:t xml:space="preserve">This is a strategy conversation now, not a feasibility one.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Phase 0 today — what already ships</w:t>
      </w:r>
    </w:p>
    <w:p>
      <w:pPr>
        <w:spacing w:after="100" w:before="60"/>
      </w:pPr>
      <w:r>
        <w:rPr>
          <w:sz w:val="19"/>
          <w:szCs w:val="19"/>
        </w:rPr>
        <w:t xml:space="preserve">Six weeks in, ~207 commits, versioning aligned to ActCAD's own (26.1 → 26.3.7, the latest drop fixing 5 team-reported bugs).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DWG/DXF open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Real customer files open in the browser on WASM + ODA inWEB. Both backends live.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Measurement + snap + count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Full 14-mode AutoCAD/ActCAD osnap suite; count + CSV/Excel export; quick calc.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Rendering perf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250K entities at 61 fps via region rendering + culling; regen 17× faster; instant zoom-extents.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3D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Visualize camera bound — orbit, standard views, live 3D ViewCube shipping. Layouts + paper space viewports work end-to-end.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Beyond scope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DWG↔DWG + PDF revision comparison, color plotting, batch print, print-to-PDF, sidecar markup overlays.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Distribution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Tauri Windows MSI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setup.exe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shipping. macOS CI build green. Android Tauri prototype exists.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Test posture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594/594 web tests green; gate-5 native harness (22 cases, 223 assertions) exercises the ui-bridge with no shell-specific branching in core.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Feedback loop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ActCAD team is the de-facto closed beta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filing numbered bugs against each drop, driving priorities. 13+ release drops delivered.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one hard rule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Read-only guarantee has held throughout.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db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writes anywhere in the codebase. Structurally intact.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Competitive posture from live testing:</w:t>
      </w:r>
      <w:r>
        <w:rPr>
          <w:sz w:val="19"/>
          <w:szCs w:val="19"/>
        </w:rPr>
        <w:t xml:space="preserve"> the new viewer is </w:t>
      </w:r>
      <w:r>
        <w:rPr>
          <w:b/>
          <w:bCs/>
          <w:color w:val="1E3A5C"/>
          <w:sz w:val="19"/>
          <w:szCs w:val="19"/>
        </w:rPr>
        <w:t xml:space="preserve">faster than ActCAD's current product on many customer files, and significantly better than IntelliCAD's viewer and ODA's own web viewer.</w:t>
      </w:r>
      <w:r>
        <w:rPr>
          <w:sz w:val="19"/>
          <w:szCs w:val="19"/>
        </w:rPr>
        <w:t xml:space="preserve"> The engineering work has already produced a best-in-class result — before we've even shipped it publicly.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Still owed from the exit criteria:</w:t>
      </w:r>
      <w:r>
        <w:rPr>
          <w:sz w:val="19"/>
          <w:szCs w:val="19"/>
        </w:rPr>
        <w:t xml:space="preserve"> customer-hardware perf gate measurement (2019-i5 baseline) and public web adoption signal (there is no public launch yet).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Vendor blockers logged:</w:t>
      </w:r>
      <w:r>
        <w:rPr>
          <w:sz w:val="19"/>
          <w:szCs w:val="19"/>
        </w:rPr>
        <w:t xml:space="preserve"> three ODA inWEB gaps (paper-space engine abort, TTF tessellation quality, unbound </w:t>
      </w:r>
      <w:r>
        <w:rPr>
          <w:rFonts w:ascii="Consolas" w:cs="Consolas" w:eastAsia="Consolas" w:hAnsi="Consolas"/>
          <w:sz w:val="18"/>
          <w:szCs w:val="18"/>
        </w:rPr>
        <w:t xml:space="preserve">appServices</w:t>
      </w:r>
      <w:r>
        <w:rPr>
          <w:sz w:val="19"/>
          <w:szCs w:val="19"/>
        </w:rPr>
        <w:t xml:space="preserve">) — all filed / worked around; none block the strategy.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The case against this — stated as strongly as we can put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This deserves a real hearing, not a strawman. The argument against is serious: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1.  </w:t>
      </w:r>
      <w:r>
        <w:rPr>
          <w:b/>
          <w:bCs/>
          <w:color w:val="1E3A5C"/>
          <w:sz w:val="19"/>
          <w:szCs w:val="19"/>
        </w:rPr>
        <w:t xml:space="preserve">"We are a CAD company, not a platform company."</w:t>
      </w:r>
      <w:r>
        <w:rPr>
          <w:sz w:val="19"/>
          <w:szCs w:val="19"/>
        </w:rPr>
        <w:t xml:space="preserve"> Selling to other software vendors is a different business — different sales motion, different support model, different skills. We have never done it. Why would we be good at it?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2.  </w:t>
      </w:r>
      <w:r>
        <w:rPr>
          <w:b/>
          <w:bCs/>
          <w:color w:val="1E3A5C"/>
          <w:sz w:val="19"/>
          <w:szCs w:val="19"/>
        </w:rPr>
        <w:t xml:space="preserve">"It distracts from the thing that actually matters."</w:t>
      </w:r>
      <w:r>
        <w:rPr>
          <w:sz w:val="19"/>
          <w:szCs w:val="19"/>
        </w:rPr>
        <w:t xml:space="preserve"> We are mid-rebuild of our core product. Nothing is more important than ActCAD-new reaching GA. Three to six engineer-months understates it — </w:t>
      </w:r>
      <w:r>
        <w:rPr>
          <w:b/>
          <w:bCs/>
          <w:color w:val="1E3A5C"/>
          <w:sz w:val="19"/>
          <w:szCs w:val="19"/>
        </w:rPr>
        <w:t xml:space="preserve">the real cost is management attention</w:t>
      </w:r>
      <w:r>
        <w:rPr>
          <w:sz w:val="19"/>
          <w:szCs w:val="19"/>
        </w:rPr>
        <w:t xml:space="preserve">, which is our scarcest resource.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3.  </w:t>
      </w:r>
      <w:r>
        <w:rPr>
          <w:b/>
          <w:bCs/>
          <w:color w:val="1E3A5C"/>
          <w:sz w:val="19"/>
          <w:szCs w:val="19"/>
        </w:rPr>
        <w:t xml:space="preserve">"The money isn't worth the trouble."</w:t>
      </w:r>
      <w:r>
        <w:rPr>
          <w:sz w:val="19"/>
          <w:szCs w:val="19"/>
        </w:rPr>
        <w:t xml:space="preserve"> We have just been told this is not venture-scale. For $2–7M a year, we take on partner obligations, a second entity, two sets of books, and a duty to support other companies' engineering teams.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4.  </w:t>
      </w:r>
      <w:r>
        <w:rPr>
          <w:b/>
          <w:bCs/>
          <w:color w:val="1E3A5C"/>
          <w:sz w:val="19"/>
          <w:szCs w:val="19"/>
        </w:rPr>
        <w:t xml:space="preserve">"We would be arming competitors."</w:t>
      </w:r>
      <w:r>
        <w:rPr>
          <w:sz w:val="19"/>
          <w:szCs w:val="19"/>
        </w:rPr>
        <w:t xml:space="preserve"> Especially at the Complete tier. Why hand fifteen years of our vertical work to a vendor who may meet us in a tender next year?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5.  </w:t>
      </w:r>
      <w:r>
        <w:rPr>
          <w:b/>
          <w:bCs/>
          <w:color w:val="1E3A5C"/>
          <w:sz w:val="19"/>
          <w:szCs w:val="19"/>
        </w:rPr>
        <w:t xml:space="preserve">"Members will constrain our roadmap."</w:t>
      </w:r>
      <w:r>
        <w:rPr>
          <w:sz w:val="19"/>
          <w:szCs w:val="19"/>
        </w:rPr>
        <w:t xml:space="preserve"> A member needs feature X; ActCAD needs feature Y. Once we have paying partners, we are no longer free to choose 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6.  </w:t>
      </w:r>
      <w:r>
        <w:rPr>
          <w:b/>
          <w:bCs/>
          <w:color w:val="1E3A5C"/>
          <w:sz w:val="19"/>
          <w:szCs w:val="19"/>
        </w:rPr>
        <w:t xml:space="preserve">"Nobody has asked for this."</w:t>
      </w:r>
      <w:r>
        <w:rPr>
          <w:sz w:val="19"/>
          <w:szCs w:val="19"/>
        </w:rPr>
        <w:t xml:space="preserve"> Zero members. Zero LOIs. This is a solution in search of a problem.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7.  </w:t>
      </w:r>
      <w:r>
        <w:rPr>
          <w:b/>
          <w:bCs/>
          <w:color w:val="1E3A5C"/>
          <w:sz w:val="19"/>
          <w:szCs w:val="19"/>
        </w:rPr>
        <w:t xml:space="preserve">"IntelliCAD members are sticky."</w:t>
      </w:r>
      <w:r>
        <w:rPr>
          <w:sz w:val="19"/>
          <w:szCs w:val="19"/>
        </w:rPr>
        <w:t xml:space="preserve"> They have been there twenty years. Switching costs are enormous. Why would they move now, for us?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8.  </w:t>
      </w:r>
      <w:r>
        <w:rPr>
          <w:b/>
          <w:bCs/>
          <w:color w:val="1E3A5C"/>
          <w:sz w:val="19"/>
          <w:szCs w:val="19"/>
        </w:rPr>
        <w:t xml:space="preserve">"We do not have the team to do this."</w:t>
      </w:r>
      <w:r>
        <w:rPr>
          <w:sz w:val="19"/>
          <w:szCs w:val="19"/>
        </w:rPr>
        <w:t xml:space="preserve"> The deep engine work is not what ActCAD's engineers do today. </w:t>
      </w:r>
      <w:r>
        <w:rPr>
          <w:b/>
          <w:bCs/>
          <w:color w:val="1E3A5C"/>
          <w:sz w:val="19"/>
          <w:szCs w:val="19"/>
        </w:rPr>
        <w:t xml:space="preserve">A platform team has to be hired, from scratch, in a competitive market</w:t>
      </w:r>
      <w:r>
        <w:rPr>
          <w:sz w:val="19"/>
          <w:szCs w:val="19"/>
        </w:rPr>
        <w:t xml:space="preserve"> — and until it exists, every estimate on these slides is provisional.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Points 2, 3, 5, 6 and 8 are substantially correct. The next slide is where we agree with them and explain why we still think the answer is yes.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Why the answer is still yes — and where the objection lands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objection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Our honest answer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We're not a platform company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True today. But we do not have to become one to keep the option. Nothing before the month-24 gate requires a platform sales team.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It distracts from ActCAD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Partly conceded — management attention is the real cost.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But the engineering argument runs the other way: see below.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money is modest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Conceded.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$2–7M/yr at ~70% margin. Worth having, not transformational. If that alone were the case, we would not propose it.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Arming competitors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Real. Which is why Complete is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gated by named-competitor exclusion and territory carve-out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and why we can simply choose not to sell that tier.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Members constrain the roadmap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Conceded, and it is the one that worries us most.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Mitigation: members get roadmap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input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never a veto. Only Founding Partners get a seat, and it is advisory.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 validated demand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Fully conceded. We have zero LOIs.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That is precisely why the ask is concept approval and why there is a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hard kill switch at month 24.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ITC members are sticky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True — which is why the realistic base case is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12 members in seven years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not fifty. The model already assumes they move slowly.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don't have the team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Conceded, and it is the biggest execution risk.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The platform team must be hired. But note: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need that team for ActCAD-new regardless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the engine does not build itself either way. The platform spreads its cost, it does not create it.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single argument that carries the decision: building multi-tenant makes ActCAD better even if no member ever signs.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tenant seam touches six of our ten modules.</w:t>
      </w:r>
      <w:r>
        <w:rPr>
          <w:sz w:val="19"/>
          <w:szCs w:val="19"/>
        </w:rPr>
        <w:t xml:space="preserve"> Building it now forces: no ActCAD-specific hacks in the core, a real plugin API instead of internal coupling, configuration-driven behaviour instead of hardcoded assumptions, and a proper licensing abstraction. </w:t>
      </w:r>
      <w:r>
        <w:rPr>
          <w:b/>
          <w:bCs/>
          <w:color w:val="1E3A5C"/>
          <w:sz w:val="19"/>
          <w:szCs w:val="19"/>
        </w:rPr>
        <w:t xml:space="preserve">Teams building for one customer accumulate coupling. Teams building for N stay clean.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Retrofitting multi-tenancy later is not 3–6 engineer-months — it is a rewrite of those six modules after they have hardened around single-tenant assumptions.</w:t>
      </w:r>
      <w:r>
        <w:rPr>
          <w:sz w:val="19"/>
          <w:szCs w:val="19"/>
        </w:rPr>
        <w:t xml:space="preserve"> That asymmetry is the whole argument. </w:t>
      </w:r>
      <w:r>
        <w:rPr>
          <w:b/>
          <w:bCs/>
          <w:color w:val="1E3A5C"/>
          <w:sz w:val="19"/>
          <w:szCs w:val="19"/>
        </w:rPr>
        <w:t xml:space="preserve">We are not deciding to become a platform company today. We are deciding whether to keep the door open cheaply, or close it expensively.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this means for ActCAD — and for the partner who runs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person running ActCAD carries the most risk in this and should carry the most protection. These are commitments, not assurances.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concern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commitment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Who owns the roadmap?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ActCAD's operating partner holds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final say on engine priorities.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Members get input.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No member request enters the engine roadmap over ActCAD's objection.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Does my team become a support desk?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 — and they are not the ones who could.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Deep engine and platform work sits with the platform team.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ActCAD's team does what it is genuinely best at: domain expertise, verticals, IRX-level customisation, product judgement.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Platform L3 support is separate headcount, funded from member fees.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Who decides we're arming a competitor?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You do.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Whether we sell any tier to a given vendor is ActCAD's operating call, not a committee's.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Named-competitor exclusion is a veto you hold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not a clause you hope works.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Does ActCAD wait behind members?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Every platform capability lands in ActCAD first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before it is offered to any member. We are not building for members at ActCAD's expense.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What do I get out of it?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same 50/50 partnership, carried into the new entity.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Not a minority stake in someone else's venture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 identical split we have in ActCAD today.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You are a principal on both sides, in equal measure.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Whose expertise is this built on?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verticals are licensable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because of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fifteen years of ActCAD product judgement.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That is the input the platform cannot buy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recognised in role and equity, not merely acknowledged.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ActCAD is the anchor tenant, not a subordinate. The platform exists because ActCAD needed a modern engine — not the other way round.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One consequence of us all being on both sides, stated plainly:</w:t>
      </w:r>
      <w:r>
        <w:rPr>
          <w:sz w:val="19"/>
          <w:szCs w:val="19"/>
        </w:rPr>
        <w:t xml:space="preserve"> common ownership makes alignment easy and makes </w:t>
      </w:r>
      <w:r>
        <w:rPr>
          <w:b/>
          <w:bCs/>
          <w:color w:val="1E3A5C"/>
          <w:sz w:val="19"/>
          <w:szCs w:val="19"/>
        </w:rPr>
        <w:t xml:space="preserve">written discipline more necessary, not less.</w:t>
      </w:r>
      <w:r>
        <w:rPr>
          <w:sz w:val="19"/>
          <w:szCs w:val="19"/>
        </w:rPr>
        <w:t xml:space="preserve"> When the same people sit on both sides of an intercompany agreement, </w:t>
      </w:r>
      <w:r>
        <w:rPr>
          <w:b/>
          <w:bCs/>
          <w:color w:val="1E3A5C"/>
          <w:sz w:val="19"/>
          <w:szCs w:val="19"/>
        </w:rPr>
        <w:t xml:space="preserve">nothing enforces arm's-length pricing except the agreement itself</w:t>
      </w:r>
      <w:r>
        <w:rPr>
          <w:sz w:val="19"/>
          <w:szCs w:val="19"/>
        </w:rPr>
        <w:t xml:space="preserve"> — and a future investor or acquirer will examine exactly that in diligence. The discipline protects the </w:t>
      </w:r>
      <w:r>
        <w:rPr>
          <w:i/>
          <w:iCs/>
          <w:sz w:val="19"/>
          <w:szCs w:val="19"/>
        </w:rPr>
        <w:t xml:space="preserve">value</w:t>
      </w:r>
      <w:r>
        <w:rPr>
          <w:sz w:val="19"/>
          <w:szCs w:val="19"/>
        </w:rPr>
        <w:t xml:space="preserve"> of both entities, not one from the other.</w:t>
      </w:r>
    </w:p>
    <w:p>
      <w:pPr>
        <w:spacing w:after="100" w:before="60"/>
      </w:pPr>
      <w:r>
        <w:rPr>
          <w:sz w:val="19"/>
          <w:szCs w:val="19"/>
        </w:rPr>
        <w:t xml:space="preserve">*</w:t>
      </w:r>
      <w:r>
        <w:rPr>
          <w:i/>
          <w:iCs/>
          <w:sz w:val="19"/>
          <w:szCs w:val="19"/>
        </w:rPr>
        <w:t xml:space="preserve">And what does </w:t>
      </w:r>
      <w:r>
        <w:rPr>
          <w:sz w:val="19"/>
          <w:szCs w:val="19"/>
        </w:rPr>
        <w:t xml:space="preserve">not</w:t>
      </w:r>
      <w:r>
        <w:rPr>
          <w:i/>
          <w:iCs/>
          <w:sz w:val="19"/>
          <w:szCs w:val="19"/>
        </w:rPr>
        <w:t xml:space="preserve"> change, explicitly:</w:t>
      </w:r>
      <w:r>
        <w:rPr>
          <w:sz w:val="19"/>
          <w:szCs w:val="19"/>
        </w:rPr>
        <w:t xml:space="preserve">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brand, customers, channel, pricing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 change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Jytra's ownership of ActCAD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 change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How ActCAD is sold, and by whom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 change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same sales organisation, same customers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Existing customer commitments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Fully honoured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migration staged over 24 months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If ActCAD and the platform ever conflict, ActCAD wins.</w:t>
      </w:r>
      <w:r>
        <w:rPr>
          <w:sz w:val="19"/>
          <w:szCs w:val="19"/>
        </w:rPr>
        <w:t xml:space="preserve"> Worth writing down now — while we all agree — precisely because we are the same people today and may not always be the ones making the call.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Who actually builds this — an honest division of labour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two teams are good at different things, and the plan should say so plainly rather than assume everyone does everything.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Function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Who does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Engine, multi-tenancy, licensing infrastructure, deep systems work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TejasCAD's own dev team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hired into the new entity. C++/Rust systems engineering.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QA, release engineering, the corpus and regression harness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 QA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hired. Phase 0 already runs 594 web tests and a native gate harness; that discipline needs staffing to scale.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Dev support — SDK, docs, migration engineering, member L3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 dev support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hired. This is the function that keeps members off ActCAD's team.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Domain expertise, verticals, IRX-level customisation, product judgement, what customers actually need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ActCAD's team.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Fifteen years of it, and not replaceable by hiring.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Member acquisition — selling platform memberships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Founder-led warm intros first; a partnerships hire only once there is something to sell. Few deals, long cycles, senior conversations.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Selling ActCAD to end customers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ActCAD's existing sales organisation. Completely unchanged.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New engine, same channel, same team, same customers.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member's own L1 / L2 support and their end-customer sales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member. Never us.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This is a genuine complementarity, not a polite division.</w:t>
      </w:r>
      <w:r>
        <w:rPr>
          <w:sz w:val="19"/>
          <w:szCs w:val="19"/>
        </w:rPr>
        <w:t xml:space="preserve"> The verticals are the most differentiated thing we can license — and they exist because of domain judgement the platform team could not produce. The engine exists because of systems work the ActCAD team does not do. </w:t>
      </w:r>
      <w:r>
        <w:rPr>
          <w:b/>
          <w:bCs/>
          <w:color w:val="1E3A5C"/>
          <w:sz w:val="19"/>
          <w:szCs w:val="19"/>
        </w:rPr>
        <w:t xml:space="preserve">Neither half is sufficient alone.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follow, and they should be said plainly: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1.  </w:t>
      </w:r>
      <w:r>
        <w:rPr>
          <w:b/>
          <w:bCs/>
          <w:color w:val="1E3A5C"/>
          <w:sz w:val="19"/>
          <w:szCs w:val="19"/>
        </w:rPr>
        <w:t xml:space="preserve">The TejasCAD team does not exist yet.</w:t>
      </w:r>
      <w:r>
        <w:rPr>
          <w:sz w:val="19"/>
          <w:szCs w:val="19"/>
        </w:rPr>
        <w:t xml:space="preserve"> Dev, QA and dev support all have to be hired. </w:t>
      </w:r>
      <w:r>
        <w:rPr>
          <w:b/>
          <w:bCs/>
          <w:color w:val="1E3A5C"/>
          <w:sz w:val="19"/>
          <w:szCs w:val="19"/>
        </w:rPr>
        <w:t xml:space="preserve">Recruitment and ramp are the real schedule risk</w:t>
      </w:r>
      <w:r>
        <w:rPr>
          <w:sz w:val="19"/>
          <w:szCs w:val="19"/>
        </w:rPr>
        <w:t xml:space="preserve"> — more than the architecture, which is already proving out in Phase 0.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2.  </w:t>
      </w:r>
      <w:r>
        <w:rPr>
          <w:b/>
          <w:bCs/>
          <w:color w:val="1E3A5C"/>
          <w:sz w:val="19"/>
          <w:szCs w:val="19"/>
        </w:rPr>
        <w:t xml:space="preserve">That team is the engine team.</w:t>
      </w:r>
      <w:r>
        <w:rPr>
          <w:sz w:val="19"/>
          <w:szCs w:val="19"/>
        </w:rPr>
        <w:t xml:space="preserve"> It is not an extra cost created by the platform — </w:t>
      </w:r>
      <w:r>
        <w:rPr>
          <w:b/>
          <w:bCs/>
          <w:color w:val="1E3A5C"/>
          <w:sz w:val="19"/>
          <w:szCs w:val="19"/>
        </w:rPr>
        <w:t xml:space="preserve">it is the cost of building ActCAD-new, which we are paying either way.</w:t>
      </w:r>
      <w:r>
        <w:rPr>
          <w:sz w:val="19"/>
          <w:szCs w:val="19"/>
        </w:rPr>
        <w:t xml:space="preserve"> The platform decides who employs them and who else helps pay for them.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3.  </w:t>
      </w:r>
      <w:r>
        <w:rPr>
          <w:b/>
          <w:bCs/>
          <w:color w:val="1E3A5C"/>
          <w:sz w:val="19"/>
          <w:szCs w:val="19"/>
        </w:rPr>
        <w:t xml:space="preserve">Which makes ActCAD's member fee the actual funding mechanism, not bookkeeping.</w:t>
      </w:r>
      <w:r>
        <w:rPr>
          <w:sz w:val="19"/>
          <w:szCs w:val="19"/>
        </w:rPr>
        <w:t xml:space="preserve"> For the first two years there are no external members. </w:t>
      </w:r>
      <w:r>
        <w:rPr>
          <w:b/>
          <w:bCs/>
          <w:color w:val="1E3A5C"/>
          <w:sz w:val="19"/>
          <w:szCs w:val="19"/>
        </w:rPr>
        <w:t xml:space="preserve">ActCAD is what funds the platform team</w:t>
      </w:r>
      <w:r>
        <w:rPr>
          <w:sz w:val="19"/>
          <w:szCs w:val="19"/>
        </w:rPr>
        <w:t xml:space="preserve"> — that is precisely why its fee has to be a real, arm's-length number rather than a notional entry.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The kill switch — how this ends if it isn't working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yes today is not open-ended. It buys an option with a defined expiry and a defined test.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Gate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it fails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Outreach check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Have 8–10 qualified member conversations happened?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Stop outbound. Keep building the seam — it pays for itself in ActCAD's architecture regardless.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real gate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ActCAD-new GA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Are there ≥2 members at signed LOI?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stop.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No platform entity, no partner obligations, no second set of books.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decision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Before first Complete sale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Does licensing our verticals threaten ActCAD in that member's territory?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Don't sell that tier to that member.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If the month-24 gate fails, what have we lost? Three to six engineer-months — spent on architecture we would defend on ActCAD's own merits anyway.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And what we would still have:</w:t>
      </w:r>
      <w:r>
        <w:rPr>
          <w:sz w:val="19"/>
          <w:szCs w:val="19"/>
        </w:rPr>
        <w:t xml:space="preserve"> a cleanly-separated engine, a real plugin API, configuration-driven behaviour, a proper licensing abstraction, and ActCAD shipping on all of it. </w:t>
      </w:r>
      <w:r>
        <w:rPr>
          <w:b/>
          <w:bCs/>
          <w:color w:val="1E3A5C"/>
          <w:sz w:val="19"/>
          <w:szCs w:val="19"/>
        </w:rPr>
        <w:t xml:space="preserve">That is the downside case. It is not a bad one.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For anyone not yet convinced: this is the slide to hold us to.</w:t>
      </w:r>
      <w:r>
        <w:rPr>
          <w:sz w:val="19"/>
          <w:szCs w:val="19"/>
        </w:rPr>
        <w:t xml:space="preserve"> Approving the concept does not commit the company to becoming a platform business. It commits us to </w:t>
      </w:r>
      <w:r>
        <w:rPr>
          <w:b/>
          <w:bCs/>
          <w:color w:val="1E3A5C"/>
          <w:sz w:val="19"/>
          <w:szCs w:val="19"/>
        </w:rPr>
        <w:t xml:space="preserve">coming back to this room at month 24 with either two signed LOIs or a recommendation to stop.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Building for ActCAD vs building for the world — the two paths, side by side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Dimension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for 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as a platform (ActCAD = anchor tenant)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work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Ship date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 24 months to GA + tenant-profile discipline in P1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Extra P1 engineering cost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Baseline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~3–6 engineer-months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for the tenant layer done properly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 model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license + AI/cloud subs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 for ActCAD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plus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member fees + royalty pass-through + marketplace share + vertical co-development royalties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Passive-revenue upside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Zero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Real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every member added is annuity income from work we already did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Exit optionality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sold as a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 second, separately saleable asset — modest on its own (~$14–54M, see scenarios), but it also makes ActCAD itself a cleaner acquisition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Risk if platform play fails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 still shipped a great ActCAD. Nothing wasted.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If the answer is no, nothing breaks.</w:t>
      </w:r>
      <w:r>
        <w:rPr>
          <w:sz w:val="19"/>
          <w:szCs w:val="19"/>
        </w:rPr>
        <w:t xml:space="preserve"> We still ship modern ActCAD in 24 months, save ~3–6 engineer-months, and take on no partner obligations, no second entity, no second set of books. We forgo a ~$2–7M/yr line at ~70% margin.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one thing a no forecloses that is hard to reopen is the architecture.</w:t>
      </w:r>
      <w:r>
        <w:rPr>
          <w:sz w:val="19"/>
          <w:szCs w:val="19"/>
        </w:rPr>
        <w:t xml:space="preserve"> Everything else on this list can be revisited in three years. </w:t>
      </w:r>
      <w:r>
        <w:rPr>
          <w:b/>
          <w:bCs/>
          <w:color w:val="1E3A5C"/>
          <w:sz w:val="19"/>
          <w:szCs w:val="19"/>
        </w:rPr>
        <w:t xml:space="preserve">The tenant seam is materially cheaper to build now than to retrofit</w:t>
      </w:r>
      <w:r>
        <w:rPr>
          <w:sz w:val="19"/>
          <w:szCs w:val="19"/>
        </w:rPr>
        <w:t xml:space="preserve"> — which is why we are asking now rather than after GA.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What a member pays IntelliCAD today — and what they actually get for it</w:t>
      </w:r>
    </w:p>
    <w:p>
      <w:pPr>
        <w:spacing w:after="100" w:before="60"/>
      </w:pPr>
      <w:r>
        <w:rPr>
          <w:sz w:val="19"/>
          <w:szCs w:val="19"/>
        </w:rPr>
        <w:t xml:space="preserve">We are an IntelliCAD member. </w:t>
      </w:r>
      <w:r>
        <w:rPr>
          <w:b/>
          <w:bCs/>
          <w:color w:val="1E3A5C"/>
          <w:sz w:val="19"/>
          <w:szCs w:val="19"/>
        </w:rPr>
        <w:t xml:space="preserve">We know this market's economics because we live them.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ActCAD's ITC bill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ITC membership + extras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~$100K / year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$0 — royalty-free at the ITC level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a few others)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$15–20 per sale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But the membership fee is the small part of the cost.</w:t>
      </w:r>
      <w:r>
        <w:rPr>
          <w:sz w:val="19"/>
          <w:szCs w:val="19"/>
        </w:rPr>
        <w:t xml:space="preserve"> What ITC hands you is roughly </w:t>
      </w:r>
      <w:r>
        <w:rPr>
          <w:b/>
          <w:bCs/>
          <w:color w:val="1E3A5C"/>
          <w:sz w:val="19"/>
          <w:szCs w:val="19"/>
        </w:rPr>
        <w:t xml:space="preserve">a million lines of source code</w:t>
      </w:r>
      <w:r>
        <w:rPr>
          <w:sz w:val="19"/>
          <w:szCs w:val="19"/>
        </w:rPr>
        <w:t xml:space="preserve">. That is not a product you can ship. It is a codebase you now have to staff, patch, fork, and re-merge on every ITC version uptake — </w:t>
      </w:r>
      <w:r>
        <w:rPr>
          <w:b/>
          <w:bCs/>
          <w:color w:val="1E3A5C"/>
          <w:sz w:val="19"/>
          <w:szCs w:val="19"/>
        </w:rPr>
        <w:t xml:space="preserve">forever</w:t>
      </w:r>
      <w:r>
        <w:rPr>
          <w:sz w:val="19"/>
          <w:szCs w:val="19"/>
        </w:rPr>
        <w:t xml:space="preserve"> — before you can sell a single seat.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real cost of being an IntelliCAD member: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Typical mid-size member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ITC membership + extras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~$100K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(~3–4K sales/yr)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~$60K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Third-party DRM (Sentinel / Reprise) + integration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$50–150K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6–8 engineers maintaining the fork and building features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$500K–1M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Realistic all-in cost of ownership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~$700K – $1.3M / year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ITC sells as paid add-ons — and what they actually are: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Add-on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ITC price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Reality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~$7–8K / yr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Experimental. Unclear how much is genuinely usable.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~$8K / yr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Exists, but weak.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Mac / full web app / web editor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available. IntelliCAD is Windows-tied.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add-ons are cheap because they are not really products.</w:t>
      </w:r>
      <w:r>
        <w:rPr>
          <w:sz w:val="19"/>
          <w:szCs w:val="19"/>
        </w:rPr>
        <w:t xml:space="preserve"> That matters for how we price: </w:t>
      </w:r>
      <w:r>
        <w:rPr>
          <w:b/>
          <w:bCs/>
          <w:color w:val="1E3A5C"/>
          <w:sz w:val="19"/>
          <w:szCs w:val="19"/>
        </w:rPr>
        <w:t xml:space="preserve">we bundle, we do not itemize.</w:t>
      </w:r>
      <w:r>
        <w:rPr>
          <w:sz w:val="19"/>
          <w:szCs w:val="19"/>
        </w:rPr>
        <w:t xml:space="preserve"> The moment we put a line item called "AI" on a quote, we get compared to an $8K experiment. Bundled into one platform fee that retires most of a $700K–1.3M stack, the comparison is the one we want.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IntelliCAD++ — the same idea, with ownership and responsibility fixed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consortium model was right about one thing: small CAD vendors cannot each fund an engine.</w:t>
      </w:r>
      <w:r>
        <w:rPr>
          <w:sz w:val="19"/>
          <w:szCs w:val="19"/>
        </w:rPr>
        <w:t xml:space="preserve"> What it got wrong is who owns the result and who carries the burden of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(ITC)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TejasCAD — IntelliCAD++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What you receive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shipping product you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Who maintains the engine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You do. Forever.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Fork it, patch it, re-merge on every uptake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do.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You never touch engine code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Who owns the IP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Consortium-held; you hold a licence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Platform-held; you hold a licence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— and founding members hold equity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Who sets direction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supermajority.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 slowest member sets the pace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decides.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Members have voice, not veto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Engine bugs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You fix them yourself, in source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then your fix flows to every member including competitors,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you carry the re-merge burden forever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 them, and the fix ships to every member.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You benefit from every other member's reported bug without having funded any of it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Your proprietary work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Blurred — your engine patches and your product code are intertwined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Clean: your plugins, verticals, tenant configuration and UI stay entirely yours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Coordinated, annual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Rolling. You ship when you are ready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Windows, Mac,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~$8K experimental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 every tier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Licensing / DRM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Buy your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consortium gave members shared ownership of a codebase and sole responsibility for running it. We invert that: we carry the responsibility, and we share the ownership with the members who matter most.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"++" is not just a better engine — it is a better deal on who does the work.</w:t>
      </w:r>
      <w:r>
        <w:rPr>
          <w:sz w:val="19"/>
          <w:szCs w:val="19"/>
        </w:rPr>
        <w:t xml:space="preserve"> That is the sentence to lead with in every member conversation.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On shared fixes, to be precise — because it sounds like the ITC problem and is its opposite.</w:t>
      </w:r>
      <w:r>
        <w:rPr>
          <w:sz w:val="19"/>
          <w:szCs w:val="19"/>
        </w:rPr>
        <w:t xml:space="preserve"> Engine fixes </w:t>
      </w:r>
      <w:r>
        <w:rPr>
          <w:i/>
          <w:iCs/>
          <w:sz w:val="19"/>
          <w:szCs w:val="19"/>
        </w:rPr>
        <w:t xml:space="preserve">do</w:t>
      </w:r>
      <w:r>
        <w:rPr>
          <w:sz w:val="19"/>
          <w:szCs w:val="19"/>
        </w:rPr>
        <w:t xml:space="preserve"> reach every member. The difference is who paid for them. </w:t>
      </w:r>
      <w:r>
        <w:rPr>
          <w:b/>
          <w:bCs/>
          <w:color w:val="1E3A5C"/>
          <w:sz w:val="19"/>
          <w:szCs w:val="19"/>
        </w:rPr>
        <w:t xml:space="preserve">Under ITC a member spends their own engineers fixing the engine and watches that investment reach competitors. Here, nobody's engineers are spent on the engine but ours</w:t>
      </w:r>
      <w:r>
        <w:rPr>
          <w:sz w:val="19"/>
          <w:szCs w:val="19"/>
        </w:rPr>
        <w:t xml:space="preserve"> — so a shared fix pool is something each member draws from rather than contributes to. </w:t>
      </w:r>
      <w:r>
        <w:rPr>
          <w:b/>
          <w:bCs/>
          <w:color w:val="1E3A5C"/>
          <w:sz w:val="19"/>
          <w:szCs w:val="19"/>
        </w:rPr>
        <w:t xml:space="preserve">What stays proprietary is the work that actually differentiates them: their plugins, verticals, configuration and UI.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We are already running this model.</w:t>
      </w:r>
      <w:r>
        <w:rPr>
          <w:sz w:val="19"/>
          <w:szCs w:val="19"/>
        </w:rPr>
        <w:t xml:space="preserve"> ActCAD's team files numbered bugs against each drop and we ship fixes back — 13+ releases so far. </w:t>
      </w:r>
      <w:r>
        <w:rPr>
          <w:b/>
          <w:bCs/>
          <w:color w:val="1E3A5C"/>
          <w:sz w:val="19"/>
          <w:szCs w:val="19"/>
        </w:rPr>
        <w:t xml:space="preserve">ActCAD is member zero, and the arrangement is working before we have written a contract for it.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sz w:val="19"/>
          <w:szCs w:val="19"/>
        </w:rPr>
        <w:t xml:space="preserve">⚠️ </w:t>
      </w:r>
      <w:r>
        <w:rPr>
          <w:b/>
          <w:bCs/>
          <w:color w:val="1E3A5C"/>
          <w:sz w:val="19"/>
          <w:szCs w:val="19"/>
        </w:rPr>
        <w:t xml:space="preserve">One thing this raises that needs deciding:</w:t>
      </w:r>
      <w:r>
        <w:rPr>
          <w:sz w:val="19"/>
          <w:szCs w:val="19"/>
        </w:rPr>
        <w:t xml:space="preserve"> how far the ownership-sharing goes. Founding Partner warrants are three small slots — parity between us is preserved. </w:t>
      </w:r>
      <w:r>
        <w:rPr>
          <w:b/>
          <w:bCs/>
          <w:color w:val="1E3A5C"/>
          <w:sz w:val="19"/>
          <w:szCs w:val="19"/>
        </w:rPr>
        <w:t xml:space="preserve">Going further, toward genuine member co-ownership, buys deeper commitment but reintroduces exactly the governance drag that made ITC slow.</w:t>
      </w:r>
      <w:r>
        <w:rPr>
          <w:sz w:val="19"/>
          <w:szCs w:val="19"/>
        </w:rPr>
        <w:t xml:space="preserve"> Our position is warrants yes, votes no — but it is a decision, not a given.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What each tier gates — and what it costs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Tier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unlocks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Engine, DWG/DXF fidelity, white-label shell + build pipeline, encrypted licensing,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and AI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+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web app, Mac, Android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marketplace access, cloud AI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Complete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+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 ActCAD-derived vertical modules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(Arch / Mech / Elec / BIM / GIS), co-development priority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$300K on day one is steep for a vendor paying ITC $100K.</w:t>
      </w:r>
      <w:r>
        <w:rPr>
          <w:sz w:val="19"/>
          <w:szCs w:val="19"/>
        </w:rPr>
        <w:t xml:space="preserve"> So we don't ask on day one, and we don't charge everyone the same — </w:t>
      </w:r>
      <w:r>
        <w:rPr>
          <w:b/>
          <w:bCs/>
          <w:color w:val="1E3A5C"/>
          <w:sz w:val="19"/>
          <w:szCs w:val="19"/>
        </w:rPr>
        <w:t xml:space="preserve">the band is set by the member's own installed base: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seat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Launch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under 5,000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Growth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$230K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Scale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$360K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←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ActCAD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Enterprise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$520K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$620K+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Ramped 50% / 75% / 100%</w:t>
      </w:r>
      <w:r>
        <w:rPr>
          <w:sz w:val="19"/>
          <w:szCs w:val="19"/>
        </w:rPr>
        <w:t xml:space="preserve"> across migration years 1–3, because their revenue on our platform ramps too. </w:t>
      </w:r>
      <w:r>
        <w:rPr>
          <w:b/>
          <w:bCs/>
          <w:color w:val="1E3A5C"/>
          <w:sz w:val="19"/>
          <w:szCs w:val="19"/>
        </w:rPr>
        <w:t xml:space="preserve">Component royalties (ACIS etc.) pass through at cost</w:t>
      </w:r>
      <w:r>
        <w:rPr>
          <w:sz w:val="19"/>
          <w:szCs w:val="19"/>
        </w:rPr>
        <w:t xml:space="preserve"> — no markup on the one number they can compare directly.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AI is in every tier deliberately</w:t>
      </w:r>
      <w:r>
        <w:rPr>
          <w:sz w:val="19"/>
          <w:szCs w:val="19"/>
        </w:rPr>
        <w:t xml:space="preserve"> — it is our sharpest edge over IntelliCAD and belongs in front of every member's customers. </w:t>
      </w:r>
      <w:r>
        <w:rPr>
          <w:b/>
          <w:bCs/>
          <w:color w:val="1E3A5C"/>
          <w:sz w:val="19"/>
          <w:szCs w:val="19"/>
        </w:rPr>
        <w:t xml:space="preserve">But the capability is bundled and the consumption is metered</w:t>
      </w:r>
      <w:r>
        <w:rPr>
          <w:sz w:val="19"/>
          <w:szCs w:val="19"/>
        </w:rPr>
        <w:t xml:space="preserve"> (allowance, then at cost, or bring-your-own-key) — unmetered inference against a fixed fee is an unbounded liability. </w:t>
      </w:r>
      <w:r>
        <w:rPr>
          <w:i/>
          <w:iCs/>
          <w:sz w:val="19"/>
          <w:szCs w:val="19"/>
        </w:rPr>
        <w:t xml:space="preserve">Detail in appendix.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sz w:val="19"/>
          <w:szCs w:val="19"/>
        </w:rPr>
        <w:t xml:space="preserve">⚠️ </w:t>
      </w:r>
      <w:r>
        <w:rPr>
          <w:b/>
          <w:bCs/>
          <w:color w:val="1E3A5C"/>
          <w:sz w:val="19"/>
          <w:szCs w:val="19"/>
        </w:rPr>
        <w:t xml:space="preserve">Complete needs a decision, not just a price.</w:t>
      </w:r>
      <w:r>
        <w:rPr>
          <w:sz w:val="19"/>
          <w:szCs w:val="19"/>
        </w:rPr>
        <w:t xml:space="preserve"> Licensing our verticals arms vendors who may compete with ActCAD. The named-competitor exclusion is </w:t>
      </w:r>
      <w:r>
        <w:rPr>
          <w:b/>
          <w:bCs/>
          <w:color w:val="1E3A5C"/>
          <w:sz w:val="19"/>
          <w:szCs w:val="19"/>
        </w:rPr>
        <w:t xml:space="preserve">a veto held by ActCAD's operating partner</w:t>
      </w:r>
      <w:r>
        <w:rPr>
          <w:sz w:val="19"/>
          <w:szCs w:val="19"/>
        </w:rPr>
        <w:t xml:space="preserve"> — see the earlier slide.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3D (future, out of scope today):</w:t>
      </w:r>
      <w:r>
        <w:rPr>
          <w:sz w:val="19"/>
          <w:szCs w:val="19"/>
        </w:rPr>
        <w:t xml:space="preserve"> a separate product on the </w:t>
      </w:r>
      <w:r>
        <w:rPr>
          <w:b/>
          <w:bCs/>
          <w:color w:val="1E3A5C"/>
          <w:sz w:val="19"/>
          <w:szCs w:val="19"/>
        </w:rPr>
        <w:t xml:space="preserve">C3D kernel</w:t>
      </w:r>
      <w:r>
        <w:rPr>
          <w:sz w:val="19"/>
          <w:szCs w:val="19"/>
        </w:rPr>
        <w:t xml:space="preserve">, eventually an additional module. Russian-origin — </w:t>
      </w:r>
      <w:r>
        <w:rPr>
          <w:b/>
          <w:bCs/>
          <w:color w:val="1E3A5C"/>
          <w:sz w:val="19"/>
          <w:szCs w:val="19"/>
        </w:rPr>
        <w:t xml:space="preserve">export/jurisdiction constraints need clearing before it is licensed onward to EU/UK/US members.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this could become — conservative, base, aggressive</w:t>
      </w:r>
    </w:p>
    <w:p>
      <w:pPr>
        <w:spacing w:after="100" w:before="60"/>
      </w:pPr>
      <w:r>
        <w:rPr>
          <w:sz w:val="19"/>
          <w:szCs w:val="19"/>
        </w:rPr>
        <w:t xml:space="preserve">Two variables drive everything: </w:t>
      </w:r>
      <w:r>
        <w:rPr>
          <w:b/>
          <w:bCs/>
          <w:color w:val="1E3A5C"/>
          <w:sz w:val="19"/>
          <w:szCs w:val="19"/>
        </w:rPr>
        <w:t xml:space="preserve">how many members we sign</w:t>
      </w:r>
      <w:r>
        <w:rPr>
          <w:sz w:val="19"/>
          <w:szCs w:val="19"/>
        </w:rPr>
        <w:t xml:space="preserve">, and </w:t>
      </w:r>
      <w:r>
        <w:rPr>
          <w:b/>
          <w:bCs/>
          <w:color w:val="1E3A5C"/>
          <w:sz w:val="19"/>
          <w:szCs w:val="19"/>
        </w:rPr>
        <w:t xml:space="preserve">what mix of tiers they buy.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Commercial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members by Y7 (incl. ActCAD)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Developer-tier members (funnel)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~40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~80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mix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mostly Launch / Core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mix in the appendix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skews Growth+ / Plus &amp; Complete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Blended fee per member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~$105K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~$181K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~$285K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+ marketplace &amp; vertical royalties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~$50K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~$50K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Platform ARR at Y7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~$650K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~$2.8M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~$6.7M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Gross margin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~68%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~70%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~73%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Annual profit 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~$2.0M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~$4.9M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exit multiple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5–6×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7–8×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Indicative enterprise value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not saleable at this scale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~$14–17M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~$47–54M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What we'd likely do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Don't sell. Run it — it pays for itself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Sell, or keep compounding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Competitive process; genuine strategic interest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i/>
          <w:iCs/>
          <w:sz w:val="19"/>
          <w:szCs w:val="19"/>
        </w:rPr>
        <w:t xml:space="preserve">Developer-tier revenue is excluded above — at $4K it is immaterial (~$320K even at 80 members). </w:t>
      </w:r>
      <w:r>
        <w:rPr>
          <w:i/>
          <w:iCs/>
          <w:sz w:val="19"/>
          <w:szCs w:val="19"/>
        </w:rPr>
        <w:t xml:space="preserve">Its value is the graduation pipeline into the commercial tiers</w:t>
      </w:r>
      <w:r>
        <w:rPr>
          <w:i/>
          <w:iCs/>
          <w:sz w:val="19"/>
          <w:szCs w:val="19"/>
        </w:rPr>
        <w:t xml:space="preserve">, which is what makes the Y8–12 picture bigger than the Y7 one.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Component royalties (ACIS etc.) are excluded throughout — they pass through at cost and earn us nothing.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honest read: a strong adjacent business line, not a venture-scale company.</w:t>
      </w:r>
      <w:r>
        <w:rPr>
          <w:sz w:val="19"/>
          <w:szCs w:val="19"/>
        </w:rPr>
        <w:t xml:space="preserve"> The aggressive case is a ~$7M ARR business worth ~$50M, throwing off ~$5M/year. That is an excellent return on a few engineer-months of incremental work on an engine we are funding anyway — and it is not a unicorn.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What would make it materially bigger?</w:t>
      </w:r>
      <w:r>
        <w:rPr>
          <w:sz w:val="19"/>
          <w:szCs w:val="19"/>
        </w:rPr>
        <w:t xml:space="preserve"> Not this model. Twenty members at $340K caps out near $50M. Reaching $20M+ ARR needs </w:t>
      </w:r>
      <w:r>
        <w:rPr>
          <w:b/>
          <w:bCs/>
          <w:color w:val="1E3A5C"/>
          <w:sz w:val="19"/>
          <w:szCs w:val="19"/>
        </w:rPr>
        <w:t xml:space="preserve">~60–100 members</w:t>
      </w:r>
      <w:r>
        <w:rPr>
          <w:sz w:val="19"/>
          <w:szCs w:val="19"/>
        </w:rPr>
        <w:t xml:space="preserve"> (the global long tail, a decade of partner management), or selling </w:t>
      </w:r>
      <w:r>
        <w:rPr>
          <w:b/>
          <w:bCs/>
          <w:color w:val="1E3A5C"/>
          <w:sz w:val="19"/>
          <w:szCs w:val="19"/>
        </w:rPr>
        <w:t xml:space="preserve">direct to end users</w:t>
      </w:r>
      <w:r>
        <w:rPr>
          <w:sz w:val="19"/>
          <w:szCs w:val="19"/>
        </w:rPr>
        <w:t xml:space="preserve"> alongside our members, or </w:t>
      </w:r>
      <w:r>
        <w:rPr>
          <w:b/>
          <w:bCs/>
          <w:color w:val="1E3A5C"/>
          <w:sz w:val="19"/>
          <w:szCs w:val="19"/>
        </w:rPr>
        <w:t xml:space="preserve">a second licensable product line — the 3D product on C3D is the obvious candidate.</w:t>
      </w:r>
      <w:r>
        <w:rPr>
          <w:sz w:val="19"/>
          <w:szCs w:val="19"/>
        </w:rPr>
        <w:t xml:space="preserve"> All three are questions to open deliberately later, not to assume today.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Funding path — and what actually sets an acquisition floor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Promoter-funded at the start, as intended.</w:t>
      </w:r>
      <w:r>
        <w:rPr>
          <w:sz w:val="19"/>
          <w:szCs w:val="19"/>
        </w:rPr>
        <w:t xml:space="preserve"> But the ask is small, because the expensive part is already committed.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Size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→ Y2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$1–2M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layer + licensing infra + first member onboarding.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 engine is already funded and building — this is the increment on top.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Y4–5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 at $40–60M pre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floor-setter.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See below.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Y6–7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Target $50–100M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Competitive process, if the strategic round created tension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On setting a floor — the honest mechanics: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priced round's post-money </w:t>
      </w:r>
      <w:r>
        <w:rPr>
          <w:b/>
          <w:bCs/>
          <w:color w:val="1E3A5C"/>
          <w:sz w:val="19"/>
          <w:szCs w:val="19"/>
        </w:rPr>
        <w:t xml:space="preserve">does</w:t>
      </w:r>
      <w:r>
        <w:rPr>
          <w:sz w:val="19"/>
          <w:szCs w:val="19"/>
        </w:rPr>
        <w:t xml:space="preserve"> anchor board and shareholder expectations. That part is real.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But it only holds </w:t>
      </w:r>
      <w:r>
        <w:rPr>
          <w:b/>
          <w:bCs/>
          <w:color w:val="1E3A5C"/>
          <w:sz w:val="19"/>
          <w:szCs w:val="19"/>
        </w:rPr>
        <w:t xml:space="preserve">if the valuation was defensible.</w:t>
      </w:r>
      <w:r>
        <w:rPr>
          <w:sz w:val="19"/>
          <w:szCs w:val="19"/>
        </w:rPr>
        <w:t xml:space="preserve"> An inflated round doesn't create a floor — it creates down-round risk and scares acquirers off.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What actually forces price up is competition between buyers, not a prior round.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So the highest-leverage move is not a big financial round — it's a small strategic one.</w:t>
      </w:r>
      <w:r>
        <w:rPr>
          <w:sz w:val="19"/>
          <w:szCs w:val="19"/>
        </w:rPr>
        <w:t xml:space="preserve"> $5–10M from a </w:t>
      </w:r>
      <w:r>
        <w:rPr>
          <w:i/>
          <w:iCs/>
          <w:sz w:val="19"/>
          <w:szCs w:val="19"/>
        </w:rPr>
        <w:t xml:space="preserve">plausible acquirer</w:t>
      </w:r>
      <w:r>
        <w:rPr>
          <w:sz w:val="19"/>
          <w:szCs w:val="19"/>
        </w:rPr>
        <w:t xml:space="preserve"> (an ODA-ecosystem vendor, a CAD-adjacent strategic, an Indian engineering major) does three things a financial round cannot: it </w:t>
      </w:r>
      <w:r>
        <w:rPr>
          <w:b/>
          <w:bCs/>
          <w:color w:val="1E3A5C"/>
          <w:sz w:val="19"/>
          <w:szCs w:val="19"/>
        </w:rPr>
        <w:t xml:space="preserve">sets a defensible floor</w:t>
      </w:r>
      <w:r>
        <w:rPr>
          <w:sz w:val="19"/>
          <w:szCs w:val="19"/>
        </w:rPr>
        <w:t xml:space="preserve">, it </w:t>
      </w:r>
      <w:r>
        <w:rPr>
          <w:b/>
          <w:bCs/>
          <w:color w:val="1E3A5C"/>
          <w:sz w:val="19"/>
          <w:szCs w:val="19"/>
        </w:rPr>
        <w:t xml:space="preserve">puts a real buyer on the cap table</w:t>
      </w:r>
      <w:r>
        <w:rPr>
          <w:sz w:val="19"/>
          <w:szCs w:val="19"/>
        </w:rPr>
        <w:t xml:space="preserve">, and it </w:t>
      </w:r>
      <w:r>
        <w:rPr>
          <w:b/>
          <w:bCs/>
          <w:color w:val="1E3A5C"/>
          <w:sz w:val="19"/>
          <w:szCs w:val="19"/>
        </w:rPr>
        <w:t xml:space="preserve">forces rival buyers to move</w:t>
      </w:r>
      <w:r>
        <w:rPr>
          <w:sz w:val="19"/>
          <w:szCs w:val="19"/>
        </w:rPr>
        <w:t xml:space="preserve"> rather than wait.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And a caution worth stating plainly:</w:t>
      </w:r>
      <w:r>
        <w:rPr>
          <w:sz w:val="19"/>
          <w:szCs w:val="19"/>
        </w:rPr>
        <w:t xml:space="preserve"> at ~74% margins this business likely </w:t>
      </w:r>
      <w:r>
        <w:rPr>
          <w:b/>
          <w:bCs/>
          <w:color w:val="1E3A5C"/>
          <w:sz w:val="19"/>
          <w:szCs w:val="19"/>
        </w:rPr>
        <w:t xml:space="preserve">self-funds from year 3</w:t>
      </w:r>
      <w:r>
        <w:rPr>
          <w:sz w:val="19"/>
          <w:szCs w:val="19"/>
        </w:rPr>
        <w:t xml:space="preserve">. Raising money we don't need is dilution without benefit. </w:t>
      </w:r>
      <w:r>
        <w:rPr>
          <w:b/>
          <w:bCs/>
          <w:color w:val="1E3A5C"/>
          <w:sz w:val="19"/>
          <w:szCs w:val="19"/>
        </w:rPr>
        <w:t xml:space="preserve">Take the strategic round for the strategic reason — the floor and the tension — not for the cash.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What we're asking today — and what we're explicitly NOT asking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We're asking for: concept approval in principle.</w:t>
      </w:r>
      <w:r>
        <w:rPr>
          <w:sz w:val="19"/>
          <w:szCs w:val="19"/>
        </w:rPr>
        <w:t xml:space="preserve"> That's it.</w:t>
      </w:r>
    </w:p>
    <w:p>
      <w:pPr>
        <w:spacing w:after="100" w:before="60"/>
      </w:pPr>
      <w:r>
        <w:rPr>
          <w:sz w:val="19"/>
          <w:szCs w:val="19"/>
        </w:rPr>
        <w:t xml:space="preserve">That approval unlocks the following prep work — none of which commits capital or public communication: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Draft Master Platform License Agreement template (Jytra ↔ TejasCAD)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 trademark clearance on TejasCAD + sub-brand family (TejasCAD Engine / Forge / Cloud / SDK)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Corporate counsel scoping of the entity structure — </w:t>
      </w:r>
      <w:r>
        <w:rPr>
          <w:b/>
          <w:bCs/>
          <w:color w:val="1E3A5C"/>
          <w:sz w:val="19"/>
          <w:szCs w:val="19"/>
        </w:rPr>
        <w:t xml:space="preserve">note the earlier Delaware C-Corp recommendation was premised on institutional VC rounds we are no longer planning; a simpler Indian structure may now be correct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Non-binding scoping conversation with 3–5 candidate member CEOs (all in ActCAD's existing warm network)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Encrypted licensing v0 design review with an external crypto firm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We are NOT asking today for: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Capital commitment (the $1–2M promoter seed is a separate, later decision)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Public announcement of any kind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Entity incorporation (that follows counsel review)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ACIS platform-amendment negotiation with Spatial (that follows the bilateral first)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Any change to how ActCAD is run today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16 — </w:t>
      </w:r>
      <w:r>
        <w:rPr>
          <w:b/>
          <w:bCs/>
          <w:color w:val="1E3A5C"/>
          <w:sz w:val="26"/>
          <w:szCs w:val="26"/>
        </w:rPr>
        <w:t xml:space="preserve">—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questions worth sitting with before you answer: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1.  </w:t>
      </w:r>
      <w:r>
        <w:rPr>
          <w:b/>
          <w:bCs/>
          <w:color w:val="1E3A5C"/>
          <w:sz w:val="19"/>
          <w:szCs w:val="19"/>
        </w:rPr>
        <w:t xml:space="preserve">Is a ~$3–7M/year, ~75%-margin adjacent business worth the operational complexity</w:t>
      </w:r>
      <w:r>
        <w:rPr>
          <w:sz w:val="19"/>
          <w:szCs w:val="19"/>
        </w:rPr>
        <w:t xml:space="preserve"> of a second entity, partner relationships, and supporting other vendors' teams? The revenue is real but not transformational.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2.  </w:t>
      </w:r>
      <w:r>
        <w:rPr>
          <w:b/>
          <w:bCs/>
          <w:color w:val="1E3A5C"/>
          <w:sz w:val="19"/>
          <w:szCs w:val="19"/>
        </w:rPr>
        <w:t xml:space="preserve">Are we willing to run two clean entities</w:t>
      </w:r>
      <w:r>
        <w:rPr>
          <w:sz w:val="19"/>
          <w:szCs w:val="19"/>
        </w:rPr>
        <w:t xml:space="preserve">, with ActCAD paying standard member fees like anyone else — knowing that fee is what actually funds the platform team in the early years?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3.  </w:t>
      </w:r>
      <w:r>
        <w:rPr>
          <w:b/>
          <w:bCs/>
          <w:color w:val="1E3A5C"/>
          <w:sz w:val="19"/>
          <w:szCs w:val="19"/>
        </w:rPr>
        <w:t xml:space="preserve">Do we want to be the ones who build this</w:t>
      </w:r>
      <w:r>
        <w:rPr>
          <w:sz w:val="19"/>
          <w:szCs w:val="19"/>
        </w:rPr>
        <w:t xml:space="preserve"> — accepting it is a </w:t>
      </w:r>
      <w:r>
        <w:rPr>
          <w:b/>
          <w:bCs/>
          <w:color w:val="1E3A5C"/>
          <w:sz w:val="19"/>
          <w:szCs w:val="19"/>
        </w:rPr>
        <w:t xml:space="preserve">profitable business line, not a venture-scale outcome</w:t>
      </w:r>
      <w:r>
        <w:rPr>
          <w:sz w:val="19"/>
          <w:szCs w:val="19"/>
        </w:rPr>
        <w:t xml:space="preserve">, unless we later choose a much bigger distribution model?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What we are NOT asking you to fund today: the engine.</w:t>
      </w:r>
      <w:r>
        <w:rPr>
          <w:sz w:val="19"/>
          <w:szCs w:val="19"/>
        </w:rPr>
        <w:t xml:space="preserve"> That is already committed and building. The platform layer is </w:t>
      </w:r>
      <w:r>
        <w:rPr>
          <w:b/>
          <w:bCs/>
          <w:color w:val="1E3A5C"/>
          <w:sz w:val="19"/>
          <w:szCs w:val="19"/>
        </w:rPr>
        <w:t xml:space="preserve">~3–6 engineer-months incremental</w:t>
      </w:r>
      <w:r>
        <w:rPr>
          <w:sz w:val="19"/>
          <w:szCs w:val="19"/>
        </w:rPr>
        <w:t xml:space="preserve"> on work in flight.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17 — </w:t>
      </w:r>
      <w:r>
        <w:rPr>
          <w:b/>
          <w:bCs/>
          <w:color w:val="1E3A5C"/>
          <w:sz w:val="26"/>
          <w:szCs w:val="26"/>
        </w:rPr>
        <w:t xml:space="preserve">What happens on Monday if the concept is approved</w:t>
      </w:r>
    </w:p>
    <w:p>
      <w:pPr>
        <w:spacing w:after="100" w:before="60"/>
      </w:pPr>
      <w:r>
        <w:rPr>
          <w:sz w:val="19"/>
          <w:szCs w:val="19"/>
        </w:rPr>
        <w:t xml:space="preserve">Week 1 (this coming week):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Legal engagement: entity structure scoping (Delaware C-Corp vs simpler Indian structure — the funding path has changed)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Trademark clearance opens on TejasCAD + sub-brand family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Draft of Master Platform License Agreement between Jytra and TejasCAD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 0 engineering continues at current pace</w:t>
      </w:r>
      <w:r>
        <w:rPr>
          <w:sz w:val="19"/>
          <w:szCs w:val="19"/>
        </w:rPr>
        <w:t xml:space="preserve"> — no disruption, no scope change; the tenant-profile discipline gets folded into the build pipeline that already exists</w:t>
      </w:r>
    </w:p>
    <w:p>
      <w:pPr>
        <w:spacing w:after="100" w:before="60"/>
      </w:pPr>
      <w:r>
        <w:rPr>
          <w:sz w:val="19"/>
          <w:szCs w:val="19"/>
        </w:rPr>
        <w:t xml:space="preserve">Weeks 2–4: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Draft of the $1–2M promoter seed structure (equity + convertible notes)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First soft conversation with 2 candidate members from ActCAD's warm network — no LOI ask, just problem discovery. </w:t>
      </w:r>
      <w:r>
        <w:rPr>
          <w:b/>
          <w:bCs/>
          <w:color w:val="1E3A5C"/>
          <w:sz w:val="19"/>
          <w:szCs w:val="19"/>
        </w:rPr>
        <w:t xml:space="preserve">We can show them the working viewer.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External crypto firm engaged to review encrypted licensing v0 design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Customer-hardware perf baseline measurement (the exit criterion still owed from Phase 0)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Instrument AI inference cost per active user</w:t>
      </w:r>
      <w:r>
        <w:rPr>
          <w:sz w:val="19"/>
          <w:szCs w:val="19"/>
        </w:rPr>
        <w:t xml:space="preserve"> — the number that sizes the allowance and protects the margin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Public web-launch decision — first candidate-member conversations may benefit from a controlled public demo</w:t>
      </w:r>
    </w:p>
    <w:p>
      <w:pPr>
        <w:spacing w:after="100" w:before="60"/>
      </w:pPr>
      <w:r>
        <w:rPr>
          <w:sz w:val="19"/>
          <w:szCs w:val="19"/>
        </w:rPr>
        <w:t xml:space="preserve">By month 2, we come back to this room with: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confirmed entity plan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trademark status update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Notes from the first 2 candidate-member conversations — </w:t>
      </w:r>
      <w:r>
        <w:rPr>
          <w:b/>
          <w:bCs/>
          <w:color w:val="1E3A5C"/>
          <w:sz w:val="19"/>
          <w:szCs w:val="19"/>
        </w:rPr>
        <w:t xml:space="preserve">live product in hand for the demo, not slides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firm number on the promoter seed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Customer-hardware perf numbers to close the last Phase 0 exit criterion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Nothing between now and month 2 is publicly visible. Nothing commits capital or brand until the promoter group approves the next step. Phase 0 engineering keeps shipping through all of it.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18 — </w:t>
      </w:r>
      <w:r>
        <w:rPr>
          <w:b/>
          <w:bCs/>
          <w:color w:val="1E3A5C"/>
          <w:sz w:val="26"/>
          <w:szCs w:val="26"/>
        </w:rPr>
        <w:t xml:space="preserve">The ask, in one line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Approve TejasCAD as a concept in principle — turn on the pre-work that lets us come back with real answers in eight weeks.</w:t>
      </w:r>
    </w:p>
    <w:p>
      <w:pPr>
        <w:spacing w:after="100" w:before="60"/>
      </w:pPr>
      <w:r>
        <w:rPr>
          <w:rFonts w:ascii="Consolas" w:cs="Consolas" w:eastAsia="Consolas" w:hAnsi="Consolas"/>
          <w:sz w:val="18"/>
          <w:szCs w:val="18"/>
        </w:rPr>
        <w:t xml:space="preserve">docs/tejascad-story.md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docs/tejascad-company-structure.md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docs/tejascad-vs-intellicad.md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docs/tejascad-licensing-architecture.md</w:t>
      </w:r>
      <w:r>
        <w:rPr>
          <w:sz w:val="19"/>
          <w:szCs w:val="19"/>
        </w:rP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docs/tejascad-pitch-deck.md</w:t>
      </w:r>
    </w:p>
    <w:p>
      <w:pPr>
        <w:spacing w:after="100" w:before="60"/>
      </w:pPr>
      <w:r>
        <w:rPr>
          <w:sz w:val="19"/>
          <w:szCs w:val="19"/>
        </w:rPr>
        <w:t xml:space="preserve">Questions?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19 (appendix) — </w:t>
      </w:r>
      <w:r>
        <w:rPr>
          <w:b/>
          <w:bCs/>
          <w:color w:val="1E3A5C"/>
          <w:sz w:val="26"/>
          <w:szCs w:val="26"/>
        </w:rPr>
        <w:t xml:space="preserve">Appendix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Commercial model detail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Pricing mechanics, tier gating, AI metering, founding-member terms, member onboarding, and the licensing trust story. Here if the conversation goes there — not part of the main line.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20 (appendix) — </w:t>
      </w:r>
      <w:r>
        <w:rPr>
          <w:b/>
          <w:bCs/>
          <w:color w:val="1E3A5C"/>
          <w:sz w:val="26"/>
          <w:szCs w:val="26"/>
        </w:rPr>
        <w:t xml:space="preserve">The Phase 1 architectural direction — what we already know</w:t>
      </w:r>
    </w:p>
    <w:p>
      <w:pPr>
        <w:spacing w:after="100" w:before="60"/>
      </w:pPr>
      <w:r>
        <w:rPr>
          <w:sz w:val="19"/>
          <w:szCs w:val="19"/>
        </w:rPr>
        <w:t xml:space="preserve">The viewer is proving something else: </w:t>
      </w:r>
      <w:r>
        <w:rPr>
          <w:b/>
          <w:bCs/>
          <w:color w:val="1E3A5C"/>
          <w:sz w:val="19"/>
          <w:szCs w:val="19"/>
        </w:rPr>
        <w:t xml:space="preserve">some ODA features are not exposed through the web stack.</w:t>
      </w:r>
      <w:r>
        <w:rPr>
          <w:sz w:val="19"/>
          <w:szCs w:val="19"/>
        </w:rPr>
        <w:t xml:space="preserve"> For those, the full-editor product needs a </w:t>
      </w:r>
      <w:r>
        <w:rPr>
          <w:b/>
          <w:bCs/>
          <w:color w:val="1E3A5C"/>
          <w:sz w:val="19"/>
          <w:szCs w:val="19"/>
        </w:rPr>
        <w:t xml:space="preserve">native application</w:t>
      </w:r>
      <w:r>
        <w:rPr>
          <w:sz w:val="19"/>
          <w:szCs w:val="19"/>
        </w:rPr>
        <w:t xml:space="preserve"> path, not just a browser.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Plan (already consistent with the original re-architecture plan):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Now → viewer launch:</w:t>
      </w:r>
      <w:r>
        <w:rPr>
          <w:sz w:val="19"/>
          <w:szCs w:val="19"/>
        </w:rPr>
        <w:t xml:space="preserve"> continue on the current Rust/Tauri + WASM/inWEB stack. Ship the viewer.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viewer launch:</w:t>
      </w:r>
      <w:r>
        <w:rPr>
          <w:sz w:val="19"/>
          <w:szCs w:val="19"/>
        </w:rPr>
        <w:t xml:space="preserve"> </w:t>
      </w:r>
      <w:r>
        <w:rPr>
          <w:b/>
          <w:bCs/>
          <w:color w:val="1E3A5C"/>
          <w:sz w:val="19"/>
          <w:szCs w:val="19"/>
        </w:rPr>
        <w:t xml:space="preserve">migrate the full-product to Qt + C++ native.</w:t>
      </w:r>
      <w:r>
        <w:rPr>
          <w:sz w:val="19"/>
          <w:szCs w:val="19"/>
        </w:rPr>
        <w:t xml:space="preserve"> This is where the ODA features currently missing from the web stack become available, and where the ActCAD team wants to live long-term.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viewer:</w:t>
      </w:r>
      <w:r>
        <w:rPr>
          <w:sz w:val="19"/>
          <w:szCs w:val="19"/>
        </w:rPr>
        <w:t xml:space="preserve"> either </w:t>
      </w:r>
      <w:r>
        <w:rPr>
          <w:b/>
          <w:bCs/>
          <w:color w:val="1E3A5C"/>
          <w:sz w:val="19"/>
          <w:szCs w:val="19"/>
        </w:rPr>
        <w:t xml:space="preserve">folds into the Qt stack</w:t>
      </w:r>
      <w:r>
        <w:rPr>
          <w:sz w:val="19"/>
          <w:szCs w:val="19"/>
        </w:rPr>
        <w:t xml:space="preserve"> as an alternate frontend on the same C++ engine, or </w:t>
      </w:r>
      <w:r>
        <w:rPr>
          <w:b/>
          <w:bCs/>
          <w:color w:val="1E3A5C"/>
          <w:sz w:val="19"/>
          <w:szCs w:val="19"/>
        </w:rPr>
        <w:t xml:space="preserve">stays on Rust/Tauri</w:t>
      </w:r>
      <w:r>
        <w:rPr>
          <w:sz w:val="19"/>
          <w:szCs w:val="19"/>
        </w:rPr>
        <w:t xml:space="preserve"> as an independent codebase. Open decision — settled with data during the migration.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Why the directors should hear this now: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Qt/C++ direction is not a change of plan; it is what the re-architecture always intended for the full product. The Rust/Tauri viewer is the entry point, not the destination.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"should the web viewer live in Qt or stay Rust/Tauri?" question is a </w:t>
      </w:r>
      <w:r>
        <w:rPr>
          <w:b/>
          <w:bCs/>
          <w:color w:val="1E3A5C"/>
          <w:sz w:val="19"/>
          <w:szCs w:val="19"/>
        </w:rPr>
        <w:t xml:space="preserve">healthy</w:t>
      </w:r>
      <w:r>
        <w:rPr>
          <w:sz w:val="19"/>
          <w:szCs w:val="19"/>
        </w:rPr>
        <w:t xml:space="preserve"> architectural choice we get to make after the viewer ships, not a fire we're fighting.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None of this changes the platform argument.</w:t>
      </w:r>
      <w:r>
        <w:rPr>
          <w:sz w:val="19"/>
          <w:szCs w:val="19"/>
        </w:rPr>
        <w:t xml:space="preserve"> The platform seams (tenant profile, encrypted licensing, marketplace, MCP agent) live in the C++ core regardless of which shell wraps them.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21 (appendix) — </w:t>
      </w:r>
      <w:r>
        <w:rPr>
          <w:b/>
          <w:bCs/>
          <w:color w:val="1E3A5C"/>
          <w:sz w:val="26"/>
          <w:szCs w:val="26"/>
        </w:rPr>
        <w:t xml:space="preserve">Who our first members would be</w:t>
      </w:r>
    </w:p>
    <w:p>
      <w:pPr>
        <w:spacing w:after="100" w:before="60"/>
      </w:pPr>
      <w:r>
        <w:rPr>
          <w:sz w:val="19"/>
          <w:szCs w:val="19"/>
        </w:rPr>
        <w:t xml:space="preserve">Not competition. Segments where they'd rather share the platform cost than fund the R&amp;D alone.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they are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they'd talk to us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Regional ITC members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progeCAD, CADian, CMS IntelliCAD, DoubleCAD, and the long tail of regional / vertical ITC-based products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Stuck on the IntelliCAD ceiling for AI / cloud / web / mobile — and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paying their own engineers to fix an engine, only for that work to reach competitors.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Vertical ISVs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MEP, structural, electrical, survey, solar, curtain-wall specialists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clean engine option. Forced onto AutoCAD SDK or DIY. Would ship a full branded CAD in 90 days on us.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BIM-lite startups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New AEC-tech founders in Bengaluru, EU, ME, LATAM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 CAD + IFC + AI foundation; can't afford to build it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To be clear about who is NOT on this list:</w:t>
      </w:r>
      <w:r>
        <w:rPr>
          <w:sz w:val="19"/>
          <w:szCs w:val="19"/>
        </w:rPr>
        <w:t xml:space="preserve"> BricsCAD, ZWCAD, and GstarCAD are </w:t>
      </w:r>
      <w:r>
        <w:rPr>
          <w:b/>
          <w:bCs/>
          <w:color w:val="1E3A5C"/>
          <w:sz w:val="19"/>
          <w:szCs w:val="19"/>
        </w:rPr>
        <w:t xml:space="preserve">peers, not prospects.</w:t>
      </w:r>
      <w:r>
        <w:rPr>
          <w:sz w:val="19"/>
          <w:szCs w:val="19"/>
        </w:rPr>
        <w:t xml:space="preserve"> They each already left IntelliCAD and built their own engine direct on ODA — ZWCAD and GstarCAD are among ActCAD's most direct competitors in India today. </w:t>
      </w:r>
      <w:r>
        <w:rPr>
          <w:b/>
          <w:bCs/>
          <w:color w:val="1E3A5C"/>
          <w:sz w:val="19"/>
          <w:szCs w:val="19"/>
        </w:rPr>
        <w:t xml:space="preserve">We do not white-label to them.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sz w:val="19"/>
          <w:szCs w:val="19"/>
        </w:rPr>
        <w:t xml:space="preserve">That they made this exact move — and won — is the strongest external validation of the direction. We're taking the same road they took, and adding the white-label layer none of them built.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We approach the real prospects warmly, from ActCAD's existing network</w:t>
      </w:r>
      <w:r>
        <w:rPr>
          <w:sz w:val="19"/>
          <w:szCs w:val="19"/>
        </w:rPr>
        <w:t xml:space="preserve"> — not cold outbound. The founder's own relationships across India / SEA / MEA / EU open the first 10–15 conversations without a sales team.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22 (appendix) — </w:t>
      </w:r>
      <w:r>
        <w:rPr>
          <w:b/>
          <w:bCs/>
          <w:color w:val="1E3A5C"/>
          <w:sz w:val="26"/>
          <w:szCs w:val="26"/>
        </w:rPr>
        <w:t xml:space="preserve">How we bring a member on — the 90-day pattern</w:t>
      </w:r>
    </w:p>
    <w:p>
      <w:pPr>
        <w:spacing w:after="100" w:before="60"/>
      </w:pPr>
      <w:r>
        <w:rPr>
          <w:sz w:val="19"/>
          <w:szCs w:val="19"/>
        </w:rPr>
        <w:t xml:space="preserve">Members don't build. Members configure. That is the whole point.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Week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happens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Who does it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W0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LOI signed. Member gets sandboxed evaluation build with their brand pre-configured, and their 20 hardest customer DWGs test-loaded.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evaluates. TejasCAD supports.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W1–4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Tenant profile finalized: brand assets, EULA, command-prefix, feature flags, license-server endpoint, marketplace share %.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License Authority key generated and handed to the member — we never see it again.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Joint.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W5–10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Existing extensions ported to our plugin SDK (95% of LISP works unchanged; .NET migration guide handles the rest). Dedicated migration engineer embedded.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engineering + TejasCAD migration lead.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W11–13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Closed beta with 5–15 of the member's own friendly customers under NDA.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Member.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W14+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GA under the member's brand.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Signed installers roll out of our build pipeline. AI, cloud, web features go live with their name on them.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sells to their customers.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Full detail: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docs/tejascad-vs-intellicad.md</w:t>
      </w:r>
      <w:r>
        <w:rPr>
          <w:sz w:val="19"/>
          <w:szCs w:val="19"/>
        </w:rPr>
        <w:t xml:space="preserve"> §6 + </w:t>
      </w:r>
      <w:r>
        <w:rPr>
          <w:rFonts w:ascii="Consolas" w:cs="Consolas" w:eastAsia="Consolas" w:hAnsi="Consolas"/>
          <w:sz w:val="18"/>
          <w:szCs w:val="18"/>
        </w:rPr>
        <w:t xml:space="preserve">docs/tejascad-licensing-architecture.md</w:t>
      </w:r>
      <w:r>
        <w:rPr>
          <w:sz w:val="19"/>
          <w:szCs w:val="19"/>
        </w:rPr>
        <w:t xml:space="preserve"> §5–6.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23 (appendix) — </w:t>
      </w:r>
      <w:r>
        <w:rPr>
          <w:b/>
          <w:bCs/>
          <w:color w:val="1E3A5C"/>
          <w:sz w:val="26"/>
          <w:szCs w:val="26"/>
        </w:rPr>
        <w:t xml:space="preserve">The lesson from ODA — cheap memberships won</w:t>
      </w:r>
    </w:p>
    <w:p>
      <w:pPr>
        <w:spacing w:after="100" w:before="60"/>
      </w:pPr>
      <w:r>
        <w:rPr>
          <w:sz w:val="19"/>
          <w:szCs w:val="19"/>
        </w:rPr>
        <w:t xml:space="preserve">ODA and IntelliCAD sell into </w:t>
      </w:r>
      <w:r>
        <w:rPr>
          <w:b/>
          <w:bCs/>
          <w:color w:val="1E3A5C"/>
          <w:sz w:val="19"/>
          <w:szCs w:val="19"/>
        </w:rPr>
        <w:t xml:space="preserve">the same market</w:t>
      </w:r>
      <w:r>
        <w:rPr>
          <w:sz w:val="19"/>
          <w:szCs w:val="19"/>
        </w:rPr>
        <w:t xml:space="preserve">. Look at what they charge and what it got them.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(ITC)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ODA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Entry price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~$100K / year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$3K first yr / $2.25K renewal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Main commercial tier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~$100K + paid add-ons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$7.5K first yr / $4.5K renewal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unlimited seats, no per-seat royalty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Top tier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$37.5K / $18K — full source, Git access,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board nomination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Add-ons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~$8K, Android ~$8K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Extensions $5–10K each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Members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~40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~1,200+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Who's on it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Regional CAD vendors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Bricsys, GstarCAD, ZWCAD, NanoCAD, Graphisoft, Vectorworks, Bentley, Trimble, Dassault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ODA charges roughly 1/20th of ITC and has ~30× the members.</w:t>
      </w:r>
      <w:r>
        <w:rPr>
          <w:sz w:val="19"/>
          <w:szCs w:val="19"/>
        </w:rPr>
        <w:t xml:space="preserve"> That is not an accident — </w:t>
      </w:r>
      <w:r>
        <w:rPr>
          <w:b/>
          <w:bCs/>
          <w:color w:val="1E3A5C"/>
          <w:sz w:val="19"/>
          <w:szCs w:val="19"/>
        </w:rPr>
        <w:t xml:space="preserve">low friction beat high extraction</w:t>
      </w:r>
      <w:r>
        <w:rPr>
          <w:sz w:val="19"/>
          <w:szCs w:val="19"/>
        </w:rPr>
        <w:t xml:space="preserve">, in exactly the market we are entering.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But we cannot simply copy their price, and it's important to be clear why:</w:t>
      </w:r>
      <w:r>
        <w:rPr>
          <w:sz w:val="19"/>
          <w:szCs w:val="19"/>
        </w:rPr>
        <w:t xml:space="preserve"> ODA ships </w:t>
      </w:r>
      <w:r>
        <w:rPr>
          <w:i/>
          <w:iCs/>
          <w:sz w:val="19"/>
          <w:szCs w:val="19"/>
        </w:rPr>
        <w:t xml:space="preserve">components</w:t>
      </w:r>
      <w:r>
        <w:rPr>
          <w:sz w:val="19"/>
          <w:szCs w:val="19"/>
        </w:rPr>
        <w:t xml:space="preserve">. The member does their own integration, and ODA's cost to serve each member is near zero. </w:t>
      </w:r>
      <w:r>
        <w:rPr>
          <w:b/>
          <w:bCs/>
          <w:color w:val="1E3A5C"/>
          <w:sz w:val="19"/>
          <w:szCs w:val="19"/>
        </w:rPr>
        <w:t xml:space="preserve">We ship a turnkey white-labeled product with migration support</w:t>
      </w:r>
      <w:r>
        <w:rPr>
          <w:sz w:val="19"/>
          <w:szCs w:val="19"/>
        </w:rPr>
        <w:t xml:space="preserve"> — our cost to serve is real (~$70K/member). Price below that and every member loses us money.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So we copy ODA's structure, not their number:</w:t>
      </w:r>
      <w:r>
        <w:rPr>
          <w:sz w:val="19"/>
          <w:szCs w:val="19"/>
        </w:rPr>
        <w:t xml:space="preserve"> a genuinely cheap, genuinely self-serve bottom rung that costs us almost nothing to support — and paid rungs above it where we do real work. That is the next slide.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24 (appendix) — </w:t>
      </w:r>
      <w:r>
        <w:rPr>
          <w:b/>
          <w:bCs/>
          <w:color w:val="1E3A5C"/>
          <w:sz w:val="26"/>
          <w:szCs w:val="26"/>
        </w:rPr>
        <w:t xml:space="preserve">Two speeds — a wide funnel and a paid core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Developer tier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i/>
                <w:iCs/>
                <w:color w:val="FFFFFF"/>
                <w:sz w:val="17"/>
                <w:szCs w:val="17"/>
              </w:rPr>
              <w:t xml:space="preserve">(the ODA lesson)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Commercial tiers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r>
              <w:rPr>
                <w:b/>
                <w:bCs/>
                <w:i/>
                <w:iCs/>
                <w:color w:val="FFFFFF"/>
                <w:sz w:val="17"/>
                <w:szCs w:val="17"/>
              </w:rPr>
              <w:t xml:space="preserve">(where the revenue is)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Price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$6K first yr / $4K renewal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 – $450K / yr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Who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Vertical ISVs, BIM-lite startups, individual devs, evaluators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Regional CAD vendors, funded ISVs shipping at scale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What they get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+ SDK + build pipeline, docs, community support, marketplace publishing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Full white-label, migration engineering, dedicated support, verticals, AI, multiplatform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Support model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Self-serve. Near-zero cost to serve.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Hands-on. ~$70K/member/yr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Seat cap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Capped (e.g. 500 seats) — outgrow it, move up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Uncapped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Why we do it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Funnel + ecosystem + marketplace supply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Pays for the platform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developer tier is not a revenue line — it is the growth engine.</w:t>
      </w:r>
      <w:r>
        <w:rPr>
          <w:sz w:val="19"/>
          <w:szCs w:val="19"/>
        </w:rPr>
        <w:t xml:space="preserve"> Sixty developer members at $4K is $240K, which is rounding error. What it actually buys: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Reach into the ~200 vertical ISVs and ~40 BIM-lite startups</w:t>
      </w:r>
      <w:r>
        <w:rPr>
          <w:sz w:val="19"/>
          <w:szCs w:val="19"/>
        </w:rPr>
        <w:t xml:space="preserve"> who would never write a $90K cheque but might write a $6K one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pipeline that graduates upward</w:t>
      </w:r>
      <w:r>
        <w:rPr>
          <w:sz w:val="19"/>
          <w:szCs w:val="19"/>
        </w:rPr>
        <w:t xml:space="preserve"> — today's $6K ISV shipping 300 seats is tomorrow's $180K Growth-tier member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Marketplace supply</w:t>
      </w:r>
      <w:r>
        <w:rPr>
          <w:sz w:val="19"/>
          <w:szCs w:val="19"/>
        </w:rPr>
        <w:t xml:space="preserve"> — plugins need developers, and developers need cheap access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path past ~20 members.</w:t>
      </w:r>
      <w:r>
        <w:rPr>
          <w:sz w:val="19"/>
          <w:szCs w:val="19"/>
        </w:rPr>
        <w:t xml:space="preserve"> Twenty commercial members is the realistic Y7 ceiling, and that caps the business near $50M. </w:t>
      </w:r>
      <w:r>
        <w:rPr>
          <w:b/>
          <w:bCs/>
          <w:color w:val="1E3A5C"/>
          <w:sz w:val="19"/>
          <w:szCs w:val="19"/>
        </w:rPr>
        <w:t xml:space="preserve">A cheap bottom rung is how you get to 60–100.</w:t>
      </w:r>
      <w:r>
        <w:rPr>
          <w:sz w:val="19"/>
          <w:szCs w:val="19"/>
        </w:rPr>
        <w:t xml:space="preserve"> ODA proved that in this exact market.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This is the one argument that the ceiling is higher than the base case suggests.</w:t>
      </w:r>
      <w:r>
        <w:rPr>
          <w:sz w:val="19"/>
          <w:szCs w:val="19"/>
        </w:rPr>
        <w:t xml:space="preserve"> Twenty commercial members caps out around $50M — but an ODA-shaped funnel feeding those twenty, and graduating members into them over a decade, is a materially bigger business. It is a </w:t>
      </w:r>
      <w:r>
        <w:rPr>
          <w:b/>
          <w:bCs/>
          <w:color w:val="1E3A5C"/>
          <w:sz w:val="19"/>
          <w:szCs w:val="19"/>
        </w:rPr>
        <w:t xml:space="preserve">Year 8–12 story, not a Year 7 one</w:t>
      </w:r>
      <w:r>
        <w:rPr>
          <w:sz w:val="19"/>
          <w:szCs w:val="19"/>
        </w:rPr>
        <w:t xml:space="preserve">, and it should not change today's decision.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25 (appendix) — </w:t>
      </w:r>
      <w:r>
        <w:rPr>
          <w:b/>
          <w:bCs/>
          <w:color w:val="1E3A5C"/>
          <w:sz w:val="26"/>
          <w:szCs w:val="26"/>
        </w:rPr>
        <w:t xml:space="preserve">AI: bundle the capability, meter the consumption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AI carries an ongoing marginal cost, and that has to be capped.</w:t>
      </w:r>
      <w:r>
        <w:rPr>
          <w:sz w:val="19"/>
          <w:szCs w:val="19"/>
        </w:rPr>
        <w:t xml:space="preserve"> Bundling inference unmetered would put an </w:t>
      </w:r>
      <w:r>
        <w:rPr>
          <w:b/>
          <w:bCs/>
          <w:color w:val="1E3A5C"/>
          <w:sz w:val="19"/>
          <w:szCs w:val="19"/>
        </w:rPr>
        <w:t xml:space="preserve">unbounded liability against a fixed fee</w:t>
      </w:r>
      <w:r>
        <w:rPr>
          <w:sz w:val="19"/>
          <w:szCs w:val="19"/>
        </w:rPr>
        <w:t xml:space="preserve"> — a 10,000-seat member with 20% active AI use could plausibly burn more in inference than their entire platform fee. That single mistake would take the ~70% margin to nothing.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So we treat AI inference exactly as we treat ACIS royalties: a pass-through cost, never a margin line.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Mechanism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it works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Per-seat allowance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Each tier includes a modest monthly allowance — enough for normal drafting use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Metered above it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Beyond the allowance, billed at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cost plus a small ops margin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. Never subsidised.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Bring your own key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supplies their own model API key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unlimited use, and it costs us nothing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They resell it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price AI to their end customers however they like.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It becomes their revenue line, not our cost centre.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And most calls should never hit a frontier model.</w:t>
      </w:r>
      <w:r>
        <w:rPr>
          <w:sz w:val="19"/>
          <w:szCs w:val="19"/>
        </w:rPr>
        <w:t xml:space="preserve"> Routine work — command suggestion, drawing health, block detection — runs on </w:t>
      </w:r>
      <w:r>
        <w:rPr>
          <w:b/>
          <w:bCs/>
          <w:color w:val="1E3A5C"/>
          <w:sz w:val="19"/>
          <w:szCs w:val="19"/>
        </w:rPr>
        <w:t xml:space="preserve">small or on-device models</w:t>
      </w:r>
      <w:r>
        <w:rPr>
          <w:sz w:val="19"/>
          <w:szCs w:val="19"/>
        </w:rPr>
        <w:t xml:space="preserve">. Frontier models are reserved for genuine agent tasks. That is the difference between a cost that scales with usage and one that doesn't.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sz w:val="19"/>
          <w:szCs w:val="19"/>
        </w:rPr>
        <w:t xml:space="preserve">⚠️ </w:t>
      </w:r>
      <w:r>
        <w:rPr>
          <w:b/>
          <w:bCs/>
          <w:color w:val="1E3A5C"/>
          <w:sz w:val="19"/>
          <w:szCs w:val="19"/>
        </w:rPr>
        <w:t xml:space="preserve">Open item, stated honestly: we do not yet know our real inference cost per active user.</w:t>
      </w:r>
      <w:r>
        <w:rPr>
          <w:sz w:val="19"/>
          <w:szCs w:val="19"/>
        </w:rPr>
        <w:t xml:space="preserve"> Sizing the allowance requires measuring it. </w:t>
      </w:r>
      <w:r>
        <w:rPr>
          <w:b/>
          <w:bCs/>
          <w:color w:val="1E3A5C"/>
          <w:sz w:val="19"/>
          <w:szCs w:val="19"/>
        </w:rPr>
        <w:t xml:space="preserve">That is a Phase 1 task</w:t>
      </w:r>
      <w:r>
        <w:rPr>
          <w:sz w:val="19"/>
          <w:szCs w:val="19"/>
        </w:rPr>
        <w:t xml:space="preserve">, alongside the customer-hardware performance baseline — and until it is measured, the AI allowance numbers stay deliberately unset.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26 (appendix) — </w:t>
      </w:r>
      <w:r>
        <w:rPr>
          <w:b/>
          <w:bCs/>
          <w:color w:val="1E3A5C"/>
          <w:sz w:val="26"/>
          <w:szCs w:val="26"/>
        </w:rPr>
        <w:t xml:space="preserve">Membership + royalty, or membership only?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Recommendation: no per-seat royalty to us. Tier by scale instead.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+ per-sale royalty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Tier by seat band (recommended)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 scales with member success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Yes — same economics, via the band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How it reads to an ITC member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downgrade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ITC is royalty-free at the ITC level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Familiar; like any subscription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Reporting burden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Per-sale reporting, audits, friction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One annual seat attestation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Trust posture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 audit them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They self-attest; we verify the signature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Marketing line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"No per-seat royalty to the platform."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Clean and quotable.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elegant part: our licensing architecture already produces exactly the number we need.</w:t>
      </w:r>
      <w:r>
        <w:rPr>
          <w:sz w:val="19"/>
          <w:szCs w:val="19"/>
        </w:rPr>
        <w:t xml:space="preserve"> The quarterly aggregate attestation — a signed count of active deployments, with no customer identities in it — is already in the design for ACIS royalty reporting. </w:t>
      </w:r>
      <w:r>
        <w:rPr>
          <w:b/>
          <w:bCs/>
          <w:color w:val="1E3A5C"/>
          <w:sz w:val="19"/>
          <w:szCs w:val="19"/>
        </w:rPr>
        <w:t xml:space="preserve">The tier true-up rides on infrastructure we're building anyway, and it works without us ever seeing who their customers are.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Component royalties (ACIS etc.) still pass through at cost</w:t>
      </w:r>
      <w:r>
        <w:rPr>
          <w:sz w:val="19"/>
          <w:szCs w:val="19"/>
        </w:rPr>
        <w:t xml:space="preserve"> — the same $15–20/sale they already pay. No markup. That's the one number they can compare directly, so it stays scrupulously clean.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27 (appendix) — </w:t>
      </w:r>
      <w:r>
        <w:rPr>
          <w:b/>
          <w:bCs/>
          <w:color w:val="1E3A5C"/>
          <w:sz w:val="26"/>
          <w:szCs w:val="26"/>
        </w:rPr>
        <w:t xml:space="preserve">Founding status — earned by tier, not by showing up early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Founding benefits cost us real money. They go to members who bring real reference value and take real risk — not to everyone who signs first.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805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Founding Partner</w:t>
            </w:r>
          </w:p>
        </w:tc>
        <w:tc>
          <w:tcPr>
            <w:tcW w:type="dxa" w:w="1805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Founding Member</w:t>
            </w:r>
          </w:p>
        </w:tc>
        <w:tc>
          <w:tcPr>
            <w:tcW w:type="dxa" w:w="1805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Early adopter</w:t>
            </w:r>
          </w:p>
        </w:tc>
        <w:tc>
          <w:tcPr>
            <w:tcW w:type="dxa" w:w="1805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Developer tier</w:t>
            </w:r>
          </w:p>
        </w:tc>
      </w:tr>
      <w:tr>
        <w:trPr>
          <w:tblHeader w:val="false"/>
        </w:trPr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Who qualifies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Scale / Enterprise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(20K+ seats, $300K+)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Growth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(5–20K seats, $180K)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Launch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($90K)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$6K self-serve</w:t>
            </w:r>
          </w:p>
        </w:tc>
      </w:tr>
      <w:tr>
        <w:trPr>
          <w:tblHeader w:val="false"/>
        </w:trPr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Slots available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Max 3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Max 5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uncapped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uncapped</w:t>
            </w:r>
          </w:p>
        </w:tc>
      </w:tr>
      <w:tr>
        <w:trPr>
          <w:tblHeader w:val="false"/>
        </w:trPr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Fee discount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30%, locked 5 yrs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20%, locked 3 yrs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15%, 2 yrs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(already the cheap rung)</w:t>
            </w:r>
          </w:p>
        </w:tc>
      </w:tr>
      <w:tr>
        <w:trPr>
          <w:tblHeader w:val="false"/>
        </w:trPr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Warrants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Yes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small equity stake, vests 3–4 yrs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Governance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Technical advisory board seat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Roadmap input, no seat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Vertical co-dev split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50 / 30 / 20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45 / 35 / 20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standard 40 / 40 / 20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n/a</w:t>
            </w:r>
          </w:p>
        </w:tc>
      </w:tr>
      <w:tr>
        <w:trPr>
          <w:tblHeader w:val="false"/>
        </w:trPr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Marketplace fee holiday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24 months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 months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8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Public designation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"Founding Partner"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"Founding Member"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805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Two conditions on all of it: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1.  </w:t>
      </w:r>
      <w:r>
        <w:rPr>
          <w:b/>
          <w:bCs/>
          <w:color w:val="1E3A5C"/>
          <w:sz w:val="19"/>
          <w:szCs w:val="19"/>
        </w:rPr>
        <w:t xml:space="preserve">A deadline</w:t>
      </w:r>
      <w:r>
        <w:rPr>
          <w:sz w:val="19"/>
          <w:szCs w:val="19"/>
        </w:rPr>
        <w:t xml:space="preserve"> — founding agreements must be signed </w:t>
      </w:r>
      <w:r>
        <w:rPr>
          <w:b/>
          <w:bCs/>
          <w:color w:val="1E3A5C"/>
          <w:sz w:val="19"/>
          <w:szCs w:val="19"/>
        </w:rPr>
        <w:t xml:space="preserve">before platform GA</w:t>
      </w:r>
      <w:r>
        <w:rPr>
          <w:sz w:val="19"/>
          <w:szCs w:val="19"/>
        </w:rPr>
        <w:t xml:space="preserve">. After that the designation closes permanently, or it stops meaning anything.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2.  </w:t>
      </w:r>
      <w:r>
        <w:rPr>
          <w:b/>
          <w:bCs/>
          <w:color w:val="1E3A5C"/>
          <w:sz w:val="19"/>
          <w:szCs w:val="19"/>
        </w:rPr>
        <w:t xml:space="preserve">ActCAD does not take a founding slot.</w:t>
      </w:r>
      <w:r>
        <w:rPr>
          <w:sz w:val="19"/>
          <w:szCs w:val="19"/>
        </w:rPr>
        <w:t xml:space="preserve"> It pays standard Scale-tier rates as the anchor tenant. </w:t>
      </w:r>
      <w:r>
        <w:rPr>
          <w:b/>
          <w:bCs/>
          <w:color w:val="1E3A5C"/>
          <w:sz w:val="19"/>
          <w:szCs w:val="19"/>
        </w:rPr>
        <w:t xml:space="preserve">The arm's-length discipline matters more than the discount</w:t>
      </w:r>
      <w:r>
        <w:rPr>
          <w:sz w:val="19"/>
          <w:szCs w:val="19"/>
        </w:rPr>
        <w:t xml:space="preserve">, and it keeps all three Partner slots available for genuine external reference customers.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warrants are the piece worth arguing about.</w:t>
      </w:r>
      <w:r>
        <w:rPr>
          <w:sz w:val="19"/>
          <w:szCs w:val="19"/>
        </w:rPr>
        <w:t xml:space="preserve"> Giving equity to a customer is unusual — but a Founding Partner holding warrants stops being a licensee and becomes an ally who wants the platform </w:t>
      </w:r>
      <w:r>
        <w:rPr>
          <w:b/>
          <w:bCs/>
          <w:color w:val="1E3A5C"/>
          <w:sz w:val="19"/>
          <w:szCs w:val="19"/>
        </w:rPr>
        <w:t xml:space="preserve">acquired well</w:t>
      </w:r>
      <w:r>
        <w:rPr>
          <w:sz w:val="19"/>
          <w:szCs w:val="19"/>
        </w:rPr>
        <w:t xml:space="preserve">. At three slots the dilution is negligible, and it is the strongest retention tool we have against a member drifting back to ITC or building their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28 (appendix) — </w:t>
      </w:r>
      <w:r>
        <w:rPr>
          <w:b/>
          <w:bCs/>
          <w:color w:val="1E3A5C"/>
          <w:sz w:val="26"/>
          <w:szCs w:val="26"/>
        </w:rPr>
        <w:t xml:space="preserve">The passive-revenue picture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blended fee depends entirely on who actually signs, so here is the assumed mix — not a number pulled from the air.</w:t>
      </w:r>
      <w:r>
        <w:rPr>
          <w:sz w:val="19"/>
          <w:szCs w:val="19"/>
        </w:rPr>
        <w:t xml:space="preserve"> A realistic 12-member book at Year 7: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Tier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Fee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Launch / Core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Launch / Plus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Growth / Plus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$230K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Growth / Complete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Scale / Plus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(ActCAD)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$360K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$2.17M → ~$181K blended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Per-member economics on that mix: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 member /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fee (blended, per above)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~$181K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etc.)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$0 to us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passed through at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Marketplace share (15% of ~$230K GMV, once mature)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~$35K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Vertical co-development royalty (variable)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~$15K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 per member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~$230K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cost to serve one additional member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Gross margin per additional member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~70%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i/>
          <w:iCs/>
          <w:sz w:val="19"/>
          <w:szCs w:val="19"/>
        </w:rPr>
        <w:t xml:space="preserve">Cost to serve excludes AI inference, which is metered and passed through — see the AI slide. That is what keeps this margin real rather than notional.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that compounds 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 (incl. ActCAD)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Recurring platform revenue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Contribution at ~70% margin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~$550K/yr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~$385K/yr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~$1.2M/yr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~$840K/yr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~$2.8M/yr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~$2.0M/yr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~$4.6M/yr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~$3.2M/yr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i/>
          <w:iCs/>
          <w:sz w:val="19"/>
          <w:szCs w:val="19"/>
        </w:rPr>
        <w:t xml:space="preserve">Early members sit below the mature figure — the ramp means a year-1 member pays half. The 3- and 6-member rows reflect that.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This is on top of ActCAD's own revenue</w:t>
      </w:r>
      <w:r>
        <w:rPr>
          <w:sz w:val="19"/>
          <w:szCs w:val="19"/>
        </w:rPr>
        <w:t xml:space="preserve"> — which we keep, in full, inside Jytra. And it comes from engineering we are funding anyway.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29 (appendix) — </w:t>
      </w:r>
      <w:r>
        <w:rPr>
          <w:b/>
          <w:bCs/>
          <w:color w:val="1E3A5C"/>
          <w:sz w:val="26"/>
          <w:szCs w:val="26"/>
        </w:rPr>
        <w:t xml:space="preserve">Trust wedge — what we tell members that no one else can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"Ship your licensing through our infrastructure. We architecturally cannot see your customer list, your seat counts, your prices, or your license contents. Not by policy — by cryptography. Third-party audited annually."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Member holds their own License Authority key.</w:t>
      </w:r>
      <w:r>
        <w:rPr>
          <w:sz w:val="19"/>
          <w:szCs w:val="19"/>
        </w:rPr>
        <w:t xml:space="preserve"> We generate it and destroy our copy at onboarding.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License payloads are encrypted with keys we don't have.</w:t>
      </w:r>
      <w:r>
        <w:rPr>
          <w:sz w:val="19"/>
          <w:szCs w:val="19"/>
        </w:rPr>
        <w:t xml:space="preserve"> Even if we're breached, attackers get ciphertext + aggregate counters.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Subpoena-resistant by design.</w:t>
      </w:r>
      <w:r>
        <w:rPr>
          <w:sz w:val="19"/>
          <w:szCs w:val="19"/>
        </w:rPr>
        <w:t xml:space="preserve"> We cannot break the crypto for a government any more than for an attacker.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Survives us.</w:t>
      </w:r>
      <w:r>
        <w:rPr>
          <w:sz w:val="19"/>
          <w:szCs w:val="19"/>
        </w:rPr>
        <w:t xml:space="preserve"> If TejasCAD ever goes away, the member's licensing keeps working. Playbook shipped with the SDK.</w:t>
      </w:r>
    </w:p>
    <w:p>
      <w:pPr>
        <w:spacing w:after="100" w:before="60"/>
      </w:pPr>
      <w:r>
        <w:rPr>
          <w:sz w:val="19"/>
          <w:szCs w:val="19"/>
        </w:rPr>
        <w:t xml:space="preserve">Full technical spec: </w:t>
      </w:r>
      <w:r>
        <w:rPr>
          <w:rFonts w:ascii="Consolas" w:cs="Consolas" w:eastAsia="Consolas" w:hAnsi="Consolas"/>
          <w:sz w:val="18"/>
          <w:szCs w:val="18"/>
        </w:rPr>
        <w:t xml:space="preserve">docs/tejascad-licensing-architecture.md</w:t>
      </w:r>
      <w:r>
        <w:rPr>
          <w:sz w:val="19"/>
          <w:szCs w:val="19"/>
        </w:rPr>
        <w:t xml:space="preserve"> (25 pages, external cryptographic audit planned before v1).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sz w:val="19"/>
          <w:szCs w:val="19"/>
        </w:rPr>
        <w:t xml:space="preserve">This one property alone is worth a member conversation for every regulated-sector customer they're trying to close. </w:t>
      </w:r>
      <w:r>
        <w:rPr>
          <w:b/>
          <w:bCs/>
          <w:color w:val="1E3A5C"/>
          <w:sz w:val="19"/>
          <w:szCs w:val="19"/>
        </w:rPr>
        <w:t xml:space="preserve">No competitor offers it. IntelliCAD structurally cannot.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2026-08-21T12:22:23.210Z</dcterms:created>
  <dcterms:modified xsi:type="dcterms:W3CDTF">2026-08-21T12:22:23.210Z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