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</w:pPr>
      <w:r>
        <w:rPr>
          <w:b/>
          <w:bCs/>
          <w:color w:val="1E3A5C"/>
          <w:sz w:val="48"/>
          <w:szCs w:val="48"/>
        </w:rPr>
        <w:t xml:space="preserve">TejasCAD — Directors Briefing</w:t>
      </w:r>
    </w:p>
    <w:p>
      <w:pPr>
        <w:spacing w:after="500"/>
      </w:pPr>
      <w:r>
        <w:rPr>
          <w:color w:val="9A6B2F"/>
          <w:sz w:val="26"/>
          <w:szCs w:val="26"/>
        </w:rPr>
        <w:t xml:space="preserve">Review copy for comment</w:t>
      </w:r>
    </w:p>
    <w:p>
      <w:pPr>
        <w:pBdr>
          <w:top w:val="single" w:color="D8D0C4" w:sz="8" w:space="12"/>
        </w:pBdr>
        <w:spacing w:after="160"/>
      </w:pPr>
    </w:p>
    <w:p>
      <w:pPr>
        <w:spacing w:after="120"/>
      </w:pPr>
      <w:r>
        <w:rPr>
          <w:color w:val="5A5A5A"/>
          <w:sz w:val="20"/>
          <w:szCs w:val="20"/>
        </w:rPr>
        <w:t xml:space="preserve">This is the slide deck in document form so it can be marked up. Each slide is a numbered heading — the numbers match the presentation deck and the printed handout exactly, so a comment on "Slide 12" is unambiguous across all three.</w:t>
      </w:r>
    </w:p>
    <w:p>
      <w:pPr>
        <w:spacing w:after="120"/>
      </w:pPr>
      <w:r>
        <w:rPr>
          <w:b/>
          <w:bCs/>
          <w:color w:val="1E3A5C"/>
          <w:sz w:val="20"/>
          <w:szCs w:val="20"/>
        </w:rPr>
        <w:t xml:space="preserve">To comment: </w:t>
      </w:r>
      <w:r>
        <w:rPr>
          <w:color w:val="5A5A5A"/>
          <w:sz w:val="20"/>
          <w:szCs w:val="20"/>
        </w:rPr>
        <w:t xml:space="preserve">select the text, then Review → New Comment (Ctrl+Alt+M). Turn on Track Changes if you want to edit wording directly.</w:t>
      </w:r>
    </w:p>
    <w:p>
      <w:pPr>
        <w:spacing w:after="120"/>
      </w:pPr>
      <w:r>
        <w:rPr>
          <w:b/>
          <w:bCs/>
          <w:color w:val="1E3A5C"/>
          <w:sz w:val="20"/>
          <w:szCs w:val="20"/>
        </w:rPr>
        <w:t xml:space="preserve">Please look hardest at: </w:t>
      </w:r>
      <w:r>
        <w:rPr>
          <w:color w:val="5A5A5A"/>
          <w:sz w:val="20"/>
          <w:szCs w:val="20"/>
        </w:rPr>
        <w:t xml:space="preserve">the commitments made on the operator and division-of-labour slides (roadmap authority, separate support headcount, the competitive veto, founder-level equity), and every figure in the pricing and scenario tables. Competitor pricing is actual; our own projections are illustrative and should be challenged.</w:t>
      </w:r>
    </w:p>
    <w:p>
      <w:r>
        <w:br w:type="page"/>
      </w:r>
    </w:p>
    <w:p>
      <w:pPr>
        <w:pStyle w:val="Heading1"/>
        <w:pBdr>
          <w:bottom w:val="single" w:color="1E3A5C" w:sz="10" w:space="6"/>
        </w:pBdr>
        <w:spacing w:after="40" w:before="0"/>
      </w:pPr>
      <w:r>
        <w:rPr>
          <w:b/>
          <w:bCs/>
          <w:color w:val="9A6B2F"/>
          <w:sz w:val="24"/>
          <w:szCs w:val="24"/>
        </w:rPr>
        <w:t xml:space="preserve">Slide 1 — </w:t>
      </w:r>
      <w:r>
        <w:rPr>
          <w:b/>
          <w:bCs/>
          <w:color w:val="1E3A5C"/>
          <w:sz w:val="26"/>
          <w:szCs w:val="26"/>
        </w:rPr>
        <w:t xml:space="preserve">Building for ActCAD, or building for the world?</w:t>
      </w:r>
    </w:p>
    <w:p>
      <w:pPr>
        <w:spacing w:after="80" w:before="200"/>
      </w:pPr>
      <w:r>
        <w:rPr>
          <w:b/>
          <w:bCs/>
          <w:color w:val="102542"/>
          <w:sz w:val="22"/>
          <w:szCs w:val="22"/>
        </w:rPr>
        <w:t xml:space="preserve">A directors briefing — for discussion</w:t>
      </w:r>
    </w:p>
    <w:p>
      <w:pPr>
        <w:spacing w:after="100" w:before="60"/>
      </w:pPr>
      <w:r>
        <w:rPr>
          <w:b/>
          <w:bCs/>
          <w:color w:val="1E3A5C"/>
          <w:sz w:val="19"/>
          <w:szCs w:val="19"/>
        </w:rPr>
        <w:t xml:space="preserve">Working brand TejasCAD</w:t>
      </w:r>
      <w:r>
        <w:rPr>
          <w:sz w:val="19"/>
          <w:szCs w:val="19"/>
        </w:rPr>
        <w:t xml:space="preserve"> · pending TM clearance</w:t>
      </w:r>
    </w:p>
    <w:p>
      <w:pPr>
        <w:spacing w:after="100" w:before="60"/>
      </w:pPr>
      <w:r>
        <w:rPr>
          <w:i/>
          <w:iCs/>
          <w:sz w:val="19"/>
          <w:szCs w:val="19"/>
        </w:rPr>
        <w:t xml:space="preserve">ITC pricing is what we actually pay. Our own projections are illustrative.</w:t>
      </w:r>
    </w:p>
    <w:p>
      <w:pPr>
        <w:pStyle w:val="Heading1"/>
        <w:pBdr>
          <w:bottom w:val="single" w:color="1E3A5C" w:sz="10" w:space="6"/>
        </w:pBdr>
        <w:spacing w:after="40" w:before="320"/>
      </w:pPr>
      <w:r>
        <w:rPr>
          <w:b/>
          <w:bCs/>
          <w:color w:val="9A6B2F"/>
          <w:sz w:val="24"/>
          <w:szCs w:val="24"/>
        </w:rPr>
        <w:t xml:space="preserve">Slide 2 — </w:t>
      </w:r>
      <w:r>
        <w:rPr>
          <w:b/>
          <w:bCs/>
          <w:color w:val="1E3A5C"/>
          <w:sz w:val="26"/>
          <w:szCs w:val="26"/>
        </w:rPr>
        <w:t xml:space="preserve">The decision on the table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sz w:val="19"/>
          <w:szCs w:val="19"/>
        </w:rPr>
        <w:t xml:space="preserve">We are </w:t>
      </w:r>
      <w:r>
        <w:rPr>
          <w:b/>
          <w:bCs/>
          <w:color w:val="1E3A5C"/>
          <w:sz w:val="19"/>
          <w:szCs w:val="19"/>
        </w:rPr>
        <w:t xml:space="preserve">already</w:t>
      </w:r>
      <w:r>
        <w:rPr>
          <w:sz w:val="19"/>
          <w:szCs w:val="19"/>
        </w:rPr>
        <w:t xml:space="preserve"> moving ActCAD off IntelliCAD — </w:t>
      </w:r>
      <w:r>
        <w:rPr>
          <w:b/>
          <w:bCs/>
          <w:color w:val="1E3A5C"/>
          <w:sz w:val="19"/>
          <w:szCs w:val="19"/>
        </w:rPr>
        <w:t xml:space="preserve">that continues either way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sz w:val="19"/>
          <w:szCs w:val="19"/>
        </w:rPr>
        <w:t xml:space="preserve">The question is one level up:</w:t>
      </w:r>
    </w:p>
    <w:p>
      <w:pPr>
        <w:spacing w:after="100" w:before="60"/>
      </w:pPr>
      <w:r>
        <w:rPr>
          <w:b/>
          <w:bCs/>
          <w:color w:val="1E3A5C"/>
          <w:sz w:val="19"/>
          <w:szCs w:val="19"/>
        </w:rPr>
        <w:t xml:space="preserve">Build it only for ActCAD — or as a platform other CAD vendors license under their own brand?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sz w:val="19"/>
          <w:szCs w:val="19"/>
        </w:rPr>
        <w:t xml:space="preserve">Every seam we build for ActCAD is </w:t>
      </w:r>
      <w:r>
        <w:rPr>
          <w:b/>
          <w:bCs/>
          <w:color w:val="1E3A5C"/>
          <w:sz w:val="19"/>
          <w:szCs w:val="19"/>
        </w:rPr>
        <w:t xml:space="preserve">what a platform needs anyway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sz w:val="19"/>
          <w:szCs w:val="19"/>
        </w:rPr>
        <w:t xml:space="preserve">A specific market: </w:t>
      </w:r>
      <w:r>
        <w:rPr>
          <w:b/>
          <w:bCs/>
          <w:color w:val="1E3A5C"/>
          <w:sz w:val="19"/>
          <w:szCs w:val="19"/>
        </w:rPr>
        <w:t xml:space="preserve">~40 ITC members</w:t>
      </w:r>
      <w:r>
        <w:rPr>
          <w:sz w:val="19"/>
          <w:szCs w:val="19"/>
        </w:rPr>
        <w:t xml:space="preserve"> · </w:t>
      </w:r>
      <w:r>
        <w:rPr>
          <w:b/>
          <w:bCs/>
          <w:color w:val="1E3A5C"/>
          <w:sz w:val="19"/>
          <w:szCs w:val="19"/>
        </w:rPr>
        <w:t xml:space="preserve">~200 vertical ISVs</w:t>
      </w:r>
      <w:r>
        <w:rPr>
          <w:sz w:val="19"/>
          <w:szCs w:val="19"/>
        </w:rPr>
        <w:t xml:space="preserve"> · BIM-lite startups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"Can we build it" is settled</w:t>
      </w:r>
      <w:r>
        <w:rPr>
          <w:sz w:val="19"/>
          <w:szCs w:val="19"/>
        </w:rPr>
        <w:t xml:space="preserve"> — Phase 0 ships today</w:t>
      </w:r>
    </w:p>
    <w:p>
      <w:pPr>
        <w:pStyle w:val="Heading1"/>
        <w:pBdr>
          <w:bottom w:val="single" w:color="1E3A5C" w:sz="10" w:space="6"/>
        </w:pBdr>
        <w:spacing w:after="40" w:before="320"/>
      </w:pPr>
      <w:r>
        <w:rPr>
          <w:b/>
          <w:bCs/>
          <w:color w:val="9A6B2F"/>
          <w:sz w:val="24"/>
          <w:szCs w:val="24"/>
        </w:rPr>
        <w:t xml:space="preserve">Slide 3 — </w:t>
      </w:r>
      <w:r>
        <w:rPr>
          <w:b/>
          <w:bCs/>
          <w:color w:val="1E3A5C"/>
          <w:sz w:val="26"/>
          <w:szCs w:val="26"/>
        </w:rPr>
        <w:t xml:space="preserve">Phase 0 — what already ships</w:t>
      </w:r>
    </w:p>
    <w:p>
      <w:pPr>
        <w:spacing w:after="100" w:before="60"/>
      </w:pPr>
      <w:r>
        <w:rPr>
          <w:b/>
          <w:bCs/>
          <w:color w:val="1E3A5C"/>
          <w:sz w:val="19"/>
          <w:szCs w:val="19"/>
        </w:rPr>
        <w:t xml:space="preserve">Six weeks · ~207 commits · 13+ drops to the ActCAD team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Real customer DWGs open in the browser</w:t>
      </w:r>
      <w:r>
        <w:rPr>
          <w:sz w:val="19"/>
          <w:szCs w:val="19"/>
        </w:rPr>
        <w:t xml:space="preserve"> — WASM and ODA inWEB, both live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Full 14-mode osnap suite</w:t>
      </w:r>
      <w:r>
        <w:rPr>
          <w:sz w:val="19"/>
          <w:szCs w:val="19"/>
        </w:rPr>
        <w:t xml:space="preserve">, measure, count, CSV + Excel export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250K entities at 61 fps</w:t>
      </w:r>
      <w:r>
        <w:rPr>
          <w:sz w:val="19"/>
          <w:szCs w:val="19"/>
        </w:rPr>
        <w:t xml:space="preserve"> · regen 17× faster · instant zoom-extents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3D orbit, ViewCube, layouts, paper-space viewports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DWG↔DWG and PDF comparison</w:t>
      </w:r>
      <w:r>
        <w:rPr>
          <w:sz w:val="19"/>
          <w:szCs w:val="19"/>
        </w:rPr>
        <w:t xml:space="preserve">, colour plotting, batch print, markups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Windows MSI shipping</w:t>
      </w:r>
      <w:r>
        <w:rPr>
          <w:sz w:val="19"/>
          <w:szCs w:val="19"/>
        </w:rPr>
        <w:t xml:space="preserve"> · macOS CI green · Android prototype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594/594 tests green</w:t>
      </w:r>
      <w:r>
        <w:rPr>
          <w:sz w:val="19"/>
          <w:szCs w:val="19"/>
        </w:rPr>
        <w:t xml:space="preserve"> · read-only guarantee intact</w:t>
      </w:r>
    </w:p>
    <w:p>
      <w:pPr>
        <w:pBdr>
          <w:left w:val="single" w:color="9A6B2F" w:sz="18" w:space="10"/>
        </w:pBdr>
        <w:shd w:fill="FAF7F2" w:val="clear"/>
        <w:spacing w:after="140" w:before="100"/>
        <w:ind w:left="260"/>
      </w:pPr>
      <w:r>
        <w:rPr>
          <w:b/>
          <w:bCs/>
          <w:color w:val="1E3A5C"/>
          <w:sz w:val="19"/>
          <w:szCs w:val="19"/>
        </w:rPr>
        <w:t xml:space="preserve">Faster than ActCAD on many customer files — and well ahead of IntelliCAD's viewer and ODA's own.</w:t>
      </w:r>
    </w:p>
    <w:p>
      <w:pPr>
        <w:spacing w:after="100" w:before="60"/>
      </w:pPr>
      <w:r>
        <w:rPr>
          <w:b/>
          <w:bCs/>
          <w:color w:val="1E3A5C"/>
          <w:sz w:val="19"/>
          <w:szCs w:val="19"/>
        </w:rPr>
        <w:t xml:space="preserve">Still owed:</w:t>
      </w:r>
      <w:r>
        <w:rPr>
          <w:sz w:val="19"/>
          <w:szCs w:val="19"/>
        </w:rPr>
        <w:t xml:space="preserve"> customer-hardware perf baseline · public launch</w:t>
      </w:r>
    </w:p>
    <w:p>
      <w:pPr>
        <w:pStyle w:val="Heading1"/>
        <w:pBdr>
          <w:bottom w:val="single" w:color="1E3A5C" w:sz="10" w:space="6"/>
        </w:pBdr>
        <w:spacing w:after="40" w:before="320"/>
      </w:pPr>
      <w:r>
        <w:rPr>
          <w:b/>
          <w:bCs/>
          <w:color w:val="9A6B2F"/>
          <w:sz w:val="24"/>
          <w:szCs w:val="24"/>
        </w:rPr>
        <w:t xml:space="preserve">Slide 4 — </w:t>
      </w:r>
      <w:r>
        <w:rPr>
          <w:b/>
          <w:bCs/>
          <w:color w:val="1E3A5C"/>
          <w:sz w:val="26"/>
          <w:szCs w:val="26"/>
        </w:rPr>
        <w:t xml:space="preserve">Architecture for the editor</w:t>
      </w:r>
    </w:p>
    <w:p>
      <w:pPr>
        <w:spacing w:after="100" w:before="60"/>
      </w:pPr>
      <w:r>
        <w:rPr>
          <w:b/>
          <w:bCs/>
          <w:color w:val="1E3A5C"/>
          <w:sz w:val="19"/>
          <w:szCs w:val="19"/>
        </w:rPr>
        <w:t xml:space="preserve">Some ODA features are not exposed to the web stack.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Now → viewer launch</w:t>
      </w:r>
      <w:r>
        <w:rPr>
          <w:sz w:val="19"/>
          <w:szCs w:val="19"/>
        </w:rPr>
        <w:t xml:space="preserve"> — stay on Rust/Tauri + WASM. Ship it.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After launch</w:t>
      </w:r>
      <w:r>
        <w:rPr>
          <w:sz w:val="19"/>
          <w:szCs w:val="19"/>
        </w:rPr>
        <w:t xml:space="preserve"> — </w:t>
      </w:r>
      <w:r>
        <w:rPr>
          <w:b/>
          <w:bCs/>
          <w:color w:val="1E3A5C"/>
          <w:sz w:val="19"/>
          <w:szCs w:val="19"/>
        </w:rPr>
        <w:t xml:space="preserve">migrate the full editor to Qt + C++ native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sz w:val="19"/>
          <w:szCs w:val="19"/>
        </w:rPr>
        <w:t xml:space="preserve">where the missing ODA surface becomes available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sz w:val="19"/>
          <w:szCs w:val="19"/>
        </w:rPr>
        <w:t xml:space="preserve">where the ActCAD team wants to be long term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The web viewer</w:t>
      </w:r>
      <w:r>
        <w:rPr>
          <w:sz w:val="19"/>
          <w:szCs w:val="19"/>
        </w:rPr>
        <w:t xml:space="preserve"> — folds into the Qt stack, or stays on Rust/Tauri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decide with data during the migration</w:t>
      </w:r>
    </w:p>
    <w:p>
      <w:pPr>
        <w:pBdr>
          <w:left w:val="single" w:color="9A6B2F" w:sz="18" w:space="10"/>
        </w:pBdr>
        <w:shd w:fill="FAF7F2" w:val="clear"/>
        <w:spacing w:after="140" w:before="100"/>
        <w:ind w:left="260"/>
      </w:pPr>
      <w:r>
        <w:rPr>
          <w:b/>
          <w:bCs/>
          <w:color w:val="1E3A5C"/>
          <w:sz w:val="19"/>
          <w:szCs w:val="19"/>
        </w:rPr>
        <w:t xml:space="preserve">The platform seams live in the C++ core</w:t>
      </w:r>
      <w:r>
        <w:rPr>
          <w:sz w:val="19"/>
          <w:szCs w:val="19"/>
        </w:rPr>
        <w:t xml:space="preserve"> — whichever shell wraps them.</w:t>
      </w:r>
    </w:p>
    <w:p>
      <w:pPr>
        <w:pStyle w:val="Heading1"/>
        <w:pBdr>
          <w:bottom w:val="single" w:color="1E3A5C" w:sz="10" w:space="6"/>
        </w:pBdr>
        <w:spacing w:after="40" w:before="320"/>
      </w:pPr>
      <w:r>
        <w:rPr>
          <w:b/>
          <w:bCs/>
          <w:color w:val="9A6B2F"/>
          <w:sz w:val="24"/>
          <w:szCs w:val="24"/>
        </w:rPr>
        <w:t xml:space="preserve">Slide 5 — </w:t>
      </w:r>
      <w:r>
        <w:rPr>
          <w:b/>
          <w:bCs/>
          <w:color w:val="1E3A5C"/>
          <w:sz w:val="26"/>
          <w:szCs w:val="26"/>
        </w:rPr>
        <w:t xml:space="preserve">The case against — at full strength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We are a CAD company, not a platform company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It distracts from what matters</w:t>
      </w:r>
      <w:r>
        <w:rPr>
          <w:sz w:val="19"/>
          <w:szCs w:val="19"/>
        </w:rPr>
        <w:t xml:space="preserve"> — the real cost is management attention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The money is not transformational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We would be arming competitors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Members will constrain our roadmap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Nobody has asked for this</w:t>
      </w:r>
      <w:r>
        <w:rPr>
          <w:sz w:val="19"/>
          <w:szCs w:val="19"/>
        </w:rPr>
        <w:t xml:space="preserve"> — zero members, zero LOIs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ITC members are sticky</w:t>
      </w:r>
      <w:r>
        <w:rPr>
          <w:sz w:val="19"/>
          <w:szCs w:val="19"/>
        </w:rPr>
        <w:t xml:space="preserve"> — twenty years in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We do not have the team</w:t>
      </w:r>
      <w:r>
        <w:rPr>
          <w:sz w:val="19"/>
          <w:szCs w:val="19"/>
        </w:rPr>
        <w:t xml:space="preserve"> — it has to be hired from scratch</w:t>
      </w:r>
    </w:p>
    <w:p>
      <w:pPr>
        <w:spacing w:after="100" w:before="60"/>
      </w:pPr>
      <w:r>
        <w:rPr>
          <w:b/>
          <w:bCs/>
          <w:color w:val="1E3A5C"/>
          <w:sz w:val="19"/>
          <w:szCs w:val="19"/>
        </w:rPr>
        <w:t xml:space="preserve">Five of those eight are substantially correct.</w:t>
      </w:r>
    </w:p>
    <w:p>
      <w:pPr>
        <w:pStyle w:val="Heading1"/>
        <w:pBdr>
          <w:bottom w:val="single" w:color="1E3A5C" w:sz="10" w:space="6"/>
        </w:pBdr>
        <w:spacing w:after="40" w:before="320"/>
      </w:pPr>
      <w:r>
        <w:rPr>
          <w:b/>
          <w:bCs/>
          <w:color w:val="9A6B2F"/>
          <w:sz w:val="24"/>
          <w:szCs w:val="24"/>
        </w:rPr>
        <w:t xml:space="preserve">Slide 6 — </w:t>
      </w:r>
      <w:r>
        <w:rPr>
          <w:b/>
          <w:bCs/>
          <w:color w:val="1E3A5C"/>
          <w:sz w:val="26"/>
          <w:szCs w:val="26"/>
        </w:rPr>
        <w:t xml:space="preserve">Why we still think yes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Not a platform company</w:t>
      </w:r>
      <w:r>
        <w:rPr>
          <w:sz w:val="19"/>
          <w:szCs w:val="19"/>
        </w:rPr>
        <w:t xml:space="preserve"> — nothing before month 24 requires becoming one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Distracts from ActCAD</w:t>
      </w:r>
      <w:r>
        <w:rPr>
          <w:sz w:val="19"/>
          <w:szCs w:val="19"/>
        </w:rPr>
        <w:t xml:space="preserve"> — </w:t>
      </w:r>
      <w:r>
        <w:rPr>
          <w:i/>
          <w:iCs/>
          <w:sz w:val="19"/>
          <w:szCs w:val="19"/>
        </w:rPr>
        <w:t xml:space="preserve">partly conceded</w:t>
      </w:r>
      <w:r>
        <w:rPr>
          <w:sz w:val="19"/>
          <w:szCs w:val="19"/>
        </w:rPr>
        <w:t xml:space="preserve">, attention is the real cost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Money is modest</w:t>
      </w:r>
      <w:r>
        <w:rPr>
          <w:sz w:val="19"/>
          <w:szCs w:val="19"/>
        </w:rPr>
        <w:t xml:space="preserve"> — </w:t>
      </w:r>
      <w:r>
        <w:rPr>
          <w:i/>
          <w:iCs/>
          <w:sz w:val="19"/>
          <w:szCs w:val="19"/>
        </w:rPr>
        <w:t xml:space="preserve">conceded</w:t>
      </w:r>
      <w:r>
        <w:rPr>
          <w:sz w:val="19"/>
          <w:szCs w:val="19"/>
        </w:rPr>
        <w:t xml:space="preserve">, not a reason on its own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Arming competitors</w:t>
      </w:r>
      <w:r>
        <w:rPr>
          <w:sz w:val="19"/>
          <w:szCs w:val="19"/>
        </w:rPr>
        <w:t xml:space="preserve"> — gated, </w:t>
      </w:r>
      <w:r>
        <w:rPr>
          <w:b/>
          <w:bCs/>
          <w:color w:val="1E3A5C"/>
          <w:sz w:val="19"/>
          <w:szCs w:val="19"/>
        </w:rPr>
        <w:t xml:space="preserve">or we simply don't sell that tier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Roadmap constraint</w:t>
      </w:r>
      <w:r>
        <w:rPr>
          <w:sz w:val="19"/>
          <w:szCs w:val="19"/>
        </w:rPr>
        <w:t xml:space="preserve"> — </w:t>
      </w:r>
      <w:r>
        <w:rPr>
          <w:i/>
          <w:iCs/>
          <w:sz w:val="19"/>
          <w:szCs w:val="19"/>
        </w:rPr>
        <w:t xml:space="preserve">conceded</w:t>
      </w:r>
      <w:r>
        <w:rPr>
          <w:sz w:val="19"/>
          <w:szCs w:val="19"/>
        </w:rPr>
        <w:t xml:space="preserve">, </w:t>
      </w:r>
      <w:r>
        <w:rPr>
          <w:b/>
          <w:bCs/>
          <w:color w:val="1E3A5C"/>
          <w:sz w:val="19"/>
          <w:szCs w:val="19"/>
        </w:rPr>
        <w:t xml:space="preserve">the one that worries us most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No demand proven</w:t>
      </w:r>
      <w:r>
        <w:rPr>
          <w:sz w:val="19"/>
          <w:szCs w:val="19"/>
        </w:rPr>
        <w:t xml:space="preserve"> — </w:t>
      </w:r>
      <w:r>
        <w:rPr>
          <w:i/>
          <w:iCs/>
          <w:sz w:val="19"/>
          <w:szCs w:val="19"/>
        </w:rPr>
        <w:t xml:space="preserve">fully conceded</w:t>
      </w:r>
      <w:r>
        <w:rPr>
          <w:sz w:val="19"/>
          <w:szCs w:val="19"/>
        </w:rPr>
        <w:t xml:space="preserve">, hence the kill switch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No team</w:t>
      </w:r>
      <w:r>
        <w:rPr>
          <w:sz w:val="19"/>
          <w:szCs w:val="19"/>
        </w:rPr>
        <w:t xml:space="preserve"> — </w:t>
      </w:r>
      <w:r>
        <w:rPr>
          <w:i/>
          <w:iCs/>
          <w:sz w:val="19"/>
          <w:szCs w:val="19"/>
        </w:rPr>
        <w:t xml:space="preserve">conceded</w:t>
      </w:r>
      <w:r>
        <w:rPr>
          <w:sz w:val="19"/>
          <w:szCs w:val="19"/>
        </w:rPr>
        <w:t xml:space="preserve">, but </w:t>
      </w:r>
      <w:r>
        <w:rPr>
          <w:b/>
          <w:bCs/>
          <w:color w:val="1E3A5C"/>
          <w:sz w:val="19"/>
          <w:szCs w:val="19"/>
        </w:rPr>
        <w:t xml:space="preserve">we need that team for ActCAD anyway</w:t>
      </w:r>
    </w:p>
    <w:p>
      <w:pPr>
        <w:spacing w:after="100" w:before="60"/>
      </w:pPr>
      <w:r>
        <w:rPr>
          <w:b/>
          <w:bCs/>
          <w:color w:val="1E3A5C"/>
          <w:sz w:val="19"/>
          <w:szCs w:val="19"/>
        </w:rPr>
        <w:t xml:space="preserve">Building multi-tenant makes ActCAD better even if no member ever signs.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sz w:val="19"/>
          <w:szCs w:val="19"/>
        </w:rPr>
        <w:t xml:space="preserve">Forces a clean core, a real plugin API, configuration over hard-coding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Retrofitting later means reworking six of ten modules</w:t>
      </w:r>
    </w:p>
    <w:p>
      <w:pPr>
        <w:pStyle w:val="Heading1"/>
        <w:pBdr>
          <w:bottom w:val="single" w:color="1E3A5C" w:sz="10" w:space="6"/>
        </w:pBdr>
        <w:spacing w:after="40" w:before="320"/>
      </w:pPr>
      <w:r>
        <w:rPr>
          <w:b/>
          <w:bCs/>
          <w:color w:val="9A6B2F"/>
          <w:sz w:val="24"/>
          <w:szCs w:val="24"/>
        </w:rPr>
        <w:t xml:space="preserve">Slide 7 — </w:t>
      </w:r>
      <w:r>
        <w:rPr>
          <w:b/>
          <w:bCs/>
          <w:color w:val="1E3A5C"/>
          <w:sz w:val="26"/>
          <w:szCs w:val="26"/>
        </w:rPr>
        <w:t xml:space="preserve">Who builds it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TejasCAD hires</w:t>
      </w:r>
      <w:r>
        <w:rPr>
          <w:sz w:val="19"/>
          <w:szCs w:val="19"/>
        </w:rPr>
        <w:t xml:space="preserve"> — dev · QA · dev support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ActCAD's team does what it is best at</w:t>
      </w:r>
      <w:r>
        <w:rPr>
          <w:sz w:val="19"/>
          <w:szCs w:val="19"/>
        </w:rPr>
        <w:t xml:space="preserve"> — domain expertise, verticals, IRX, product judgement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ActCAD's sales is unchanged</w:t>
      </w:r>
      <w:r>
        <w:rPr>
          <w:sz w:val="19"/>
          <w:szCs w:val="19"/>
        </w:rPr>
        <w:t xml:space="preserve"> — same team, same customers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Members support their own customers</w:t>
      </w:r>
      <w:r>
        <w:rPr>
          <w:sz w:val="19"/>
          <w:szCs w:val="19"/>
        </w:rPr>
        <w:t xml:space="preserve"> — never us</w:t>
      </w:r>
    </w:p>
    <w:p>
      <w:pPr>
        <w:spacing w:after="100" w:before="60"/>
      </w:pPr>
      <w:r>
        <w:rPr>
          <w:b/>
          <w:bCs/>
          <w:color w:val="1E3A5C"/>
          <w:sz w:val="19"/>
          <w:szCs w:val="19"/>
        </w:rPr>
        <w:t xml:space="preserve">That team is the engine team. ActCAD-new needs those people either way.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sz w:val="19"/>
          <w:szCs w:val="19"/>
        </w:rPr>
        <w:t xml:space="preserve">The platform doesn't create the cost — </w:t>
      </w:r>
      <w:r>
        <w:rPr>
          <w:b/>
          <w:bCs/>
          <w:color w:val="1E3A5C"/>
          <w:sz w:val="19"/>
          <w:szCs w:val="19"/>
        </w:rPr>
        <w:t xml:space="preserve">it decides who employs them, and who else helps pay</w:t>
      </w:r>
    </w:p>
    <w:p>
      <w:pPr>
        <w:pStyle w:val="Heading1"/>
        <w:pBdr>
          <w:bottom w:val="single" w:color="1E3A5C" w:sz="10" w:space="6"/>
        </w:pBdr>
        <w:spacing w:after="40" w:before="320"/>
      </w:pPr>
      <w:r>
        <w:rPr>
          <w:b/>
          <w:bCs/>
          <w:color w:val="9A6B2F"/>
          <w:sz w:val="24"/>
          <w:szCs w:val="24"/>
        </w:rPr>
        <w:t xml:space="preserve">Slide 8 — </w:t>
      </w:r>
      <w:r>
        <w:rPr>
          <w:b/>
          <w:bCs/>
          <w:color w:val="1E3A5C"/>
          <w:sz w:val="26"/>
          <w:szCs w:val="26"/>
        </w:rPr>
        <w:t xml:space="preserve">The kill switch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Month 12</w:t>
      </w:r>
      <w:r>
        <w:rPr>
          <w:sz w:val="19"/>
          <w:szCs w:val="19"/>
        </w:rPr>
        <w:t xml:space="preserve"> — 8–10 qualified member conversations, or </w:t>
      </w:r>
      <w:r>
        <w:rPr>
          <w:b/>
          <w:bCs/>
          <w:color w:val="1E3A5C"/>
          <w:sz w:val="19"/>
          <w:szCs w:val="19"/>
        </w:rPr>
        <w:t xml:space="preserve">stop outbound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Month 24, at ActCAD GA</w:t>
      </w:r>
      <w:r>
        <w:rPr>
          <w:sz w:val="19"/>
          <w:szCs w:val="19"/>
        </w:rPr>
        <w:t xml:space="preserve"> — </w:t>
      </w:r>
      <w:r>
        <w:rPr>
          <w:b/>
          <w:bCs/>
          <w:color w:val="1E3A5C"/>
          <w:sz w:val="19"/>
          <w:szCs w:val="19"/>
        </w:rPr>
        <w:t xml:space="preserve">2 signed LOIs, or we stop entirely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sz w:val="19"/>
          <w:szCs w:val="19"/>
        </w:rPr>
        <w:t xml:space="preserve">no platform entity · no partner obligations · no second set of books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Before any vertical-tier sale</w:t>
      </w:r>
      <w:r>
        <w:rPr>
          <w:sz w:val="19"/>
          <w:szCs w:val="19"/>
        </w:rPr>
        <w:t xml:space="preserve"> — if it threatens ActCAD, </w:t>
      </w:r>
      <w:r>
        <w:rPr>
          <w:b/>
          <w:bCs/>
          <w:color w:val="1E3A5C"/>
          <w:sz w:val="19"/>
          <w:szCs w:val="19"/>
        </w:rPr>
        <w:t xml:space="preserve">don't sell it</w:t>
      </w:r>
    </w:p>
    <w:p>
      <w:pPr>
        <w:spacing w:after="100" w:before="60"/>
      </w:pPr>
      <w:r>
        <w:rPr>
          <w:b/>
          <w:bCs/>
          <w:color w:val="1E3A5C"/>
          <w:sz w:val="19"/>
          <w:szCs w:val="19"/>
        </w:rPr>
        <w:t xml:space="preserve">If month 24 fails we lose 3–6 engineer-months — on architecture we'd defend on ActCAD's own merits.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sz w:val="19"/>
          <w:szCs w:val="19"/>
        </w:rPr>
        <w:t xml:space="preserve">And we still keep a clean engine, a real plugin API, a proper licensing layer</w:t>
      </w:r>
    </w:p>
    <w:p>
      <w:pPr>
        <w:pStyle w:val="Heading1"/>
        <w:pBdr>
          <w:bottom w:val="single" w:color="1E3A5C" w:sz="10" w:space="6"/>
        </w:pBdr>
        <w:spacing w:after="40" w:before="320"/>
      </w:pPr>
      <w:r>
        <w:rPr>
          <w:b/>
          <w:bCs/>
          <w:color w:val="9A6B2F"/>
          <w:sz w:val="24"/>
          <w:szCs w:val="24"/>
        </w:rPr>
        <w:t xml:space="preserve">Slide 9 — </w:t>
      </w:r>
      <w:r>
        <w:rPr>
          <w:b/>
          <w:bCs/>
          <w:color w:val="1E3A5C"/>
          <w:sz w:val="26"/>
          <w:szCs w:val="26"/>
        </w:rPr>
        <w:t xml:space="preserve">The two paths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1E3A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008"/>
            <w:shd w:fill="1E3A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ActCAD only</w:t>
            </w:r>
          </w:p>
        </w:tc>
        <w:tc>
          <w:tcPr>
            <w:tcW w:type="dxa" w:w="3008"/>
            <w:shd w:fill="1E3A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 a platform</w:t>
            </w:r>
          </w:p>
        </w:tc>
      </w:tr>
      <w:tr>
        <w:trPr>
          <w:tblHeader w:val="false"/>
        </w:trPr>
        <w:tc>
          <w:tcPr>
            <w:tcW w:type="dxa" w:w="30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Engine work</w:t>
            </w:r>
          </w:p>
        </w:tc>
        <w:tc>
          <w:tcPr>
            <w:tcW w:type="dxa" w:w="30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Same</w:t>
            </w:r>
          </w:p>
        </w:tc>
        <w:tc>
          <w:tcPr>
            <w:tcW w:type="dxa" w:w="30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Same</w:t>
            </w:r>
          </w:p>
        </w:tc>
      </w:tr>
      <w:tr>
        <w:trPr>
          <w:tblHeader w:val="false"/>
        </w:trPr>
        <w:tc>
          <w:tcPr>
            <w:tcW w:type="dxa" w:w="3008"/>
            <w:shd w:fill="FAF7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Ship date</w:t>
            </w:r>
          </w:p>
        </w:tc>
        <w:tc>
          <w:tcPr>
            <w:tcW w:type="dxa" w:w="3008"/>
            <w:shd w:fill="FAF7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~24 months</w:t>
            </w:r>
          </w:p>
        </w:tc>
        <w:tc>
          <w:tcPr>
            <w:tcW w:type="dxa" w:w="3008"/>
            <w:shd w:fill="FAF7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Same</w:t>
            </w:r>
          </w:p>
        </w:tc>
      </w:tr>
      <w:tr>
        <w:trPr>
          <w:tblHeader w:val="false"/>
        </w:trPr>
        <w:tc>
          <w:tcPr>
            <w:tcW w:type="dxa" w:w="30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Extra cost</w:t>
            </w:r>
          </w:p>
        </w:tc>
        <w:tc>
          <w:tcPr>
            <w:tcW w:type="dxa" w:w="30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30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3–6 engineer-months</w:t>
            </w:r>
          </w:p>
        </w:tc>
      </w:tr>
      <w:tr>
        <w:trPr>
          <w:tblHeader w:val="false"/>
        </w:trPr>
        <w:tc>
          <w:tcPr>
            <w:tcW w:type="dxa" w:w="3008"/>
            <w:shd w:fill="FAF7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Revenue</w:t>
            </w:r>
          </w:p>
        </w:tc>
        <w:tc>
          <w:tcPr>
            <w:tcW w:type="dxa" w:w="3008"/>
            <w:shd w:fill="FAF7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ActCAD</w:t>
            </w:r>
          </w:p>
        </w:tc>
        <w:tc>
          <w:tcPr>
            <w:tcW w:type="dxa" w:w="3008"/>
            <w:shd w:fill="FAF7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+ member fees, marketplace, royalties</w:t>
            </w:r>
          </w:p>
        </w:tc>
      </w:tr>
      <w:tr>
        <w:trPr>
          <w:tblHeader w:val="false"/>
        </w:trPr>
        <w:tc>
          <w:tcPr>
            <w:tcW w:type="dxa" w:w="30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Exit</w:t>
            </w:r>
          </w:p>
        </w:tc>
        <w:tc>
          <w:tcPr>
            <w:tcW w:type="dxa" w:w="30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One product</w:t>
            </w:r>
          </w:p>
        </w:tc>
        <w:tc>
          <w:tcPr>
            <w:tcW w:type="dxa" w:w="30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A second saleable asset</w:t>
            </w:r>
          </w:p>
        </w:tc>
      </w:tr>
      <w:tr>
        <w:trPr>
          <w:tblHeader w:val="false"/>
        </w:trPr>
        <w:tc>
          <w:tcPr>
            <w:tcW w:type="dxa" w:w="3008"/>
            <w:shd w:fill="FAF7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If it fails</w:t>
            </w:r>
          </w:p>
        </w:tc>
        <w:tc>
          <w:tcPr>
            <w:tcW w:type="dxa" w:w="3008"/>
            <w:shd w:fill="FAF7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3008"/>
            <w:shd w:fill="FAF7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We still shipped a great ActCAD</w:t>
            </w:r>
          </w:p>
        </w:tc>
      </w:tr>
    </w:tbl>
    <w:p>
      <w:pPr>
        <w:spacing w:after="140"/>
      </w:pPr>
    </w:p>
    <w:p>
      <w:pPr>
        <w:pBdr>
          <w:left w:val="single" w:color="9A6B2F" w:sz="18" w:space="10"/>
        </w:pBdr>
        <w:shd w:fill="FAF7F2" w:val="clear"/>
        <w:spacing w:after="140" w:before="100"/>
        <w:ind w:left="260"/>
      </w:pPr>
      <w:r>
        <w:rPr>
          <w:b/>
          <w:bCs/>
          <w:color w:val="1E3A5C"/>
          <w:sz w:val="19"/>
          <w:szCs w:val="19"/>
        </w:rPr>
        <w:t xml:space="preserve">A no forecloses one thing that is hard to reopen — the architecture.</w:t>
      </w:r>
      <w:r>
        <w:rPr>
          <w:sz w:val="19"/>
          <w:szCs w:val="19"/>
        </w:rPr>
        <w:t xml:space="preserve"> Everything else can wait three years.</w:t>
      </w:r>
    </w:p>
    <w:p>
      <w:pPr>
        <w:pStyle w:val="Heading1"/>
        <w:pBdr>
          <w:bottom w:val="single" w:color="1E3A5C" w:sz="10" w:space="6"/>
        </w:pBdr>
        <w:spacing w:after="40" w:before="320"/>
      </w:pPr>
      <w:r>
        <w:rPr>
          <w:b/>
          <w:bCs/>
          <w:color w:val="9A6B2F"/>
          <w:sz w:val="24"/>
          <w:szCs w:val="24"/>
        </w:rPr>
        <w:t xml:space="preserve">Slide 10 — </w:t>
      </w:r>
      <w:r>
        <w:rPr>
          <w:b/>
          <w:bCs/>
          <w:color w:val="1E3A5C"/>
          <w:sz w:val="26"/>
          <w:szCs w:val="26"/>
        </w:rPr>
        <w:t xml:space="preserve">What we pay IntelliCAD today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~$100K a year</w:t>
      </w:r>
      <w:r>
        <w:rPr>
          <w:sz w:val="19"/>
          <w:szCs w:val="19"/>
        </w:rPr>
        <w:t xml:space="preserve"> — membership and extras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No per-seat royalty to ITC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$15–20 per sale</w:t>
      </w:r>
      <w:r>
        <w:rPr>
          <w:sz w:val="19"/>
          <w:szCs w:val="19"/>
        </w:rPr>
        <w:t xml:space="preserve"> — component royalties, ACIS and others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AI: ~$7–8K extra</w:t>
      </w:r>
      <w:r>
        <w:rPr>
          <w:sz w:val="19"/>
          <w:szCs w:val="19"/>
        </w:rPr>
        <w:t xml:space="preserve"> — experimental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Android viewer: ~$8K extra</w:t>
      </w:r>
      <w:r>
        <w:rPr>
          <w:sz w:val="19"/>
          <w:szCs w:val="19"/>
        </w:rPr>
        <w:t xml:space="preserve"> — weak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Mac, web app, web editor: not available.</w:t>
      </w:r>
      <w:r>
        <w:rPr>
          <w:sz w:val="19"/>
          <w:szCs w:val="19"/>
        </w:rPr>
        <w:t xml:space="preserve"> Windows-tied.</w:t>
      </w:r>
    </w:p>
    <w:p>
      <w:pPr>
        <w:spacing w:after="100" w:before="60"/>
      </w:pPr>
      <w:r>
        <w:rPr>
          <w:b/>
          <w:bCs/>
          <w:color w:val="1E3A5C"/>
          <w:sz w:val="19"/>
          <w:szCs w:val="19"/>
        </w:rPr>
        <w:t xml:space="preserve">And what we get is ~a million lines of source — not a product.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sz w:val="19"/>
          <w:szCs w:val="19"/>
        </w:rPr>
        <w:t xml:space="preserve">A codebase to staff, fork and re-merge on every uptake, </w:t>
      </w:r>
      <w:r>
        <w:rPr>
          <w:b/>
          <w:bCs/>
          <w:color w:val="1E3A5C"/>
          <w:sz w:val="19"/>
          <w:szCs w:val="19"/>
        </w:rPr>
        <w:t xml:space="preserve">before selling a seat</w:t>
      </w:r>
    </w:p>
    <w:p>
      <w:pPr>
        <w:pStyle w:val="Heading1"/>
        <w:pBdr>
          <w:bottom w:val="single" w:color="1E3A5C" w:sz="10" w:space="6"/>
        </w:pBdr>
        <w:spacing w:after="40" w:before="320"/>
      </w:pPr>
      <w:r>
        <w:rPr>
          <w:b/>
          <w:bCs/>
          <w:color w:val="9A6B2F"/>
          <w:sz w:val="24"/>
          <w:szCs w:val="24"/>
        </w:rPr>
        <w:t xml:space="preserve">Slide 11 — </w:t>
      </w:r>
      <w:r>
        <w:rPr>
          <w:b/>
          <w:bCs/>
          <w:color w:val="1E3A5C"/>
          <w:sz w:val="26"/>
          <w:szCs w:val="26"/>
        </w:rPr>
        <w:t xml:space="preserve">What we'd give that ITC does not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1E3A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008"/>
            <w:shd w:fill="1E3A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ITC gives</w:t>
            </w:r>
          </w:p>
        </w:tc>
        <w:tc>
          <w:tcPr>
            <w:tcW w:type="dxa" w:w="3008"/>
            <w:shd w:fill="1E3A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We give</w:t>
            </w:r>
          </w:p>
        </w:tc>
      </w:tr>
      <w:tr>
        <w:trPr>
          <w:tblHeader w:val="false"/>
        </w:trPr>
        <w:tc>
          <w:tcPr>
            <w:tcW w:type="dxa" w:w="30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30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~1M lines of source</w:t>
            </w:r>
          </w:p>
        </w:tc>
        <w:tc>
          <w:tcPr>
            <w:tcW w:type="dxa" w:w="30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A product you configure</w:t>
            </w:r>
          </w:p>
        </w:tc>
      </w:tr>
      <w:tr>
        <w:trPr>
          <w:tblHeader w:val="false"/>
        </w:trPr>
        <w:tc>
          <w:tcPr>
            <w:tcW w:type="dxa" w:w="3008"/>
            <w:shd w:fill="FAF7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Engine upkeep</w:t>
            </w:r>
          </w:p>
        </w:tc>
        <w:tc>
          <w:tcPr>
            <w:tcW w:type="dxa" w:w="3008"/>
            <w:shd w:fill="FAF7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Yours, forever</w:t>
            </w:r>
          </w:p>
        </w:tc>
        <w:tc>
          <w:tcPr>
            <w:tcW w:type="dxa" w:w="3008"/>
            <w:shd w:fill="FAF7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Ours</w:t>
            </w:r>
          </w:p>
        </w:tc>
      </w:tr>
      <w:tr>
        <w:trPr>
          <w:tblHeader w:val="false"/>
        </w:trPr>
        <w:tc>
          <w:tcPr>
            <w:tcW w:type="dxa" w:w="30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Bug fixes</w:t>
            </w:r>
          </w:p>
        </w:tc>
        <w:tc>
          <w:tcPr>
            <w:tcW w:type="dxa" w:w="30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You fix — </w:t>
            </w:r>
            <w:r>
              <w:rPr>
                <w:b/>
                <w:bCs/>
                <w:color w:val="1A1A1A"/>
                <w:sz w:val="17"/>
                <w:szCs w:val="17"/>
              </w:rPr>
              <w:t xml:space="preserve">work reaches rivals</w:t>
            </w:r>
          </w:p>
        </w:tc>
        <w:tc>
          <w:tcPr>
            <w:tcW w:type="dxa" w:w="30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We fix — you just receive</w:t>
            </w:r>
          </w:p>
        </w:tc>
      </w:tr>
      <w:tr>
        <w:trPr>
          <w:tblHeader w:val="false"/>
        </w:trPr>
        <w:tc>
          <w:tcPr>
            <w:tcW w:type="dxa" w:w="3008"/>
            <w:shd w:fill="FAF7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Your plugins</w:t>
            </w:r>
          </w:p>
        </w:tc>
        <w:tc>
          <w:tcPr>
            <w:tcW w:type="dxa" w:w="3008"/>
            <w:shd w:fill="FAF7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Tangled with engine patches</w:t>
            </w:r>
          </w:p>
        </w:tc>
        <w:tc>
          <w:tcPr>
            <w:tcW w:type="dxa" w:w="3008"/>
            <w:shd w:fill="FAF7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Stay entirely yours</w:t>
            </w:r>
          </w:p>
        </w:tc>
      </w:tr>
      <w:tr>
        <w:trPr>
          <w:tblHeader w:val="false"/>
        </w:trPr>
        <w:tc>
          <w:tcPr>
            <w:tcW w:type="dxa" w:w="30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Releases</w:t>
            </w:r>
          </w:p>
        </w:tc>
        <w:tc>
          <w:tcPr>
            <w:tcW w:type="dxa" w:w="30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Annual, coordinated</w:t>
            </w:r>
          </w:p>
        </w:tc>
        <w:tc>
          <w:tcPr>
            <w:tcW w:type="dxa" w:w="30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Rolling — ship when ready</w:t>
            </w:r>
          </w:p>
        </w:tc>
      </w:tr>
      <w:tr>
        <w:trPr>
          <w:tblHeader w:val="false"/>
        </w:trPr>
        <w:tc>
          <w:tcPr>
            <w:tcW w:type="dxa" w:w="3008"/>
            <w:shd w:fill="FAF7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Reach</w:t>
            </w:r>
          </w:p>
        </w:tc>
        <w:tc>
          <w:tcPr>
            <w:tcW w:type="dxa" w:w="3008"/>
            <w:shd w:fill="FAF7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Windows</w:t>
            </w:r>
          </w:p>
        </w:tc>
        <w:tc>
          <w:tcPr>
            <w:tcW w:type="dxa" w:w="3008"/>
            <w:shd w:fill="FAF7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Win · Mac · Linux · web · Android</w:t>
            </w:r>
          </w:p>
        </w:tc>
      </w:tr>
      <w:tr>
        <w:trPr>
          <w:tblHeader w:val="false"/>
        </w:trPr>
        <w:tc>
          <w:tcPr>
            <w:tcW w:type="dxa" w:w="30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AI</w:t>
            </w:r>
          </w:p>
        </w:tc>
        <w:tc>
          <w:tcPr>
            <w:tcW w:type="dxa" w:w="30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$8K experiment</w:t>
            </w:r>
          </w:p>
        </w:tc>
        <w:tc>
          <w:tcPr>
            <w:tcW w:type="dxa" w:w="30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Included</w:t>
            </w:r>
          </w:p>
        </w:tc>
      </w:tr>
      <w:tr>
        <w:trPr>
          <w:tblHeader w:val="false"/>
        </w:trPr>
        <w:tc>
          <w:tcPr>
            <w:tcW w:type="dxa" w:w="3008"/>
            <w:shd w:fill="FAF7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Licensing</w:t>
            </w:r>
          </w:p>
        </w:tc>
        <w:tc>
          <w:tcPr>
            <w:tcW w:type="dxa" w:w="3008"/>
            <w:shd w:fill="FAF7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Buy your own</w:t>
            </w:r>
          </w:p>
        </w:tc>
        <w:tc>
          <w:tcPr>
            <w:tcW w:type="dxa" w:w="3008"/>
            <w:shd w:fill="FAF7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Included, platform-blind</w:t>
            </w:r>
          </w:p>
        </w:tc>
      </w:tr>
    </w:tbl>
    <w:p>
      <w:pPr>
        <w:spacing w:after="140"/>
      </w:pPr>
    </w:p>
    <w:p>
      <w:pPr>
        <w:pBdr>
          <w:left w:val="single" w:color="9A6B2F" w:sz="18" w:space="10"/>
        </w:pBdr>
        <w:shd w:fill="FAF7F2" w:val="clear"/>
        <w:spacing w:after="140" w:before="100"/>
        <w:ind w:left="260"/>
      </w:pPr>
      <w:r>
        <w:rPr>
          <w:b/>
          <w:bCs/>
          <w:color w:val="1E3A5C"/>
          <w:sz w:val="19"/>
          <w:szCs w:val="19"/>
        </w:rPr>
        <w:t xml:space="preserve">The consortium gave members shared ownership of a codebase and sole responsibility for running it. We carry the responsibility instead.</w:t>
      </w:r>
    </w:p>
    <w:p>
      <w:pPr>
        <w:pStyle w:val="Heading1"/>
        <w:pBdr>
          <w:bottom w:val="single" w:color="1E3A5C" w:sz="10" w:space="6"/>
        </w:pBdr>
        <w:spacing w:after="40" w:before="320"/>
      </w:pPr>
      <w:r>
        <w:rPr>
          <w:b/>
          <w:bCs/>
          <w:color w:val="9A6B2F"/>
          <w:sz w:val="24"/>
          <w:szCs w:val="24"/>
        </w:rPr>
        <w:t xml:space="preserve">Slide 12 — </w:t>
      </w:r>
      <w:r>
        <w:rPr>
          <w:b/>
          <w:bCs/>
          <w:color w:val="1E3A5C"/>
          <w:sz w:val="26"/>
          <w:szCs w:val="26"/>
        </w:rPr>
        <w:t xml:space="preserve">What we deliver, and what we'd charge</w:t>
      </w:r>
    </w:p>
    <w:p>
      <w:pPr>
        <w:spacing w:after="100" w:before="60"/>
      </w:pPr>
      <w:r>
        <w:rPr>
          <w:b/>
          <w:bCs/>
          <w:color w:val="1E3A5C"/>
          <w:sz w:val="19"/>
          <w:szCs w:val="19"/>
        </w:rPr>
        <w:t xml:space="preserve">Three tiers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Core</w:t>
      </w:r>
      <w:r>
        <w:rPr>
          <w:sz w:val="19"/>
          <w:szCs w:val="19"/>
        </w:rPr>
        <w:t xml:space="preserve"> — engine, DWG fidelity, white-label shell, licensing, </w:t>
      </w:r>
      <w:r>
        <w:rPr>
          <w:b/>
          <w:bCs/>
          <w:color w:val="1E3A5C"/>
          <w:sz w:val="19"/>
          <w:szCs w:val="19"/>
        </w:rPr>
        <w:t xml:space="preserve">AI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Plus</w:t>
      </w:r>
      <w:r>
        <w:rPr>
          <w:sz w:val="19"/>
          <w:szCs w:val="19"/>
        </w:rPr>
        <w:t xml:space="preserve"> — </w:t>
      </w:r>
      <w:r>
        <w:rPr>
          <w:b/>
          <w:bCs/>
          <w:color w:val="1E3A5C"/>
          <w:sz w:val="19"/>
          <w:szCs w:val="19"/>
        </w:rPr>
        <w:t xml:space="preserve">+ web app, Mac, Android</w:t>
      </w:r>
      <w:r>
        <w:rPr>
          <w:sz w:val="19"/>
          <w:szCs w:val="19"/>
        </w:rPr>
        <w:t xml:space="preserve">, marketplace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Complete</w:t>
      </w:r>
      <w:r>
        <w:rPr>
          <w:sz w:val="19"/>
          <w:szCs w:val="19"/>
        </w:rPr>
        <w:t xml:space="preserve"> — </w:t>
      </w:r>
      <w:r>
        <w:rPr>
          <w:b/>
          <w:bCs/>
          <w:color w:val="1E3A5C"/>
          <w:sz w:val="19"/>
          <w:szCs w:val="19"/>
        </w:rPr>
        <w:t xml:space="preserve">+ our verticals</w:t>
      </w:r>
      <w:r>
        <w:rPr>
          <w:sz w:val="19"/>
          <w:szCs w:val="19"/>
        </w:rPr>
        <w:t xml:space="preserve"> (Arch · Mech · Elec · BIM · GIS)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shd w:fill="1E3A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Member's seats</w:t>
            </w:r>
          </w:p>
        </w:tc>
        <w:tc>
          <w:tcPr>
            <w:tcW w:type="dxa" w:w="2256"/>
            <w:shd w:fill="1E3A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Core</w:t>
            </w:r>
          </w:p>
        </w:tc>
        <w:tc>
          <w:tcPr>
            <w:tcW w:type="dxa" w:w="2256"/>
            <w:shd w:fill="1E3A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Plus</w:t>
            </w:r>
          </w:p>
        </w:tc>
        <w:tc>
          <w:tcPr>
            <w:tcW w:type="dxa" w:w="2256"/>
            <w:shd w:fill="1E3A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W w:type="dxa" w:w="225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Under 5,000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$45K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$65K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$90K</w:t>
            </w:r>
          </w:p>
        </w:tc>
      </w:tr>
      <w:tr>
        <w:trPr>
          <w:tblHeader w:val="false"/>
        </w:trPr>
        <w:tc>
          <w:tcPr>
            <w:tcW w:type="dxa" w:w="2256"/>
            <w:shd w:fill="FAF7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5,000–20,000</w:t>
            </w:r>
          </w:p>
        </w:tc>
        <w:tc>
          <w:tcPr>
            <w:tcW w:type="dxa" w:w="2256"/>
            <w:shd w:fill="FAF7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$80K</w:t>
            </w:r>
          </w:p>
        </w:tc>
        <w:tc>
          <w:tcPr>
            <w:tcW w:type="dxa" w:w="2256"/>
            <w:shd w:fill="FAF7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$110K</w:t>
            </w:r>
          </w:p>
        </w:tc>
        <w:tc>
          <w:tcPr>
            <w:tcW w:type="dxa" w:w="2256"/>
            <w:shd w:fill="FAF7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$150K</w:t>
            </w:r>
          </w:p>
        </w:tc>
      </w:tr>
      <w:tr>
        <w:trPr>
          <w:tblHeader w:val="false"/>
        </w:trPr>
        <w:tc>
          <w:tcPr>
            <w:tcW w:type="dxa" w:w="225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20,000–50,000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$130K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$170K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$220K</w:t>
            </w:r>
          </w:p>
        </w:tc>
      </w:tr>
      <w:tr>
        <w:trPr>
          <w:tblHeader w:val="false"/>
        </w:trPr>
        <w:tc>
          <w:tcPr>
            <w:tcW w:type="dxa" w:w="2256"/>
            <w:shd w:fill="FAF7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50,000+</w:t>
            </w:r>
          </w:p>
        </w:tc>
        <w:tc>
          <w:tcPr>
            <w:tcW w:type="dxa" w:w="2256"/>
            <w:shd w:fill="FAF7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$190K</w:t>
            </w:r>
          </w:p>
        </w:tc>
        <w:tc>
          <w:tcPr>
            <w:tcW w:type="dxa" w:w="2256"/>
            <w:shd w:fill="FAF7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$240K</w:t>
            </w:r>
          </w:p>
        </w:tc>
        <w:tc>
          <w:tcPr>
            <w:tcW w:type="dxa" w:w="2256"/>
            <w:shd w:fill="FAF7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$300K</w:t>
            </w:r>
          </w:p>
        </w:tc>
      </w:tr>
    </w:tbl>
    <w:p>
      <w:pPr>
        <w:spacing w:after="140"/>
      </w:pP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Ramped 50 / 75 / 100%</w:t>
      </w:r>
      <w:r>
        <w:rPr>
          <w:sz w:val="19"/>
          <w:szCs w:val="19"/>
        </w:rPr>
        <w:t xml:space="preserve"> over the migration years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Component royalties at cost</w:t>
      </w:r>
      <w:r>
        <w:rPr>
          <w:sz w:val="19"/>
          <w:szCs w:val="19"/>
        </w:rPr>
        <w:t xml:space="preserve"> · </w:t>
      </w:r>
      <w:r>
        <w:rPr>
          <w:b/>
          <w:bCs/>
          <w:color w:val="1E3A5C"/>
          <w:sz w:val="19"/>
          <w:szCs w:val="19"/>
        </w:rPr>
        <w:t xml:space="preserve">AI metered</w:t>
      </w:r>
      <w:r>
        <w:rPr>
          <w:sz w:val="19"/>
          <w:szCs w:val="19"/>
        </w:rPr>
        <w:t xml:space="preserve"> above an allowance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The vertical tier is a decision, not a price</w:t>
      </w:r>
      <w:r>
        <w:rPr>
          <w:sz w:val="19"/>
          <w:szCs w:val="19"/>
        </w:rPr>
        <w:t xml:space="preserve"> — it arms possible competitors</w:t>
      </w:r>
    </w:p>
    <w:p>
      <w:pPr>
        <w:pStyle w:val="Heading1"/>
        <w:pBdr>
          <w:bottom w:val="single" w:color="1E3A5C" w:sz="10" w:space="6"/>
        </w:pBdr>
        <w:spacing w:after="40" w:before="320"/>
      </w:pPr>
      <w:r>
        <w:rPr>
          <w:b/>
          <w:bCs/>
          <w:color w:val="9A6B2F"/>
          <w:sz w:val="24"/>
          <w:szCs w:val="24"/>
        </w:rPr>
        <w:t xml:space="preserve">Slide 13 — </w:t>
      </w:r>
      <w:r>
        <w:rPr>
          <w:b/>
          <w:bCs/>
          <w:color w:val="1E3A5C"/>
          <w:sz w:val="26"/>
          <w:szCs w:val="26"/>
        </w:rPr>
        <w:t xml:space="preserve">What this could become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shd w:fill="1E3A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256"/>
            <w:shd w:fill="1E3A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Conservative</w:t>
            </w:r>
          </w:p>
        </w:tc>
        <w:tc>
          <w:tcPr>
            <w:tcW w:type="dxa" w:w="2256"/>
            <w:shd w:fill="1E3A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Base</w:t>
            </w:r>
          </w:p>
        </w:tc>
        <w:tc>
          <w:tcPr>
            <w:tcW w:type="dxa" w:w="2256"/>
            <w:shd w:fill="1E3A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Aggressive</w:t>
            </w:r>
          </w:p>
        </w:tc>
      </w:tr>
      <w:tr>
        <w:trPr>
          <w:tblHeader w:val="false"/>
        </w:trPr>
        <w:tc>
          <w:tcPr>
            <w:tcW w:type="dxa" w:w="225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Members by Y7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12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2256"/>
            <w:shd w:fill="FAF7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Blended fee</w:t>
            </w:r>
          </w:p>
        </w:tc>
        <w:tc>
          <w:tcPr>
            <w:tcW w:type="dxa" w:w="2256"/>
            <w:shd w:fill="FAF7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~$70K</w:t>
            </w:r>
          </w:p>
        </w:tc>
        <w:tc>
          <w:tcPr>
            <w:tcW w:type="dxa" w:w="2256"/>
            <w:shd w:fill="FAF7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~$110K</w:t>
            </w:r>
          </w:p>
        </w:tc>
        <w:tc>
          <w:tcPr>
            <w:tcW w:type="dxa" w:w="2256"/>
            <w:shd w:fill="FAF7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~$170K</w:t>
            </w:r>
          </w:p>
        </w:tc>
      </w:tr>
      <w:tr>
        <w:trPr>
          <w:tblHeader w:val="false"/>
        </w:trPr>
        <w:tc>
          <w:tcPr>
            <w:tcW w:type="dxa" w:w="225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Platform ARR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~$425K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~$1.7M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~$4.3M</w:t>
            </w:r>
          </w:p>
        </w:tc>
      </w:tr>
      <w:tr>
        <w:trPr>
          <w:tblHeader w:val="false"/>
        </w:trPr>
        <w:tc>
          <w:tcPr>
            <w:tcW w:type="dxa" w:w="2256"/>
            <w:shd w:fill="FAF7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Profit</w:t>
            </w:r>
          </w:p>
        </w:tc>
        <w:tc>
          <w:tcPr>
            <w:tcW w:type="dxa" w:w="2256"/>
            <w:shd w:fill="FAF7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~$290K</w:t>
            </w:r>
          </w:p>
        </w:tc>
        <w:tc>
          <w:tcPr>
            <w:tcW w:type="dxa" w:w="2256"/>
            <w:shd w:fill="FAF7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~$1.2M</w:t>
            </w:r>
          </w:p>
        </w:tc>
        <w:tc>
          <w:tcPr>
            <w:tcW w:type="dxa" w:w="2256"/>
            <w:shd w:fill="FAF7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~$3.1M</w:t>
            </w:r>
          </w:p>
        </w:tc>
      </w:tr>
      <w:tr>
        <w:trPr>
          <w:tblHeader w:val="false"/>
        </w:trPr>
        <w:tc>
          <w:tcPr>
            <w:tcW w:type="dxa" w:w="225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Value at 6–8×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not saleable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~$10–13M</w:t>
            </w:r>
          </w:p>
        </w:tc>
        <w:tc>
          <w:tcPr>
            <w:tcW w:type="dxa" w:w="225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~$26–34M</w:t>
            </w:r>
          </w:p>
        </w:tc>
      </w:tr>
    </w:tbl>
    <w:p>
      <w:pPr>
        <w:spacing w:after="140"/>
      </w:pPr>
    </w:p>
    <w:p>
      <w:pPr>
        <w:spacing w:after="100" w:before="60"/>
      </w:pPr>
      <w:r>
        <w:rPr>
          <w:b/>
          <w:bCs/>
          <w:color w:val="1E3A5C"/>
          <w:sz w:val="19"/>
          <w:szCs w:val="19"/>
        </w:rPr>
        <w:t xml:space="preserve">A profitable adjacent business line — not a venture-scale company.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sz w:val="19"/>
          <w:szCs w:val="19"/>
        </w:rPr>
        <w:t xml:space="preserve">Materially bigger needs </w:t>
      </w:r>
      <w:r>
        <w:rPr>
          <w:b/>
          <w:bCs/>
          <w:color w:val="1E3A5C"/>
          <w:sz w:val="19"/>
          <w:szCs w:val="19"/>
        </w:rPr>
        <w:t xml:space="preserve">60–100 members</w:t>
      </w:r>
      <w:r>
        <w:rPr>
          <w:sz w:val="19"/>
          <w:szCs w:val="19"/>
        </w:rPr>
        <w:t xml:space="preserve">, direct-to-end-user, or </w:t>
      </w:r>
      <w:r>
        <w:rPr>
          <w:b/>
          <w:bCs/>
          <w:color w:val="1E3A5C"/>
          <w:sz w:val="19"/>
          <w:szCs w:val="19"/>
        </w:rPr>
        <w:t xml:space="preserve">the 3D product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Later questions — not assumptions</w:t>
      </w:r>
    </w:p>
    <w:p>
      <w:pPr>
        <w:pStyle w:val="Heading1"/>
        <w:pBdr>
          <w:bottom w:val="single" w:color="1E3A5C" w:sz="10" w:space="6"/>
        </w:pBdr>
        <w:spacing w:after="40" w:before="320"/>
      </w:pPr>
      <w:r>
        <w:rPr>
          <w:b/>
          <w:bCs/>
          <w:color w:val="9A6B2F"/>
          <w:sz w:val="24"/>
          <w:szCs w:val="24"/>
        </w:rPr>
        <w:t xml:space="preserve">Slide 14 — </w:t>
      </w:r>
      <w:r>
        <w:rPr>
          <w:b/>
          <w:bCs/>
          <w:color w:val="1E3A5C"/>
          <w:sz w:val="26"/>
          <w:szCs w:val="26"/>
        </w:rPr>
        <w:t xml:space="preserve">Funding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Promoter seed, now → Y2 — $1–2M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sz w:val="19"/>
          <w:szCs w:val="19"/>
        </w:rPr>
        <w:t xml:space="preserve">the increment on an engine already funded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Optional strategic round, Y4–5 — $5–10M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sz w:val="19"/>
          <w:szCs w:val="19"/>
        </w:rPr>
        <w:t xml:space="preserve">from a plausible acquirer, </w:t>
      </w:r>
      <w:r>
        <w:rPr>
          <w:b/>
          <w:bCs/>
          <w:color w:val="1E3A5C"/>
          <w:sz w:val="19"/>
          <w:szCs w:val="19"/>
        </w:rPr>
        <w:t xml:space="preserve">to set a floor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Exit, Y6–7 — $30–50M</w:t>
      </w:r>
    </w:p>
    <w:p>
      <w:pPr>
        <w:spacing w:after="100" w:before="60"/>
      </w:pPr>
      <w:r>
        <w:rPr>
          <w:b/>
          <w:bCs/>
          <w:color w:val="1E3A5C"/>
          <w:sz w:val="19"/>
          <w:szCs w:val="19"/>
        </w:rPr>
        <w:t xml:space="preserve">What forces price up is competition between buyers — not a prior round.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sz w:val="19"/>
          <w:szCs w:val="19"/>
        </w:rPr>
        <w:t xml:space="preserve">At ~70% margins this </w:t>
      </w:r>
      <w:r>
        <w:rPr>
          <w:b/>
          <w:bCs/>
          <w:color w:val="1E3A5C"/>
          <w:sz w:val="19"/>
          <w:szCs w:val="19"/>
        </w:rPr>
        <w:t xml:space="preserve">self-funds from year 3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Take the round for tension, not for cash</w:t>
      </w:r>
    </w:p>
    <w:p>
      <w:pPr>
        <w:pStyle w:val="Heading1"/>
        <w:pBdr>
          <w:bottom w:val="single" w:color="1E3A5C" w:sz="10" w:space="6"/>
        </w:pBdr>
        <w:spacing w:after="40" w:before="320"/>
      </w:pPr>
      <w:r>
        <w:rPr>
          <w:b/>
          <w:bCs/>
          <w:color w:val="9A6B2F"/>
          <w:sz w:val="24"/>
          <w:szCs w:val="24"/>
        </w:rPr>
        <w:t xml:space="preserve">Slide 15 — </w:t>
      </w:r>
      <w:r>
        <w:rPr>
          <w:b/>
          <w:bCs/>
          <w:color w:val="1E3A5C"/>
          <w:sz w:val="26"/>
          <w:szCs w:val="26"/>
        </w:rPr>
        <w:t xml:space="preserve">What we are asking</w:t>
      </w:r>
    </w:p>
    <w:p>
      <w:pPr>
        <w:spacing w:after="100" w:before="60"/>
      </w:pPr>
      <w:r>
        <w:rPr>
          <w:b/>
          <w:bCs/>
          <w:color w:val="1E3A5C"/>
          <w:sz w:val="19"/>
          <w:szCs w:val="19"/>
        </w:rPr>
        <w:t xml:space="preserve">In-principle approval</w:t>
      </w:r>
    </w:p>
    <w:p>
      <w:pPr>
        <w:spacing w:after="80" w:before="200"/>
      </w:pPr>
      <w:r>
        <w:rPr>
          <w:b/>
          <w:bCs/>
          <w:color w:val="102542"/>
          <w:sz w:val="22"/>
          <w:szCs w:val="22"/>
        </w:rPr>
        <w:t xml:space="preserve">And to open three discussions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Corporate structure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Capital requirement</w:t>
      </w:r>
    </w:p>
    <w:p>
      <w:pPr>
        <w:spacing w:after="40" w:before="40"/>
        <w:ind w:left="360" w:hanging="200"/>
      </w:pPr>
      <w:r>
        <w:rPr>
          <w:b/>
          <w:bCs/>
          <w:color w:val="9A6B2F"/>
          <w:sz w:val="19"/>
          <w:szCs w:val="19"/>
        </w:rPr>
        <w:t xml:space="preserve">•   </w:t>
      </w:r>
      <w:r>
        <w:rPr>
          <w:b/>
          <w:bCs/>
          <w:color w:val="1E3A5C"/>
          <w:sz w:val="19"/>
          <w:szCs w:val="19"/>
        </w:rPr>
        <w:t xml:space="preserve">The team required to make this happen</w:t>
      </w:r>
    </w:p>
    <w:p>
      <w:pPr>
        <w:spacing w:after="100" w:before="60"/>
      </w:pPr>
      <w:r>
        <w:rPr>
          <w:b/>
          <w:bCs/>
          <w:color w:val="1E3A5C"/>
          <w:sz w:val="19"/>
          <w:szCs w:val="19"/>
        </w:rPr>
        <w:t xml:space="preserve">Nothing else is decided today</w:t>
      </w:r>
      <w:r>
        <w:rPr>
          <w:sz w:val="19"/>
          <w:szCs w:val="19"/>
        </w:rPr>
        <w:t xml:space="preserve"> — no capital commitment, no incorporation, no announcement, no change to how ActCAD runs.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9"/>
        <w:szCs w:val="19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TejasCAD Directors Briefing — review copy</dc:title>
  <dc:creator>TejasCAD</dc:creator>
  <dc:description>Slide deck in document form for comment and markup</dc:description>
  <cp:lastModifiedBy>Un-named</cp:lastModifiedBy>
  <cp:revision>1</cp:revision>
  <dcterms:created xsi:type="dcterms:W3CDTF">2026-08-21T13:25:58.836Z</dcterms:created>
  <dcterms:modified xsi:type="dcterms:W3CDTF">2026-08-21T13:25:58.836Z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