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TejasCAD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Licensing our new CAD engine to other vendors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Working brand, pending trademark clearance. ITC figures are actual;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Purpose of this briefing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replacing ActCAD's IntelliCAD foundation with </w:t>
      </w:r>
      <w:r>
        <w:rPr>
          <w:b/>
          <w:bCs/>
          <w:color w:val="1E3A5C"/>
          <w:sz w:val="19"/>
          <w:szCs w:val="19"/>
        </w:rPr>
        <w:t xml:space="preserve">an engine we own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could be </w:t>
      </w:r>
      <w:r>
        <w:rPr>
          <w:b/>
          <w:bCs/>
          <w:color w:val="1E3A5C"/>
          <w:sz w:val="19"/>
          <w:szCs w:val="19"/>
        </w:rPr>
        <w:t xml:space="preserve">licensed to other CAD vendors</w:t>
      </w:r>
      <w:r>
        <w:rPr>
          <w:sz w:val="19"/>
          <w:szCs w:val="19"/>
        </w:rPr>
        <w:t xml:space="preserve"> under their brands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This briefing sets out </w:t>
      </w:r>
      <w:r>
        <w:rPr>
          <w:b/>
          <w:bCs/>
          <w:color w:val="1E3A5C"/>
          <w:sz w:val="19"/>
          <w:szCs w:val="19"/>
        </w:rPr>
        <w:t xml:space="preserve">that opportunity, its economics, and its risks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We are seeking in-principle approval to explore it — and to open three discussions.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Team required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  <w:r>
        <w:rPr>
          <w:sz w:val="19"/>
          <w:szCs w:val="19"/>
        </w:rPr>
        <w:t xml:space="preserve"> · read-only guarantee intact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Benchmarking shows it ahead of ActCAD on many customer files, and ahead of both IntelliCAD's viewer and ODA's own.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Outstanding:</w:t>
      </w:r>
      <w:r>
        <w:rPr>
          <w:sz w:val="19"/>
          <w:szCs w:val="19"/>
        </w:rPr>
        <w:t xml:space="preserve"> customer-hardware performance baseline · public launch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provides access to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either folds into the Qt stack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be determined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reside in the C++ core in either case.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same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have in common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Paying for 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Carrying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engine rebuild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Mac, web application, web editor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purchases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How our offer would compare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TejasCAD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responsibility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Proposed 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at 50 / 75 / 100%</w:t>
      </w:r>
      <w:r>
        <w:rPr>
          <w:sz w:val="19"/>
          <w:szCs w:val="19"/>
        </w:rPr>
        <w:t xml:space="preserve"> across the member's migration years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passed through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profitable adjacent business line. Not a venture-scale outcome.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Revenue accrues </w:t>
      </w:r>
      <w:r>
        <w:rPr>
          <w:b/>
          <w:bCs/>
          <w:color w:val="1E3A5C"/>
          <w:sz w:val="19"/>
          <w:szCs w:val="19"/>
        </w:rPr>
        <w:t xml:space="preserve">in addition to ActCAD</w:t>
      </w:r>
      <w:r>
        <w:rPr>
          <w:sz w:val="19"/>
          <w:szCs w:val="19"/>
        </w:rPr>
        <w:t xml:space="preserve">, from engineering already funded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Materially larger scale would require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3D product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$1–2M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is </w:t>
      </w:r>
      <w:r>
        <w:rPr>
          <w:b/>
          <w:bCs/>
          <w:color w:val="1E3A5C"/>
          <w:sz w:val="19"/>
          <w:szCs w:val="19"/>
        </w:rPr>
        <w:t xml:space="preserve">the increment on an engine already funded</w:t>
      </w:r>
      <w:r>
        <w:rPr>
          <w:sz w:val="19"/>
          <w:szCs w:val="19"/>
        </w:rPr>
        <w:t xml:space="preserve"> — not its full cost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would </w:t>
      </w:r>
      <w:r>
        <w:rPr>
          <w:b/>
          <w:bCs/>
          <w:color w:val="1E3A5C"/>
          <w:sz w:val="19"/>
          <w:szCs w:val="19"/>
        </w:rPr>
        <w:t xml:space="preserve">establish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Two options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Additional cost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3–6 engineer-months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 at 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Complexity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Lower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Second entity, partner obligations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Recommendation: build the platform capability now, and decide on commercialisation at month 24.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improves ActCAD in its own right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Retrofitting it later would mean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Principal risks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we would manage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Management attention diverted from ActCAD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is scoped and time-boxed; ActCAD GA remains the priority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Demand unproven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no members, no LOIs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gate; no entity or obligations before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Team must be recruited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Required for ActCAD regardless;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Member roadmap influence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they do not hold a vote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Licensing verticals to potential competitors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exclusion, or the tier is simply not offered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Consortium members are slow to move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Returns are modest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Presented as an adjacent line, not a growth story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stops;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own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If the month-24 gate is not met, the exposure is 3–6 engineer-months of architecture we would adopt for ActCAD in any case.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Decisions requested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In-principle approval to proceed with exploration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And to open three discussions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Capital requirement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Team required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 capital commitment, incorporation, external communication, or change to ActCAD's operations is sought today.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2026-08-21T15:56:20.855Z</dcterms:created>
  <dcterms:modified xsi:type="dcterms:W3CDTF">2026-08-21T15:56:20.873Z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