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proposal: build it platform-first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macOS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Web application and web editor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Linux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IntelliCAD is Windows-bound.</w:t>
      </w:r>
      <w:r>
        <w:rPr>
          <w:sz w:val="19"/>
          <w:szCs w:val="19"/>
        </w:rPr>
        <w:t xml:space="preserve"> macOS, Linux and the browser are not options a member can buy — </w:t>
      </w:r>
      <w:r>
        <w:rPr>
          <w:b/>
          <w:bCs/>
          <w:color w:val="1E3A5C"/>
          <w:sz w:val="19"/>
          <w:szCs w:val="19"/>
        </w:rPr>
        <w:t xml:space="preserve">they are doors that stay shut.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 only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macOS,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 crore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</w:t>
      </w:r>
      <w:r>
        <w:rPr>
          <w:b/>
          <w:bCs/>
          <w:color w:val="1E3A5C"/>
          <w:sz w:val="19"/>
          <w:szCs w:val="19"/>
        </w:rPr>
        <w:t xml:space="preserve">funds the two-year build team</w:t>
      </w:r>
      <w:r>
        <w:rPr>
          <w:sz w:val="19"/>
          <w:szCs w:val="19"/>
        </w:rPr>
        <w:t xml:space="preserve"> — next slide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Team required — the two-year build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Headcount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CAD engine developers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2–4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₹100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Commands and UI developers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3–5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₹50 lakh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Marketing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₹25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6–10 people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₹1.75 crore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₹2 crore seed against a ₹1.75 crore build — funded, with headroom.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team this size is viable because of how we are building.</w:t>
      </w:r>
      <w:r>
        <w:rPr>
          <w:sz w:val="19"/>
          <w:szCs w:val="19"/>
        </w:rPr>
        <w:t xml:space="preserve"> Phase 0 delivered ~207 commits and a shipping viewer in six weeks with AI-assisted development — the UI, commands, tests and tooling layers move several times faster than they used to.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AI carries the commands and UI layer</w:t>
      </w:r>
      <w:r>
        <w:rPr>
          <w:sz w:val="19"/>
          <w:szCs w:val="19"/>
        </w:rPr>
        <w:t xml:space="preserve"> — that is where the leverage is real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Engine work still needs people</w:t>
      </w:r>
      <w:r>
        <w:rPr>
          <w:sz w:val="19"/>
          <w:szCs w:val="19"/>
        </w:rPr>
        <w:t xml:space="preserve"> — ODA and ACIS integration, performance, vendor defects. Hire these deliberately.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This is </w:t>
      </w:r>
      <w:r>
        <w:rPr>
          <w:b/>
          <w:bCs/>
          <w:color w:val="1E3A5C"/>
          <w:sz w:val="19"/>
          <w:szCs w:val="19"/>
        </w:rPr>
        <w:t xml:space="preserve">the team the next ActCAD engine needs regardless</w:t>
      </w:r>
      <w:r>
        <w:rPr>
          <w:sz w:val="19"/>
          <w:szCs w:val="19"/>
        </w:rPr>
        <w:t xml:space="preserve"> — the platform shares it, it does not create it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we need to get right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address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 GA comes first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 around it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Build the team well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 —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Prove demand before committing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 on two signed LOIs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Keep control of the roadmap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decide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Protect our verticals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exclusion; the tier stays optional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Set a realistic pace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Each of these is a decision we hold, not a dependency we carry.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 futuristic and ownable;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strongest search position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Shortest, sharpest wordmark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; meaning maps exactly to what CAD does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Premium and distinctly Indian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conflict risk with an adjacent engineering-AI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Best BIM and infrastructure story; more crowded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TAKSH</w:t>
      </w:r>
      <w:r>
        <w:rPr>
          <w:sz w:val="19"/>
          <w:szCs w:val="19"/>
        </w:rPr>
        <w:t xml:space="preserve"> and </w:t>
      </w:r>
      <w:r>
        <w:rPr>
          <w:b/>
          <w:bCs/>
          <w:color w:val="1E3A5C"/>
          <w:sz w:val="19"/>
          <w:szCs w:val="19"/>
        </w:rPr>
        <w:t xml:space="preserve">TAKSHON</w:t>
      </w:r>
      <w:r>
        <w:rPr>
          <w:sz w:val="19"/>
          <w:szCs w:val="19"/>
        </w:rPr>
        <w:t xml:space="preserve"> are the two to take forward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Trademark and domain clearance 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16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Where we'd like to go from here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Build platform-first from the outset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Work through structure, capital and team together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2026-08-22T03:44:37.564Z</dcterms:created>
  <dcterms:modified xsi:type="dcterms:W3CDTF">2026-08-22T03:44:37.580Z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