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A next-generation CAD platform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Built in India. Licensed to the world.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Directors' briefing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ITC figures are actual. Our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What we are proposing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building </w:t>
      </w:r>
      <w:r>
        <w:rPr>
          <w:b/>
          <w:bCs/>
          <w:color w:val="1E3A5C"/>
          <w:sz w:val="19"/>
          <w:szCs w:val="19"/>
        </w:rPr>
        <w:t xml:space="preserve">an engine we own</w:t>
      </w:r>
      <w:r>
        <w:rPr>
          <w:sz w:val="19"/>
          <w:szCs w:val="19"/>
        </w:rPr>
        <w:t xml:space="preserve"> — and it is already running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same engine can carry </w:t>
      </w:r>
      <w:r>
        <w:rPr>
          <w:b/>
          <w:bCs/>
          <w:color w:val="1E3A5C"/>
          <w:sz w:val="19"/>
          <w:szCs w:val="19"/>
        </w:rPr>
        <w:t xml:space="preserve">many brands, not just ours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That makes us </w:t>
      </w:r>
      <w:r>
        <w:rPr>
          <w:b/>
          <w:bCs/>
          <w:color w:val="1E3A5C"/>
          <w:sz w:val="19"/>
          <w:szCs w:val="19"/>
        </w:rPr>
        <w:t xml:space="preserve">a platform business alongside a product business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proposal: build it platform-first from the outset.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things to work through together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Capital requirement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The team we build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Where the engineering stands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Phase 0 — six weeks, ~207 commits, 13+ releases to the ActCAD team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Customer DWG files open in the browser</w:t>
      </w:r>
      <w:r>
        <w:rPr>
          <w:sz w:val="19"/>
          <w:szCs w:val="19"/>
        </w:rPr>
        <w:t xml:space="preserve"> — both WASM and ODA inWEB backends live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Full 14-mode osnap suite</w:t>
      </w:r>
      <w:r>
        <w:rPr>
          <w:sz w:val="19"/>
          <w:szCs w:val="19"/>
        </w:rPr>
        <w:t xml:space="preserve">, measurement, count, CSV and Excel export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250,000 entities at 61 fps</w:t>
      </w:r>
      <w:r>
        <w:rPr>
          <w:sz w:val="19"/>
          <w:szCs w:val="19"/>
        </w:rPr>
        <w:t xml:space="preserve"> · regeneration 17× faster · instant zoom-extents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3D orbit, ViewCube, layouts and paper-space viewports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DWG and PDF comparison</w:t>
      </w:r>
      <w:r>
        <w:rPr>
          <w:sz w:val="19"/>
          <w:szCs w:val="19"/>
        </w:rPr>
        <w:t xml:space="preserve">, colour plotting, batch print, markups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Windows MSI shipping</w:t>
      </w:r>
      <w:r>
        <w:rPr>
          <w:sz w:val="19"/>
          <w:szCs w:val="19"/>
        </w:rPr>
        <w:t xml:space="preserve"> · macOS CI green · Android prototype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594 of 594 tests passing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Benchmarking already puts it ahead of ActCAD on many customer files — and ahead of both IntelliCAD's viewer and ODA's own.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Certain ODA capabilities are not exposed through the web stack.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To viewer launch</w:t>
      </w:r>
      <w:r>
        <w:rPr>
          <w:sz w:val="19"/>
          <w:szCs w:val="19"/>
        </w:rPr>
        <w:t xml:space="preserve"> — continue on the current Rust/Tauri and WASM stack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editor to Qt and C++ native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opens the ODA surface unavailable on web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aligns with where the ActCAD team intends to work long term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folds into the Qt stack, or remains separate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decided with data during migration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capabilities — tenant configuration, licensing, marketplace, AI — live in the C++ core either way.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opportunity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~40 IntelliCAD Consortium members</w:t>
      </w:r>
      <w:r>
        <w:rPr>
          <w:sz w:val="19"/>
          <w:szCs w:val="19"/>
        </w:rPr>
        <w:t xml:space="preserve"> — regional CAD vendors on the foundation we are leaving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 — MEP, structural, electrical, survey, solar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BIM-lite startups</w:t>
      </w:r>
      <w:r>
        <w:rPr>
          <w:sz w:val="19"/>
          <w:szCs w:val="19"/>
        </w:rPr>
        <w:t xml:space="preserve"> — needing a CAD foundation they cannot afford to 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they share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foundation that </w:t>
      </w:r>
      <w:r>
        <w:rPr>
          <w:b/>
          <w:bCs/>
          <w:color w:val="1E3A5C"/>
          <w:sz w:val="19"/>
          <w:szCs w:val="19"/>
        </w:rPr>
        <w:t xml:space="preserve">cannot deliver AI, cloud, web or mobile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 million lines of source they must maintain themselves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practical alternative</w:t>
      </w:r>
      <w:r>
        <w:rPr>
          <w:sz w:val="19"/>
          <w:szCs w:val="19"/>
        </w:rPr>
        <w:t xml:space="preserve"> short of a multi-year rebuild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Nobody is currently offering them a modern engine as a product. That is the opening.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Membership and extras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~$100,000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others)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$15–20 per sale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 module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~$7–8,000 per year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experimental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~$8,000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macOS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Web application and web editor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Linux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fee buys source code, not a product</w:t>
      </w:r>
      <w:r>
        <w:rPr>
          <w:sz w:val="19"/>
          <w:szCs w:val="19"/>
        </w:rPr>
        <w:t xml:space="preserve"> — a codebase to staff, modify and re-merge at every version uptake.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IntelliCAD is Windows-bound.</w:t>
      </w:r>
      <w:r>
        <w:rPr>
          <w:sz w:val="19"/>
          <w:szCs w:val="19"/>
        </w:rPr>
        <w:t xml:space="preserve"> macOS, Linux and the browser are not options a member can buy — </w:t>
      </w:r>
      <w:r>
        <w:rPr>
          <w:b/>
          <w:bCs/>
          <w:color w:val="1E3A5C"/>
          <w:sz w:val="19"/>
          <w:szCs w:val="19"/>
        </w:rPr>
        <w:t xml:space="preserve">they are doors that stay shut.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What we would offer instead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provides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 would provide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product they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maintenance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member's problem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defects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fixes;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work reaches rivals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fix; member receives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Member's own plugins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Entangled with engine changes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Remain theirs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Annual, coordinated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 only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Windows, macOS,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Paid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 infrastructure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sources their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Commercial model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tiers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Core</w:t>
      </w:r>
      <w:r>
        <w:rPr>
          <w:sz w:val="19"/>
          <w:szCs w:val="19"/>
        </w:rPr>
        <w:t xml:space="preserve"> — engine, DWG fidelity, white-label shell, licensing, AI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Plus</w:t>
      </w:r>
      <w:r>
        <w:rPr>
          <w:sz w:val="19"/>
          <w:szCs w:val="19"/>
        </w:rPr>
        <w:t xml:space="preserve"> — adds web application, Mac, Android, marketplace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</w:t>
      </w:r>
      <w:r>
        <w:rPr>
          <w:sz w:val="19"/>
          <w:szCs w:val="19"/>
        </w:rPr>
        <w:t xml:space="preserve"> — adds our vertical modules (Arch, Mech, Elec, BIM, GIS)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installed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 seats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Phased 50 / 75 / 100%</w:t>
      </w:r>
      <w:r>
        <w:rPr>
          <w:sz w:val="19"/>
          <w:szCs w:val="19"/>
        </w:rPr>
        <w:t xml:space="preserve"> across each member's migration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at cost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AI metered above an allowance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Financial outlook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year 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Average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Recurring revenue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Indicative 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High-margin recurring revenue, earned on engineering we are funding anyway — and a second asset on the balance sheet.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Beyond this: </w:t>
      </w:r>
      <w:r>
        <w:rPr>
          <w:b/>
          <w:bCs/>
          <w:color w:val="1E3A5C"/>
          <w:sz w:val="19"/>
          <w:szCs w:val="19"/>
        </w:rPr>
        <w:t xml:space="preserve">60–100 members</w:t>
      </w:r>
      <w:r>
        <w:rPr>
          <w:sz w:val="19"/>
          <w:szCs w:val="19"/>
        </w:rPr>
        <w:t xml:space="preserve">, direct distribution, or the </w:t>
      </w:r>
      <w:r>
        <w:rPr>
          <w:b/>
          <w:bCs/>
          <w:color w:val="1E3A5C"/>
          <w:sz w:val="19"/>
          <w:szCs w:val="19"/>
        </w:rPr>
        <w:t xml:space="preserve">3D product on C3D</w:t>
      </w:r>
      <w:r>
        <w:rPr>
          <w:sz w:val="19"/>
          <w:szCs w:val="19"/>
        </w:rPr>
        <w:t xml:space="preserve"> each open a materially larger business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Investment required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Timing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to year 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$1–2M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4–5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6–7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$30–50M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target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seed is </w:t>
      </w:r>
      <w:r>
        <w:rPr>
          <w:b/>
          <w:bCs/>
          <w:color w:val="1E3A5C"/>
          <w:sz w:val="19"/>
          <w:szCs w:val="19"/>
        </w:rPr>
        <w:t xml:space="preserve">the increment on an engine already funded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strategic investor at years 4–5 </w:t>
      </w:r>
      <w:r>
        <w:rPr>
          <w:b/>
          <w:bCs/>
          <w:color w:val="1E3A5C"/>
          <w:sz w:val="19"/>
          <w:szCs w:val="19"/>
        </w:rPr>
        <w:t xml:space="preserve">sets a valuation floor</w:t>
      </w:r>
      <w:r>
        <w:rPr>
          <w:sz w:val="19"/>
          <w:szCs w:val="19"/>
        </w:rPr>
        <w:t xml:space="preserve"> ahead of any sale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the business </w:t>
      </w:r>
      <w:r>
        <w:rPr>
          <w:b/>
          <w:bCs/>
          <w:color w:val="1E3A5C"/>
          <w:sz w:val="19"/>
          <w:szCs w:val="19"/>
        </w:rPr>
        <w:t xml:space="preserve">self-funds from year 3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Our approach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 the platform capability now. Decide on commercialisation at month 24, with real data.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multi-tenant architecture </w:t>
      </w:r>
      <w:r>
        <w:rPr>
          <w:b/>
          <w:bCs/>
          <w:color w:val="1E3A5C"/>
          <w:sz w:val="19"/>
          <w:szCs w:val="19"/>
        </w:rPr>
        <w:t xml:space="preserve">makes ActCAD better in its own right</w:t>
      </w:r>
      <w:r>
        <w:rPr>
          <w:sz w:val="19"/>
          <w:szCs w:val="19"/>
        </w:rPr>
        <w:t xml:space="preserve"> — clean core, real plugin API, configuration over hard-coding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Building it now costs </w:t>
      </w:r>
      <w:r>
        <w:rPr>
          <w:b/>
          <w:bCs/>
          <w:color w:val="1E3A5C"/>
          <w:sz w:val="19"/>
          <w:szCs w:val="19"/>
        </w:rPr>
        <w:t xml:space="preserve">3–6 engineer-months</w:t>
      </w:r>
      <w:r>
        <w:rPr>
          <w:sz w:val="19"/>
          <w:szCs w:val="19"/>
        </w:rPr>
        <w:t xml:space="preserve">. Retrofitting later means </w:t>
      </w:r>
      <w:r>
        <w:rPr>
          <w:b/>
          <w:bCs/>
          <w:color w:val="1E3A5C"/>
          <w:sz w:val="19"/>
          <w:szCs w:val="19"/>
        </w:rPr>
        <w:t xml:space="preserve">reworking six of ten modules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reach the month-24 decision </w:t>
      </w:r>
      <w:r>
        <w:rPr>
          <w:b/>
          <w:bCs/>
          <w:color w:val="1E3A5C"/>
          <w:sz w:val="19"/>
          <w:szCs w:val="19"/>
        </w:rPr>
        <w:t xml:space="preserve">having lost nothing if we decline 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Engineering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Timeline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Unchanged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alone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 member fees and royalties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Assets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One product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separable assets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What we need to get right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we address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 GA comes first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work is scoped and time-boxed around it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Build the team well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Needed for ActCAD regardless — the platform shares the cost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Prove demand before committing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Month-24 gate on two signed LOIs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Keep control of the roadmap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advise;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we decide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Protect our verticals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Named-competitor exclusion; the tier stays optional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Set a realistic pace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 case assumes 12 members over seven years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Each of these is a decision we hold, not a dependency we carry.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Governance and review gates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not met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12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8–10 qualified member conversations held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Outbound pauses; engineering continues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24, at ActCAD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members at signed LOI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Commercialisation does not proceed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Before any vertical-tier sale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conflict with ActCAD's markets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withheld from that member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Every gate is a decision this board takes, on evidence, at the time.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The name</w:t>
      </w:r>
    </w:p>
    <w:p>
      <w:pPr>
        <w:spacing w:after="100" w:before="60"/>
      </w:pPr>
      <w:r>
        <w:rPr>
          <w:sz w:val="19"/>
          <w:szCs w:val="19"/>
        </w:rPr>
        <w:t xml:space="preserve">From Sanskrit </w:t>
      </w:r>
      <w:r>
        <w:rPr>
          <w:b/>
          <w:bCs/>
          <w:color w:val="1E3A5C"/>
          <w:sz w:val="19"/>
          <w:szCs w:val="19"/>
        </w:rPr>
        <w:t xml:space="preserve">takṣ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to shape, to carve, to fashion</w:t>
      </w:r>
      <w:r>
        <w:rPr>
          <w:sz w:val="19"/>
          <w:szCs w:val="19"/>
        </w:rPr>
        <w:t xml:space="preserve">. The root of </w:t>
      </w:r>
      <w:r>
        <w:rPr>
          <w:b/>
          <w:bCs/>
          <w:color w:val="1E3A5C"/>
          <w:sz w:val="19"/>
          <w:szCs w:val="19"/>
        </w:rPr>
        <w:t xml:space="preserve">Takshashila</w:t>
      </w:r>
      <w:r>
        <w:rPr>
          <w:sz w:val="19"/>
          <w:szCs w:val="19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 Beyond Boundaries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Most futuristic and ownable;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strongest search position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Precision in Every Dimension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Shortest, sharpest wordmark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; meaning maps exactly to what CAD does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TAKSHA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Design. Simulate. Build.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Premium and distinctly Indian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conflict risk with an adjacent engineering-AI name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VISTAAR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From Structures to Skylines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Best BIM and infrastructure story; more crowded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TAKSH</w:t>
      </w:r>
      <w:r>
        <w:rPr>
          <w:sz w:val="19"/>
          <w:szCs w:val="19"/>
        </w:rPr>
        <w:t xml:space="preserve"> and </w:t>
      </w:r>
      <w:r>
        <w:rPr>
          <w:b/>
          <w:bCs/>
          <w:color w:val="1E3A5C"/>
          <w:sz w:val="19"/>
          <w:szCs w:val="19"/>
        </w:rPr>
        <w:t xml:space="preserve">TAKSHON</w:t>
      </w:r>
      <w:r>
        <w:rPr>
          <w:sz w:val="19"/>
          <w:szCs w:val="19"/>
        </w:rPr>
        <w:t xml:space="preserve"> are the two to take forward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Sub-brands follow naturally — </w:t>
      </w:r>
      <w:r>
        <w:rPr>
          <w:b/>
          <w:bCs/>
          <w:color w:val="1E3A5C"/>
          <w:sz w:val="19"/>
          <w:szCs w:val="19"/>
        </w:rPr>
        <w:t xml:space="preserve">Engine · Cloud · Forge · SDK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Trademark and domain clearance before anything external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Let's build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next-generation CAD platform, engineered in India, licensed to the world.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Where we'd like to go from here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Build platform-first from the outset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Work through structure, capital and team together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engine is already running. The question is how far we take it.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2026-08-21T16:17:01.588Z</dcterms:created>
  <dcterms:modified xsi:type="dcterms:W3CDTF">2026-08-21T16:17:01.589Z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