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400"/>
      </w:pPr>
      <w:r>
        <w:rPr>
          <w:b/>
          <w:bCs/>
          <w:color w:val="1E3A5C"/>
          <w:sz w:val="48"/>
          <w:szCs w:val="48"/>
        </w:rPr>
        <w:t xml:space="preserve">TejasCAD — Directors Briefing</w:t>
      </w:r>
    </w:p>
    <w:p>
      <w:pPr>
        <w:spacing w:after="500"/>
      </w:pPr>
      <w:r>
        <w:rPr>
          <w:color w:val="9A6B2F"/>
          <w:sz w:val="26"/>
          <w:szCs w:val="26"/>
        </w:rPr>
        <w:t xml:space="preserve">Review copy for comment</w:t>
      </w:r>
    </w:p>
    <w:p>
      <w:pPr>
        <w:pBdr>
          <w:top w:val="single" w:color="D8D0C4" w:sz="8" w:space="12"/>
        </w:pBdr>
        <w:spacing w:after="160"/>
      </w:pPr>
    </w:p>
    <w:p>
      <w:pPr>
        <w:spacing w:after="120"/>
      </w:pPr>
      <w:r>
        <w:rPr>
          <w:color w:val="5A5A5A"/>
          <w:sz w:val="20"/>
          <w:szCs w:val="20"/>
        </w:rPr>
        <w:t xml:space="preserve">This is the slide deck in document form so it can be marked up. Each slide is a numbered heading — the numbers match the presentation deck and the printed handout exactly, so a comment on "Slide 12" is unambiguous across all three.</w:t>
      </w:r>
    </w:p>
    <w:p>
      <w:pPr>
        <w:spacing w:after="120"/>
      </w:pPr>
      <w:r>
        <w:rPr>
          <w:b/>
          <w:bCs/>
          <w:color w:val="1E3A5C"/>
          <w:sz w:val="20"/>
          <w:szCs w:val="20"/>
        </w:rPr>
        <w:t xml:space="preserve">To comment: </w:t>
      </w:r>
      <w:r>
        <w:rPr>
          <w:color w:val="5A5A5A"/>
          <w:sz w:val="20"/>
          <w:szCs w:val="20"/>
        </w:rPr>
        <w:t xml:space="preserve">select the text, then Review → New Comment (Ctrl+Alt+M). Turn on Track Changes if you want to edit wording directly.</w:t>
      </w:r>
    </w:p>
    <w:p>
      <w:pPr>
        <w:spacing w:after="120"/>
      </w:pPr>
      <w:r>
        <w:rPr>
          <w:b/>
          <w:bCs/>
          <w:color w:val="1E3A5C"/>
          <w:sz w:val="20"/>
          <w:szCs w:val="20"/>
        </w:rPr>
        <w:t xml:space="preserve">Please look hardest at: </w:t>
      </w:r>
      <w:r>
        <w:rPr>
          <w:color w:val="5A5A5A"/>
          <w:sz w:val="20"/>
          <w:szCs w:val="20"/>
        </w:rPr>
        <w:t xml:space="preserve">the commitments made on the operator and division-of-labour slides (roadmap authority, separate support headcount, the competitive veto, founder-level equity), and every figure in the pricing and scenario tables. Competitor pricing is actual; our own projections are illustrative and should be challenged.</w:t>
      </w:r>
    </w:p>
    <w:p>
      <w:r>
        <w:br w:type="page"/>
      </w:r>
    </w:p>
    <w:p>
      <w:pPr>
        <w:pStyle w:val="Heading1"/>
        <w:pBdr>
          <w:bottom w:val="single" w:color="1E3A5C" w:sz="10" w:space="6"/>
        </w:pBdr>
        <w:spacing w:after="40" w:before="0"/>
      </w:pPr>
      <w:r>
        <w:rPr>
          <w:b/>
          <w:bCs/>
          <w:color w:val="9A6B2F"/>
          <w:sz w:val="24"/>
          <w:szCs w:val="24"/>
        </w:rPr>
        <w:t xml:space="preserve">Slide 1 — </w:t>
      </w:r>
      <w:r>
        <w:rPr>
          <w:b/>
          <w:bCs/>
          <w:color w:val="1E3A5C"/>
          <w:sz w:val="26"/>
          <w:szCs w:val="26"/>
        </w:rPr>
        <w:t xml:space="preserve">A next-generation CAD platform</w:t>
      </w:r>
    </w:p>
    <w:p>
      <w:pPr>
        <w:spacing w:after="80" w:before="200"/>
      </w:pPr>
      <w:r>
        <w:rPr>
          <w:b/>
          <w:bCs/>
          <w:color w:val="102542"/>
          <w:sz w:val="22"/>
          <w:szCs w:val="22"/>
        </w:rPr>
        <w:t xml:space="preserve">Built in India. Licensed to the world.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Directors' briefing</w:t>
      </w:r>
    </w:p>
    <w:p>
      <w:pPr>
        <w:spacing w:after="100" w:before="60"/>
      </w:pPr>
      <w:r>
        <w:rPr>
          <w:i/>
          <w:iCs/>
          <w:sz w:val="19"/>
          <w:szCs w:val="19"/>
        </w:rPr>
        <w:t xml:space="preserve">ITC figures are actual. Our projections are illustrative.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2 — </w:t>
      </w:r>
      <w:r>
        <w:rPr>
          <w:b/>
          <w:bCs/>
          <w:color w:val="1E3A5C"/>
          <w:sz w:val="26"/>
          <w:szCs w:val="26"/>
        </w:rPr>
        <w:t xml:space="preserve">What we are proposing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We are building </w:t>
      </w:r>
      <w:r>
        <w:rPr>
          <w:b/>
          <w:bCs/>
          <w:color w:val="1E3A5C"/>
          <w:sz w:val="19"/>
          <w:szCs w:val="19"/>
        </w:rPr>
        <w:t xml:space="preserve">an engine we own</w:t>
      </w:r>
      <w:r>
        <w:rPr>
          <w:sz w:val="19"/>
          <w:szCs w:val="19"/>
        </w:rPr>
        <w:t xml:space="preserve"> — and it is already running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same engine can carry </w:t>
      </w:r>
      <w:r>
        <w:rPr>
          <w:b/>
          <w:bCs/>
          <w:color w:val="1E3A5C"/>
          <w:sz w:val="19"/>
          <w:szCs w:val="19"/>
        </w:rPr>
        <w:t xml:space="preserve">many brands, not just ours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That makes us </w:t>
      </w:r>
      <w:r>
        <w:rPr>
          <w:b/>
          <w:bCs/>
          <w:color w:val="1E3A5C"/>
          <w:sz w:val="19"/>
          <w:szCs w:val="19"/>
        </w:rPr>
        <w:t xml:space="preserve">a platform business alongside a product business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The proposal: build it platform-first from the outset.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Three things to work through together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Corporate structure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Capital requirement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The team we build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3 — </w:t>
      </w:r>
      <w:r>
        <w:rPr>
          <w:b/>
          <w:bCs/>
          <w:color w:val="1E3A5C"/>
          <w:sz w:val="26"/>
          <w:szCs w:val="26"/>
        </w:rPr>
        <w:t xml:space="preserve">Where the engineering stands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Phase 0 — six weeks, ~207 commits, 13+ releases to the ActCAD team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Customer DWG files open in the browser</w:t>
      </w:r>
      <w:r>
        <w:rPr>
          <w:sz w:val="19"/>
          <w:szCs w:val="19"/>
        </w:rPr>
        <w:t xml:space="preserve"> — both WASM and ODA inWEB backends live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Full 14-mode osnap suite</w:t>
      </w:r>
      <w:r>
        <w:rPr>
          <w:sz w:val="19"/>
          <w:szCs w:val="19"/>
        </w:rPr>
        <w:t xml:space="preserve">, measurement, count, CSV and Excel export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250,000 entities at 61 fps</w:t>
      </w:r>
      <w:r>
        <w:rPr>
          <w:sz w:val="19"/>
          <w:szCs w:val="19"/>
        </w:rPr>
        <w:t xml:space="preserve"> · regeneration 17× faster · instant zoom-extents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3D orbit, ViewCube, layouts and paper-space viewports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DWG and PDF comparison</w:t>
      </w:r>
      <w:r>
        <w:rPr>
          <w:sz w:val="19"/>
          <w:szCs w:val="19"/>
        </w:rPr>
        <w:t xml:space="preserve">, colour plotting, batch print, markups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Windows MSI shipping</w:t>
      </w:r>
      <w:r>
        <w:rPr>
          <w:sz w:val="19"/>
          <w:szCs w:val="19"/>
        </w:rPr>
        <w:t xml:space="preserve"> · macOS CI green · Android prototype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594 of 594 tests passing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Benchmarking already puts it ahead of ActCAD on many customer files — and ahead of both IntelliCAD's viewer and ODA's own.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4 — </w:t>
      </w:r>
      <w:r>
        <w:rPr>
          <w:b/>
          <w:bCs/>
          <w:color w:val="1E3A5C"/>
          <w:sz w:val="26"/>
          <w:szCs w:val="26"/>
        </w:rPr>
        <w:t xml:space="preserve">Architecture for the editor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Certain ODA capabilities are not exposed through the web stack.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To viewer launch</w:t>
      </w:r>
      <w:r>
        <w:rPr>
          <w:sz w:val="19"/>
          <w:szCs w:val="19"/>
        </w:rPr>
        <w:t xml:space="preserve"> — continue on the current Rust/Tauri and WASM stack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After launch</w:t>
      </w:r>
      <w:r>
        <w:rPr>
          <w:sz w:val="19"/>
          <w:szCs w:val="19"/>
        </w:rPr>
        <w:t xml:space="preserve"> — </w:t>
      </w:r>
      <w:r>
        <w:rPr>
          <w:b/>
          <w:bCs/>
          <w:color w:val="1E3A5C"/>
          <w:sz w:val="19"/>
          <w:szCs w:val="19"/>
        </w:rPr>
        <w:t xml:space="preserve">migrate the full editor to Qt and C++ native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opens the ODA surface unavailable on web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aligns with where the ActCAD team intends to work long term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The web viewer</w:t>
      </w:r>
      <w:r>
        <w:rPr>
          <w:sz w:val="19"/>
          <w:szCs w:val="19"/>
        </w:rPr>
        <w:t xml:space="preserve"> — folds into the Qt stack, or remains separate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decided with data during migration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The platform capabilities — tenant configuration, licensing, marketplace, AI — live in the C++ core either way.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5 — </w:t>
      </w:r>
      <w:r>
        <w:rPr>
          <w:b/>
          <w:bCs/>
          <w:color w:val="1E3A5C"/>
          <w:sz w:val="26"/>
          <w:szCs w:val="26"/>
        </w:rPr>
        <w:t xml:space="preserve">The opportunity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~40 IntelliCAD Consortium members</w:t>
      </w:r>
      <w:r>
        <w:rPr>
          <w:sz w:val="19"/>
          <w:szCs w:val="19"/>
        </w:rPr>
        <w:t xml:space="preserve"> — regional CAD vendors on the foundation we are leaving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~200 vertical ISVs</w:t>
      </w:r>
      <w:r>
        <w:rPr>
          <w:sz w:val="19"/>
          <w:szCs w:val="19"/>
        </w:rPr>
        <w:t xml:space="preserve"> — MEP, structural, electrical, survey, solar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BIM-lite startups</w:t>
      </w:r>
      <w:r>
        <w:rPr>
          <w:sz w:val="19"/>
          <w:szCs w:val="19"/>
        </w:rPr>
        <w:t xml:space="preserve"> — needing a CAD foundation they cannot afford to build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What they share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 foundation that </w:t>
      </w:r>
      <w:r>
        <w:rPr>
          <w:b/>
          <w:bCs/>
          <w:color w:val="1E3A5C"/>
          <w:sz w:val="19"/>
          <w:szCs w:val="19"/>
        </w:rPr>
        <w:t xml:space="preserve">cannot deliver AI, cloud, web or mobile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 million lines of source they must maintain themselves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No practical alternative</w:t>
      </w:r>
      <w:r>
        <w:rPr>
          <w:sz w:val="19"/>
          <w:szCs w:val="19"/>
        </w:rPr>
        <w:t xml:space="preserve"> short of a multi-year rebuild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Nobody is currently offering them a modern engine as a product. That is the opening.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6 — </w:t>
      </w:r>
      <w:r>
        <w:rPr>
          <w:b/>
          <w:bCs/>
          <w:color w:val="1E3A5C"/>
          <w:sz w:val="26"/>
          <w:szCs w:val="26"/>
        </w:rPr>
        <w:t xml:space="preserve">What we pay IntelliCAD today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Membership and extras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~$100,000 per year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Per-seat royalty to ITC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None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Component royalties (ACIS and others)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$15–20 per sale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AI module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~$7–8,000 per year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experimental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Android viewer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~$8,000 per year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macOS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Not available at any price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Web application and web editor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Not available at any price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Linux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Not available at any price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The fee buys source code, not a product</w:t>
      </w:r>
      <w:r>
        <w:rPr>
          <w:sz w:val="19"/>
          <w:szCs w:val="19"/>
        </w:rPr>
        <w:t xml:space="preserve"> — a codebase to staff, modify and re-merge at every version uptake.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IntelliCAD is Windows-bound.</w:t>
      </w:r>
      <w:r>
        <w:rPr>
          <w:sz w:val="19"/>
          <w:szCs w:val="19"/>
        </w:rPr>
        <w:t xml:space="preserve"> macOS, Linux and the browser are not options a member can buy — </w:t>
      </w:r>
      <w:r>
        <w:rPr>
          <w:b/>
          <w:bCs/>
          <w:color w:val="1E3A5C"/>
          <w:sz w:val="19"/>
          <w:szCs w:val="19"/>
        </w:rPr>
        <w:t xml:space="preserve">they are doors that stay shut.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7 — </w:t>
      </w:r>
      <w:r>
        <w:rPr>
          <w:b/>
          <w:bCs/>
          <w:color w:val="1E3A5C"/>
          <w:sz w:val="26"/>
          <w:szCs w:val="26"/>
        </w:rPr>
        <w:t xml:space="preserve">What we would offer instead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IntelliCAD provides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We would provide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~1M lines of source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 product they configure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 maintenance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The member's problem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Ours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 defects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 fixes;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work reaches rivals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We fix; member receives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Member's own plugins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Entangled with engine changes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Remain theirs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Release cadence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Annual, coordinated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Rolling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Platform reach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Windows only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Windows, macOS, Linux, web, Android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AI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Paid add-on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Included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Licensing infrastructure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 sources their own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Included, and platform-blind</w:t>
            </w:r>
          </w:p>
        </w:tc>
      </w:tr>
    </w:tbl>
    <w:p>
      <w:pPr>
        <w:spacing w:after="140"/>
      </w:pP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8 — </w:t>
      </w:r>
      <w:r>
        <w:rPr>
          <w:b/>
          <w:bCs/>
          <w:color w:val="1E3A5C"/>
          <w:sz w:val="26"/>
          <w:szCs w:val="26"/>
        </w:rPr>
        <w:t xml:space="preserve">Commercial model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Three tiers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Core</w:t>
      </w:r>
      <w:r>
        <w:rPr>
          <w:sz w:val="19"/>
          <w:szCs w:val="19"/>
        </w:rPr>
        <w:t xml:space="preserve"> — engine, DWG fidelity, white-label shell, licensing, AI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Plus</w:t>
      </w:r>
      <w:r>
        <w:rPr>
          <w:sz w:val="19"/>
          <w:szCs w:val="19"/>
        </w:rPr>
        <w:t xml:space="preserve"> — adds web application, Mac, Android, marketplace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Complete</w:t>
      </w:r>
      <w:r>
        <w:rPr>
          <w:sz w:val="19"/>
          <w:szCs w:val="19"/>
        </w:rPr>
        <w:t xml:space="preserve"> — adds our vertical modules (Arch, Mech, Elec, BIM, GIS)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Member's installed base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Core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Plus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Complete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Under 5,000 seats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$45K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$65K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$90K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5,000–20,000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$80K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$110K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$150K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20,000–50,000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$130K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$170K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$220K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50,000+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$190K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$240K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$300K</w:t>
            </w:r>
          </w:p>
        </w:tc>
      </w:tr>
    </w:tbl>
    <w:p>
      <w:pPr>
        <w:spacing w:after="140"/>
      </w:pP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Phased 50 / 75 / 100%</w:t>
      </w:r>
      <w:r>
        <w:rPr>
          <w:sz w:val="19"/>
          <w:szCs w:val="19"/>
        </w:rPr>
        <w:t xml:space="preserve"> across each member's migration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Component royalties at cost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AI metered above an allowance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9 — </w:t>
      </w:r>
      <w:r>
        <w:rPr>
          <w:b/>
          <w:bCs/>
          <w:color w:val="1E3A5C"/>
          <w:sz w:val="26"/>
          <w:szCs w:val="26"/>
        </w:rPr>
        <w:t xml:space="preserve">Financial outlook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Conservative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Aggressive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Members by year 7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12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Average fee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~$70K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~$110K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~$170K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Recurring revenue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~$425K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~$1.7M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~$4.3M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Contribution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~$290K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~$1.2M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~$3.1M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Indicative value at 6–8×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~$10–13M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~$26–34M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High-margin recurring revenue, earned on engineering we are funding anyway — and a second asset on the balance sheet.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Beyond this: </w:t>
      </w:r>
      <w:r>
        <w:rPr>
          <w:b/>
          <w:bCs/>
          <w:color w:val="1E3A5C"/>
          <w:sz w:val="19"/>
          <w:szCs w:val="19"/>
        </w:rPr>
        <w:t xml:space="preserve">60–100 members</w:t>
      </w:r>
      <w:r>
        <w:rPr>
          <w:sz w:val="19"/>
          <w:szCs w:val="19"/>
        </w:rPr>
        <w:t xml:space="preserve">, direct distribution, or the </w:t>
      </w:r>
      <w:r>
        <w:rPr>
          <w:b/>
          <w:bCs/>
          <w:color w:val="1E3A5C"/>
          <w:sz w:val="19"/>
          <w:szCs w:val="19"/>
        </w:rPr>
        <w:t xml:space="preserve">3D product on C3D</w:t>
      </w:r>
      <w:r>
        <w:rPr>
          <w:sz w:val="19"/>
          <w:szCs w:val="19"/>
        </w:rPr>
        <w:t xml:space="preserve"> each open a materially larger business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10 — </w:t>
      </w:r>
      <w:r>
        <w:rPr>
          <w:b/>
          <w:bCs/>
          <w:color w:val="1E3A5C"/>
          <w:sz w:val="26"/>
          <w:szCs w:val="26"/>
        </w:rPr>
        <w:t xml:space="preserve">Investment required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Timing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Amount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Promoter seed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Now to year 2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₹2 crore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Strategic round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(optional)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Years 4–5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$5–10M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Exit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Years 6–7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$30–50M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target</w:t>
            </w:r>
          </w:p>
        </w:tc>
      </w:tr>
    </w:tbl>
    <w:p>
      <w:pPr>
        <w:spacing w:after="140"/>
      </w:pP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seed </w:t>
      </w:r>
      <w:r>
        <w:rPr>
          <w:b/>
          <w:bCs/>
          <w:color w:val="1E3A5C"/>
          <w:sz w:val="19"/>
          <w:szCs w:val="19"/>
        </w:rPr>
        <w:t xml:space="preserve">funds the two-year build team</w:t>
      </w:r>
      <w:r>
        <w:rPr>
          <w:sz w:val="19"/>
          <w:szCs w:val="19"/>
        </w:rPr>
        <w:t xml:space="preserve"> — next slide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 strategic investor at years 4–5 </w:t>
      </w:r>
      <w:r>
        <w:rPr>
          <w:b/>
          <w:bCs/>
          <w:color w:val="1E3A5C"/>
          <w:sz w:val="19"/>
          <w:szCs w:val="19"/>
        </w:rPr>
        <w:t xml:space="preserve">sets a valuation floor</w:t>
      </w:r>
      <w:r>
        <w:rPr>
          <w:sz w:val="19"/>
          <w:szCs w:val="19"/>
        </w:rPr>
        <w:t xml:space="preserve"> ahead of any sale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At ~70% margins the business </w:t>
      </w:r>
      <w:r>
        <w:rPr>
          <w:b/>
          <w:bCs/>
          <w:color w:val="1E3A5C"/>
          <w:sz w:val="19"/>
          <w:szCs w:val="19"/>
        </w:rPr>
        <w:t xml:space="preserve">self-funds from year 3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11 — </w:t>
      </w:r>
      <w:r>
        <w:rPr>
          <w:b/>
          <w:bCs/>
          <w:color w:val="1E3A5C"/>
          <w:sz w:val="26"/>
          <w:szCs w:val="26"/>
        </w:rPr>
        <w:t xml:space="preserve">Team required — the two-year build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Headcount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Cost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CAD engine developers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2–4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₹100 lakh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Commands and UI developers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3–5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₹50 lakh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Marketing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₹25 lakh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Total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6–10 people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₹1.75 crore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₹2 crore seed against a ₹1.75 crore build — funded, with headroom.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A team this size is viable because of how we are building.</w:t>
      </w:r>
      <w:r>
        <w:rPr>
          <w:sz w:val="19"/>
          <w:szCs w:val="19"/>
        </w:rPr>
        <w:t xml:space="preserve"> Phase 0 delivered ~207 commits and a shipping viewer in six weeks with AI-assisted development — the UI, commands, tests and tooling layers move several times faster than they used to.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AI carries the commands and UI layer</w:t>
      </w:r>
      <w:r>
        <w:rPr>
          <w:sz w:val="19"/>
          <w:szCs w:val="19"/>
        </w:rPr>
        <w:t xml:space="preserve"> — that is where the leverage is real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Engine work still needs people</w:t>
      </w:r>
      <w:r>
        <w:rPr>
          <w:sz w:val="19"/>
          <w:szCs w:val="19"/>
        </w:rPr>
        <w:t xml:space="preserve"> — ODA and ACIS integration, performance, vendor defects. Hire these deliberately.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This is </w:t>
      </w:r>
      <w:r>
        <w:rPr>
          <w:b/>
          <w:bCs/>
          <w:color w:val="1E3A5C"/>
          <w:sz w:val="19"/>
          <w:szCs w:val="19"/>
        </w:rPr>
        <w:t xml:space="preserve">the team the next ActCAD engine needs regardless</w:t>
      </w:r>
      <w:r>
        <w:rPr>
          <w:sz w:val="19"/>
          <w:szCs w:val="19"/>
        </w:rPr>
        <w:t xml:space="preserve"> — the platform shares it, it does not create it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12 — </w:t>
      </w:r>
      <w:r>
        <w:rPr>
          <w:b/>
          <w:bCs/>
          <w:color w:val="1E3A5C"/>
          <w:sz w:val="26"/>
          <w:szCs w:val="26"/>
        </w:rPr>
        <w:t xml:space="preserve">Our approach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Build the platform capability now. Decide on commercialisation at month 24, with real data.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multi-tenant architecture </w:t>
      </w:r>
      <w:r>
        <w:rPr>
          <w:b/>
          <w:bCs/>
          <w:color w:val="1E3A5C"/>
          <w:sz w:val="19"/>
          <w:szCs w:val="19"/>
        </w:rPr>
        <w:t xml:space="preserve">makes ActCAD better in its own right</w:t>
      </w:r>
      <w:r>
        <w:rPr>
          <w:sz w:val="19"/>
          <w:szCs w:val="19"/>
        </w:rPr>
        <w:t xml:space="preserve"> — clean core, real plugin API, configuration over hard-coding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Building it now costs </w:t>
      </w:r>
      <w:r>
        <w:rPr>
          <w:b/>
          <w:bCs/>
          <w:color w:val="1E3A5C"/>
          <w:sz w:val="19"/>
          <w:szCs w:val="19"/>
        </w:rPr>
        <w:t xml:space="preserve">3–6 engineer-months</w:t>
      </w:r>
      <w:r>
        <w:rPr>
          <w:sz w:val="19"/>
          <w:szCs w:val="19"/>
        </w:rPr>
        <w:t xml:space="preserve">. Retrofitting later means </w:t>
      </w:r>
      <w:r>
        <w:rPr>
          <w:b/>
          <w:bCs/>
          <w:color w:val="1E3A5C"/>
          <w:sz w:val="19"/>
          <w:szCs w:val="19"/>
        </w:rPr>
        <w:t xml:space="preserve">reworking six of ten modules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We reach the month-24 decision </w:t>
      </w:r>
      <w:r>
        <w:rPr>
          <w:b/>
          <w:bCs/>
          <w:color w:val="1E3A5C"/>
          <w:sz w:val="19"/>
          <w:szCs w:val="19"/>
        </w:rPr>
        <w:t xml:space="preserve">having lost nothing if we decline it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ActCAD only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Platform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Engineering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Timeline to GA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~24 months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Unchanged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Revenue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ActCAD alone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Plus member fees and royalties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Assets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One product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Two separable assets</w:t>
            </w:r>
          </w:p>
        </w:tc>
      </w:tr>
    </w:tbl>
    <w:p>
      <w:pPr>
        <w:spacing w:after="140"/>
      </w:pP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13 — </w:t>
      </w:r>
      <w:r>
        <w:rPr>
          <w:b/>
          <w:bCs/>
          <w:color w:val="1E3A5C"/>
          <w:sz w:val="26"/>
          <w:szCs w:val="26"/>
        </w:rPr>
        <w:t xml:space="preserve">What we need to get right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we address it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ActCAD GA comes first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Platform work is scoped and time-boxed around it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Build the team well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Needed for ActCAD regardless — the platform shares the cost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Prove demand before committing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Month-24 gate on two signed LOIs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Keep control of the roadmap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Members advise;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we decide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Protect our verticals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Named-competitor exclusion; the tier stays optional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Set a realistic pace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Base case assumes 12 members over seven years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Each of these is a decision we hold, not a dependency we carry.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14 — </w:t>
      </w:r>
      <w:r>
        <w:rPr>
          <w:b/>
          <w:bCs/>
          <w:color w:val="1E3A5C"/>
          <w:sz w:val="26"/>
          <w:szCs w:val="26"/>
        </w:rPr>
        <w:t xml:space="preserve">Governance and review gates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Point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Test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If not met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Month 12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8–10 qualified member conversations held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Outbound pauses; engineering continues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Month 24, at ActCAD GA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Two members at signed LOI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Commercialisation does not proceed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Before any vertical-tier sale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 conflict with ActCAD's markets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Tier withheld from that member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Every gate is a decision this board takes, on evidence, at the time.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15 — </w:t>
      </w:r>
      <w:r>
        <w:rPr>
          <w:b/>
          <w:bCs/>
          <w:color w:val="1E3A5C"/>
          <w:sz w:val="26"/>
          <w:szCs w:val="26"/>
        </w:rPr>
        <w:t xml:space="preserve">The name</w:t>
      </w:r>
    </w:p>
    <w:p>
      <w:pPr>
        <w:spacing w:after="100" w:before="60"/>
      </w:pPr>
      <w:r>
        <w:rPr>
          <w:sz w:val="19"/>
          <w:szCs w:val="19"/>
        </w:rPr>
        <w:t xml:space="preserve">From Sanskrit </w:t>
      </w:r>
      <w:r>
        <w:rPr>
          <w:b/>
          <w:bCs/>
          <w:color w:val="1E3A5C"/>
          <w:sz w:val="19"/>
          <w:szCs w:val="19"/>
        </w:rPr>
        <w:t xml:space="preserve">takṣ</w:t>
      </w:r>
      <w:r>
        <w:rPr>
          <w:sz w:val="19"/>
          <w:szCs w:val="19"/>
        </w:rPr>
        <w:t xml:space="preserve"> — </w:t>
      </w:r>
      <w:r>
        <w:rPr>
          <w:i/>
          <w:iCs/>
          <w:sz w:val="19"/>
          <w:szCs w:val="19"/>
        </w:rPr>
        <w:t xml:space="preserve">to shape, to carve, to fashion</w:t>
      </w:r>
      <w:r>
        <w:rPr>
          <w:sz w:val="19"/>
          <w:szCs w:val="19"/>
        </w:rPr>
        <w:t xml:space="preserve">. The root of </w:t>
      </w:r>
      <w:r>
        <w:rPr>
          <w:b/>
          <w:bCs/>
          <w:color w:val="1E3A5C"/>
          <w:sz w:val="19"/>
          <w:szCs w:val="19"/>
        </w:rPr>
        <w:t xml:space="preserve">Takshashila</w:t>
      </w:r>
      <w:r>
        <w:rPr>
          <w:sz w:val="19"/>
          <w:szCs w:val="19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Line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TAKSHON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Design Beyond Boundaries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Most futuristic and ownable;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strongest search position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TAKSH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Precision in Every Dimension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Shortest, sharpest wordmark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; meaning maps exactly to what CAD does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TAKSHA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Design. Simulate. Build.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Premium and distinctly Indian —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conflict risk with an adjacent engineering-AI name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VISTAAR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From Structures to Skylines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Best BIM and infrastructure story; more crowded</w:t>
            </w:r>
          </w:p>
        </w:tc>
      </w:tr>
    </w:tbl>
    <w:p>
      <w:pPr>
        <w:spacing w:after="140"/>
      </w:pP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TAKSH</w:t>
      </w:r>
      <w:r>
        <w:rPr>
          <w:sz w:val="19"/>
          <w:szCs w:val="19"/>
        </w:rPr>
        <w:t xml:space="preserve"> and </w:t>
      </w:r>
      <w:r>
        <w:rPr>
          <w:b/>
          <w:bCs/>
          <w:color w:val="1E3A5C"/>
          <w:sz w:val="19"/>
          <w:szCs w:val="19"/>
        </w:rPr>
        <w:t xml:space="preserve">TAKSHON</w:t>
      </w:r>
      <w:r>
        <w:rPr>
          <w:sz w:val="19"/>
          <w:szCs w:val="19"/>
        </w:rPr>
        <w:t xml:space="preserve"> are the two to take forward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Sub-brands follow naturally — </w:t>
      </w:r>
      <w:r>
        <w:rPr>
          <w:b/>
          <w:bCs/>
          <w:color w:val="1E3A5C"/>
          <w:sz w:val="19"/>
          <w:szCs w:val="19"/>
        </w:rPr>
        <w:t xml:space="preserve">Engine · Cloud · Forge · SDK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Trademark and domain clearance before anything external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16 — </w:t>
      </w:r>
      <w:r>
        <w:rPr>
          <w:b/>
          <w:bCs/>
          <w:color w:val="1E3A5C"/>
          <w:sz w:val="26"/>
          <w:szCs w:val="26"/>
        </w:rPr>
        <w:t xml:space="preserve">Let's build it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A next-generation CAD platform, engineered in India, licensed to the world.</w:t>
      </w:r>
    </w:p>
    <w:p>
      <w:pPr>
        <w:spacing w:after="80" w:before="200"/>
      </w:pPr>
      <w:r>
        <w:rPr>
          <w:b/>
          <w:bCs/>
          <w:color w:val="102542"/>
          <w:sz w:val="22"/>
          <w:szCs w:val="22"/>
        </w:rPr>
        <w:t xml:space="preserve">Where we'd like to go from here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Build platform-first from the outset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Work through structure, capital and team together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The engine is already running. The question is how far we take it.</w:t>
      </w:r>
    </w:p>
    <w:sectPr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TejasCAD Directors Briefing — review copy</dc:title>
  <dc:creator>TejasCAD</dc:creator>
  <dc:description>Slide deck in document form for comment and markup</dc:description>
  <cp:lastModifiedBy>Un-named</cp:lastModifiedBy>
  <cp:revision>1</cp:revision>
  <dcterms:created xsi:type="dcterms:W3CDTF">2026-08-22T03:14:45.950Z</dcterms:created>
  <dcterms:modified xsi:type="dcterms:W3CDTF">2026-08-22T03:14:45.961Z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