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400"/>
      </w:pPr>
      <w:r>
        <w:rPr>
          <w:b/>
          <w:bCs/>
          <w:color w:val="1E3A5C"/>
          <w:sz w:val="48"/>
          <w:szCs w:val="48"/>
        </w:rPr>
        <w:t xml:space="preserve">TejasCAD — Directors Briefing</w:t>
      </w:r>
    </w:p>
    <w:p>
      <w:pPr>
        <w:spacing w:after="500"/>
      </w:pPr>
      <w:r>
        <w:rPr>
          <w:color w:val="9A6B2F"/>
          <w:sz w:val="26"/>
          <w:szCs w:val="26"/>
        </w:rPr>
        <w:t xml:space="preserve">Review copy for comment</w:t>
      </w:r>
    </w:p>
    <w:p>
      <w:pPr>
        <w:pBdr>
          <w:top w:val="single" w:color="D8D0C4" w:sz="8" w:space="12"/>
        </w:pBdr>
        <w:spacing w:after="160"/>
      </w:pPr>
    </w:p>
    <w:p>
      <w:pPr>
        <w:spacing w:after="120"/>
      </w:pPr>
      <w:r>
        <w:rPr>
          <w:color w:val="5A5A5A"/>
          <w:sz w:val="20"/>
          <w:szCs w:val="20"/>
        </w:rPr>
        <w:t xml:space="preserve">This is the slide deck in document form so it can be marked up. Each slide is a numbered heading — the numbers match the presentation deck and the printed handout exactly, so a comment on "Slide 12" is unambiguous across all three.</w:t>
      </w:r>
    </w:p>
    <w:p>
      <w:pPr>
        <w:spacing w:after="120"/>
      </w:pPr>
      <w:r>
        <w:rPr>
          <w:b/>
          <w:bCs/>
          <w:color w:val="1E3A5C"/>
          <w:sz w:val="20"/>
          <w:szCs w:val="20"/>
        </w:rPr>
        <w:t xml:space="preserve">To comment: </w:t>
      </w:r>
      <w:r>
        <w:rPr>
          <w:color w:val="5A5A5A"/>
          <w:sz w:val="20"/>
          <w:szCs w:val="20"/>
        </w:rPr>
        <w:t xml:space="preserve">select the text, then Review → New Comment (Ctrl+Alt+M). Turn on Track Changes if you want to edit wording directly.</w:t>
      </w:r>
    </w:p>
    <w:p>
      <w:pPr>
        <w:spacing w:after="120"/>
      </w:pPr>
      <w:r>
        <w:rPr>
          <w:b/>
          <w:bCs/>
          <w:color w:val="1E3A5C"/>
          <w:sz w:val="20"/>
          <w:szCs w:val="20"/>
        </w:rPr>
        <w:t xml:space="preserve">Please look hardest at: </w:t>
      </w:r>
      <w:r>
        <w:rPr>
          <w:color w:val="5A5A5A"/>
          <w:sz w:val="20"/>
          <w:szCs w:val="20"/>
        </w:rPr>
        <w:t xml:space="preserve">the commitments made on the operator and division-of-labour slides (roadmap authority, separate support headcount, the competitive veto, founder-level equity), and every figure in the pricing and scenario tables. Competitor pricing is actual; our own projections are illustrative and should be challenged.</w:t>
      </w:r>
    </w:p>
    <w:p>
      <w:r>
        <w:br w:type="page"/>
      </w:r>
    </w:p>
    <w:p>
      <w:pPr>
        <w:pStyle w:val="Heading1"/>
        <w:pBdr>
          <w:bottom w:val="single" w:color="1E3A5C" w:sz="10" w:space="6"/>
        </w:pBdr>
        <w:spacing w:after="40" w:before="0"/>
      </w:pPr>
      <w:r>
        <w:rPr>
          <w:b/>
          <w:bCs/>
          <w:color w:val="9A6B2F"/>
          <w:sz w:val="24"/>
          <w:szCs w:val="24"/>
        </w:rPr>
        <w:t xml:space="preserve">Slide 1 — </w:t>
      </w:r>
      <w:r>
        <w:rPr>
          <w:b/>
          <w:bCs/>
          <w:color w:val="1E3A5C"/>
          <w:sz w:val="26"/>
          <w:szCs w:val="26"/>
        </w:rPr>
        <w:t xml:space="preserve">Building for ActCAD, or building for the world?</w:t>
      </w:r>
    </w:p>
    <w:p>
      <w:pPr>
        <w:spacing w:after="80" w:before="200"/>
      </w:pPr>
      <w:r>
        <w:rPr>
          <w:b/>
          <w:bCs/>
          <w:color w:val="102542"/>
          <w:sz w:val="22"/>
          <w:szCs w:val="22"/>
        </w:rPr>
        <w:t xml:space="preserve">A directors briefing — for discussion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Working brand TejasCAD, pending TM clearance.</w:t>
      </w:r>
    </w:p>
    <w:p>
      <w:pPr>
        <w:spacing w:after="100" w:before="60"/>
      </w:pPr>
      <w:r>
        <w:rPr>
          <w:sz w:val="19"/>
          <w:szCs w:val="19"/>
        </w:rPr>
        <w:t xml:space="preserve">ITC pricing is what we actually pay. Our own projections are illustrative.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2 — </w:t>
      </w:r>
      <w:r>
        <w:rPr>
          <w:b/>
          <w:bCs/>
          <w:color w:val="1E3A5C"/>
          <w:sz w:val="26"/>
          <w:szCs w:val="26"/>
        </w:rPr>
        <w:t xml:space="preserve">The decision on the table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We are </w:t>
      </w:r>
      <w:r>
        <w:rPr>
          <w:b/>
          <w:bCs/>
          <w:color w:val="1E3A5C"/>
          <w:sz w:val="19"/>
          <w:szCs w:val="19"/>
        </w:rPr>
        <w:t xml:space="preserve">already</w:t>
      </w:r>
      <w:r>
        <w:rPr>
          <w:sz w:val="19"/>
          <w:szCs w:val="19"/>
        </w:rPr>
        <w:t xml:space="preserve"> re-architecting ActCAD off IntelliCAD. </w:t>
      </w:r>
      <w:r>
        <w:rPr>
          <w:b/>
          <w:bCs/>
          <w:color w:val="1E3A5C"/>
          <w:sz w:val="19"/>
          <w:szCs w:val="19"/>
        </w:rPr>
        <w:t xml:space="preserve">That continues either way.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The question is one level up: </w:t>
      </w:r>
      <w:r>
        <w:rPr>
          <w:b/>
          <w:bCs/>
          <w:color w:val="1E3A5C"/>
          <w:sz w:val="19"/>
          <w:szCs w:val="19"/>
        </w:rPr>
        <w:t xml:space="preserve">do we build it only for ActCAD, or as a platform other CAD vendors license under their own brand?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Every seam we build for ActCAD — tenant profile, licensing, plugin host, AI — </w:t>
      </w:r>
      <w:r>
        <w:rPr>
          <w:b/>
          <w:bCs/>
          <w:color w:val="1E3A5C"/>
          <w:sz w:val="19"/>
          <w:szCs w:val="19"/>
        </w:rPr>
        <w:t xml:space="preserve">is what a white-label platform needs anyway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The market is specific: </w:t>
      </w:r>
      <w:r>
        <w:rPr>
          <w:b/>
          <w:bCs/>
          <w:color w:val="1E3A5C"/>
          <w:sz w:val="19"/>
          <w:szCs w:val="19"/>
        </w:rPr>
        <w:t xml:space="preserve">~40 ITC members</w:t>
      </w:r>
      <w:r>
        <w:rPr>
          <w:sz w:val="19"/>
          <w:szCs w:val="19"/>
        </w:rPr>
        <w:t xml:space="preserve">, </w:t>
      </w:r>
      <w:r>
        <w:rPr>
          <w:b/>
          <w:bCs/>
          <w:color w:val="1E3A5C"/>
          <w:sz w:val="19"/>
          <w:szCs w:val="19"/>
        </w:rPr>
        <w:t xml:space="preserve">~200 vertical ISVs</w:t>
      </w:r>
      <w:r>
        <w:rPr>
          <w:sz w:val="19"/>
          <w:szCs w:val="19"/>
        </w:rPr>
        <w:t xml:space="preserve">, BIM-lite startups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"Can we build it" is settled</w:t>
      </w:r>
      <w:r>
        <w:rPr>
          <w:sz w:val="19"/>
          <w:szCs w:val="19"/>
        </w:rPr>
        <w:t xml:space="preserve"> — Phase 0 ships today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3 — </w:t>
      </w:r>
      <w:r>
        <w:rPr>
          <w:b/>
          <w:bCs/>
          <w:color w:val="1E3A5C"/>
          <w:sz w:val="26"/>
          <w:szCs w:val="26"/>
        </w:rPr>
        <w:t xml:space="preserve">Phase 0 today — what already ships</w:t>
      </w:r>
    </w:p>
    <w:p>
      <w:pPr>
        <w:spacing w:after="100" w:before="60"/>
      </w:pPr>
      <w:r>
        <w:rPr>
          <w:sz w:val="19"/>
          <w:szCs w:val="19"/>
        </w:rPr>
        <w:t xml:space="preserve">Six weeks, ~207 commits, 13+ drops to the ActCAD team.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Area</w:t>
            </w:r>
          </w:p>
        </w:tc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DWG/DXF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Real customer files open in the browser. WASM + ODA inWEB, both live.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Measure / snap / count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Full 14-mode osnap suite, CSV + Excel export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Performance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250K entities at 61 fps; regen 17× faster; instant zoom-extents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3D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Orbit, standard views, ViewCube. Layouts + paper space viewports.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Beyond scope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DWG↔DWG and PDF comparison, colour plotting, batch print, markups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Distribution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Windows MSI shipping. macOS CI green. Android prototype.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Tests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594/594 green, plus a native gate harness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The hard rule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Read-only guarantee holds. No `db` writes anywhere.</w:t>
            </w:r>
          </w:p>
        </w:tc>
      </w:tr>
    </w:tbl>
    <w:p>
      <w:pPr>
        <w:spacing w:after="140"/>
      </w:pP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Faster than ActCAD on many customer files — and well ahead of IntelliCAD's viewer and ODA's own.</w:t>
      </w:r>
      <w:r>
        <w:rPr>
          <w:sz w:val="19"/>
          <w:szCs w:val="19"/>
        </w:rPr>
        <w:t xml:space="preserve"> Before public launch.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Still owed:</w:t>
      </w:r>
      <w:r>
        <w:rPr>
          <w:sz w:val="19"/>
          <w:szCs w:val="19"/>
        </w:rPr>
        <w:t xml:space="preserve"> customer-hardware perf baseline · public launch and adoption signal.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4 — </w:t>
      </w:r>
      <w:r>
        <w:rPr>
          <w:b/>
          <w:bCs/>
          <w:color w:val="1E3A5C"/>
          <w:sz w:val="26"/>
          <w:szCs w:val="26"/>
        </w:rPr>
        <w:t xml:space="preserve">Architecture for the editor</w:t>
      </w:r>
    </w:p>
    <w:p>
      <w:pPr>
        <w:spacing w:after="100" w:before="60"/>
      </w:pPr>
      <w:r>
        <w:rPr>
          <w:sz w:val="19"/>
          <w:szCs w:val="19"/>
        </w:rPr>
        <w:t xml:space="preserve">Some ODA features are not exposed to the web stack. The full editor needs a </w:t>
      </w:r>
      <w:r>
        <w:rPr>
          <w:b/>
          <w:bCs/>
          <w:color w:val="1E3A5C"/>
          <w:sz w:val="19"/>
          <w:szCs w:val="19"/>
        </w:rPr>
        <w:t xml:space="preserve">native</w:t>
      </w:r>
      <w:r>
        <w:rPr>
          <w:sz w:val="19"/>
          <w:szCs w:val="19"/>
        </w:rPr>
        <w:t xml:space="preserve"> path.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Now → viewer launch</w:t>
      </w:r>
      <w:r>
        <w:rPr>
          <w:sz w:val="19"/>
          <w:szCs w:val="19"/>
        </w:rPr>
        <w:t xml:space="preserve"> — continue on Rust/Tauri + WASM/inWEB. Ship it.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After launch</w:t>
      </w:r>
      <w:r>
        <w:rPr>
          <w:sz w:val="19"/>
          <w:szCs w:val="19"/>
        </w:rPr>
        <w:t xml:space="preserve"> — </w:t>
      </w:r>
      <w:r>
        <w:rPr>
          <w:b/>
          <w:bCs/>
          <w:color w:val="1E3A5C"/>
          <w:sz w:val="19"/>
          <w:szCs w:val="19"/>
        </w:rPr>
        <w:t xml:space="preserve">migrate the full product to Qt + C++ native.</w:t>
      </w:r>
      <w:r>
        <w:rPr>
          <w:sz w:val="19"/>
          <w:szCs w:val="19"/>
        </w:rPr>
        <w:t xml:space="preserve"> This is where the missing ODA surface becomes available, and where the ActCAD team wants to be long term.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The web viewer</w:t>
      </w:r>
      <w:r>
        <w:rPr>
          <w:sz w:val="19"/>
          <w:szCs w:val="19"/>
        </w:rPr>
        <w:t xml:space="preserve"> — either folds into the Qt stack as a second frontend on the same C++ engine, or stays on Rust/Tauri. </w:t>
      </w:r>
      <w:r>
        <w:rPr>
          <w:b/>
          <w:bCs/>
          <w:color w:val="1E3A5C"/>
          <w:sz w:val="19"/>
          <w:szCs w:val="19"/>
        </w:rPr>
        <w:t xml:space="preserve">Decide with data during the migration.</w:t>
      </w: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The platform seams — tenant profile, licensing, marketplace, AI agent — live in the C++ core regardless of which shell wraps them.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5 — </w:t>
      </w:r>
      <w:r>
        <w:rPr>
          <w:b/>
          <w:bCs/>
          <w:color w:val="1E3A5C"/>
          <w:sz w:val="26"/>
          <w:szCs w:val="26"/>
        </w:rPr>
        <w:t xml:space="preserve">The case against — stated at full strength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1.  </w:t>
      </w:r>
      <w:r>
        <w:rPr>
          <w:b/>
          <w:bCs/>
          <w:color w:val="1E3A5C"/>
          <w:sz w:val="19"/>
          <w:szCs w:val="19"/>
        </w:rPr>
        <w:t xml:space="preserve">We are a CAD company, not a platform company.</w:t>
      </w:r>
      <w:r>
        <w:rPr>
          <w:sz w:val="19"/>
          <w:szCs w:val="19"/>
        </w:rPr>
        <w:t xml:space="preserve"> Different sales motion, different support model, skills we have never had.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2.  </w:t>
      </w:r>
      <w:r>
        <w:rPr>
          <w:b/>
          <w:bCs/>
          <w:color w:val="1E3A5C"/>
          <w:sz w:val="19"/>
          <w:szCs w:val="19"/>
        </w:rPr>
        <w:t xml:space="preserve">It distracts from what matters.</w:t>
      </w:r>
      <w:r>
        <w:rPr>
          <w:sz w:val="19"/>
          <w:szCs w:val="19"/>
        </w:rPr>
        <w:t xml:space="preserve"> ActCAD-new reaching GA is the priority. </w:t>
      </w:r>
      <w:r>
        <w:rPr>
          <w:b/>
          <w:bCs/>
          <w:color w:val="1E3A5C"/>
          <w:sz w:val="19"/>
          <w:szCs w:val="19"/>
        </w:rPr>
        <w:t xml:space="preserve">The real cost is management attention.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3.  </w:t>
      </w:r>
      <w:r>
        <w:rPr>
          <w:b/>
          <w:bCs/>
          <w:color w:val="1E3A5C"/>
          <w:sz w:val="19"/>
          <w:szCs w:val="19"/>
        </w:rPr>
        <w:t xml:space="preserve">The money is not transformational.</w:t>
      </w:r>
      <w:r>
        <w:rPr>
          <w:sz w:val="19"/>
          <w:szCs w:val="19"/>
        </w:rPr>
        <w:t xml:space="preserve"> Partner obligations and a second entity for a few million a year.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4.  </w:t>
      </w:r>
      <w:r>
        <w:rPr>
          <w:b/>
          <w:bCs/>
          <w:color w:val="1E3A5C"/>
          <w:sz w:val="19"/>
          <w:szCs w:val="19"/>
        </w:rPr>
        <w:t xml:space="preserve">We would be arming competitors</w:t>
      </w:r>
      <w:r>
        <w:rPr>
          <w:sz w:val="19"/>
          <w:szCs w:val="19"/>
        </w:rPr>
        <w:t xml:space="preserve"> — especially by licensing our verticals.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5.  </w:t>
      </w:r>
      <w:r>
        <w:rPr>
          <w:b/>
          <w:bCs/>
          <w:color w:val="1E3A5C"/>
          <w:sz w:val="19"/>
          <w:szCs w:val="19"/>
        </w:rPr>
        <w:t xml:space="preserve">Members will constrain our roadmap.</w:t>
      </w:r>
      <w:r>
        <w:rPr>
          <w:sz w:val="19"/>
          <w:szCs w:val="19"/>
        </w:rPr>
        <w:t xml:space="preserve"> Once they pay, we are less free to choose.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6.  </w:t>
      </w:r>
      <w:r>
        <w:rPr>
          <w:b/>
          <w:bCs/>
          <w:color w:val="1E3A5C"/>
          <w:sz w:val="19"/>
          <w:szCs w:val="19"/>
        </w:rPr>
        <w:t xml:space="preserve">Nobody has asked for this.</w:t>
      </w:r>
      <w:r>
        <w:rPr>
          <w:sz w:val="19"/>
          <w:szCs w:val="19"/>
        </w:rPr>
        <w:t xml:space="preserve"> Zero members, zero LOIs.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7.  </w:t>
      </w:r>
      <w:r>
        <w:rPr>
          <w:b/>
          <w:bCs/>
          <w:color w:val="1E3A5C"/>
          <w:sz w:val="19"/>
          <w:szCs w:val="19"/>
        </w:rPr>
        <w:t xml:space="preserve">ITC members are sticky.</w:t>
      </w:r>
      <w:r>
        <w:rPr>
          <w:sz w:val="19"/>
          <w:szCs w:val="19"/>
        </w:rPr>
        <w:t xml:space="preserve"> Twenty years in, switching costs are large.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8.  </w:t>
      </w:r>
      <w:r>
        <w:rPr>
          <w:b/>
          <w:bCs/>
          <w:color w:val="1E3A5C"/>
          <w:sz w:val="19"/>
          <w:szCs w:val="19"/>
        </w:rPr>
        <w:t xml:space="preserve">We do not have the team.</w:t>
      </w:r>
      <w:r>
        <w:rPr>
          <w:sz w:val="19"/>
          <w:szCs w:val="19"/>
        </w:rPr>
        <w:t xml:space="preserve"> A platform team has to be hired from scratch.</w:t>
      </w: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2, 3, 5, 6 and 8 are substantially correct.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6 — </w:t>
      </w:r>
      <w:r>
        <w:rPr>
          <w:b/>
          <w:bCs/>
          <w:color w:val="1E3A5C"/>
          <w:sz w:val="26"/>
          <w:szCs w:val="26"/>
        </w:rPr>
        <w:t xml:space="preserve">Why we still think yes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Objection</w:t>
            </w:r>
          </w:p>
        </w:tc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Answer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Not a platform company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True.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But nothing before month 24 requires becoming one.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Distracts from ActCAD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Partly conceded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— attention is the real cost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Money is modest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Conceded.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Not why we would do it alone.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Arming competitors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Gated by named-competitor exclusion —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or we don't sell that tier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Roadmap constraint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Conceded — the one that worries us most.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Input, never veto.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No demand proven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Fully conceded. Zero LOIs.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Hence a kill switch at month 24.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Members are sticky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True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— base case is 12 members in seven years, not fifty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No team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Conceded.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But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we need that team for ActCAD-new regardless.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Building multi-tenant makes ActCAD better even if no member ever signs.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The tenant seam touches six of ten modules.</w:t>
      </w:r>
      <w:r>
        <w:rPr>
          <w:sz w:val="19"/>
          <w:szCs w:val="19"/>
        </w:rPr>
        <w:t xml:space="preserve"> Building it now forces no ActCAD-specific hacks in core, a real plugin API, configuration-driven behaviour. </w:t>
      </w:r>
      <w:r>
        <w:rPr>
          <w:b/>
          <w:bCs/>
          <w:color w:val="1E3A5C"/>
          <w:sz w:val="19"/>
          <w:szCs w:val="19"/>
        </w:rPr>
        <w:t xml:space="preserve">Retrofitting later means reworking those six modules after they harden.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7 — </w:t>
      </w:r>
      <w:r>
        <w:rPr>
          <w:b/>
          <w:bCs/>
          <w:color w:val="1E3A5C"/>
          <w:sz w:val="26"/>
          <w:szCs w:val="26"/>
        </w:rPr>
        <w:t xml:space="preserve">Who builds it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Function</w:t>
            </w:r>
          </w:p>
        </w:tc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Who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Engine, multi-tenancy, licensing, deep systems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TejasCAD — dev team to be hired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QA, release engineering, corpus and regression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TejasCAD — to be hired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Dev support, SDK, docs, member L3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TejasCAD — to be hired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Domain expertise, verticals, IRX, product judgement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ActCAD's team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Selling ActCAD to end customers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ActCAD's sales — unchanged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 member's own L1/L2 and end-customer sales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The member</w:t>
            </w:r>
          </w:p>
        </w:tc>
      </w:tr>
    </w:tbl>
    <w:p>
      <w:pPr>
        <w:spacing w:after="140"/>
      </w:pP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That team is the engine team.</w:t>
      </w:r>
      <w:r>
        <w:rPr>
          <w:sz w:val="19"/>
          <w:szCs w:val="19"/>
        </w:rPr>
        <w:t xml:space="preserve"> The platform does not create the cost — ActCAD-new needs those people either way. </w:t>
      </w:r>
      <w:r>
        <w:rPr>
          <w:b/>
          <w:bCs/>
          <w:color w:val="1E3A5C"/>
          <w:sz w:val="19"/>
          <w:szCs w:val="19"/>
        </w:rPr>
        <w:t xml:space="preserve">It decides who employs them and who else helps pay.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8 — </w:t>
      </w:r>
      <w:r>
        <w:rPr>
          <w:b/>
          <w:bCs/>
          <w:color w:val="1E3A5C"/>
          <w:sz w:val="26"/>
          <w:szCs w:val="26"/>
        </w:rPr>
        <w:t xml:space="preserve">The kill switch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Month 12</w:t>
      </w:r>
      <w:r>
        <w:rPr>
          <w:sz w:val="19"/>
          <w:szCs w:val="19"/>
        </w:rPr>
        <w:t xml:space="preserve"> — have 8–10 qualified member conversations happened? If not, </w:t>
      </w:r>
      <w:r>
        <w:rPr>
          <w:b/>
          <w:bCs/>
          <w:color w:val="1E3A5C"/>
          <w:sz w:val="19"/>
          <w:szCs w:val="19"/>
        </w:rPr>
        <w:t xml:space="preserve">stop outbound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Month 24, at ActCAD-new GA</w:t>
      </w:r>
      <w:r>
        <w:rPr>
          <w:sz w:val="19"/>
          <w:szCs w:val="19"/>
        </w:rPr>
        <w:t xml:space="preserve"> — </w:t>
      </w:r>
      <w:r>
        <w:rPr>
          <w:b/>
          <w:bCs/>
          <w:color w:val="1E3A5C"/>
          <w:sz w:val="19"/>
          <w:szCs w:val="19"/>
        </w:rPr>
        <w:t xml:space="preserve">≥2 members at signed LOI, or we stop.</w:t>
      </w:r>
      <w:r>
        <w:rPr>
          <w:sz w:val="19"/>
          <w:szCs w:val="19"/>
        </w:rPr>
        <w:t xml:space="preserve"> No platform entity, no partner obligations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Before any Complete-tier sale</w:t>
      </w:r>
      <w:r>
        <w:rPr>
          <w:sz w:val="19"/>
          <w:szCs w:val="19"/>
        </w:rPr>
        <w:t xml:space="preserve"> — does it threaten ActCAD in that territory? If so, </w:t>
      </w:r>
      <w:r>
        <w:rPr>
          <w:b/>
          <w:bCs/>
          <w:color w:val="1E3A5C"/>
          <w:sz w:val="19"/>
          <w:szCs w:val="19"/>
        </w:rPr>
        <w:t xml:space="preserve">don't sell it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If month 24 fails, we lose 3–6 engineer-months — spent on architecture we would defend on ActCAD's own merits anyway.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What we keep regardless: </w:t>
      </w:r>
      <w:r>
        <w:rPr>
          <w:b/>
          <w:bCs/>
          <w:color w:val="1E3A5C"/>
          <w:sz w:val="19"/>
          <w:szCs w:val="19"/>
        </w:rPr>
        <w:t xml:space="preserve">cleanly separated engine, real plugin API, configuration-driven behaviour, proper licensing abstraction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9 — </w:t>
      </w:r>
      <w:r>
        <w:rPr>
          <w:b/>
          <w:bCs/>
          <w:color w:val="1E3A5C"/>
          <w:sz w:val="26"/>
          <w:szCs w:val="26"/>
        </w:rPr>
        <w:t xml:space="preserve">The two paths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Build for ActCAD only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Build as a platform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Engine work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Same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Same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Ship date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~24 months to GA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Same, + tenant discipline in P1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Extra P1 cost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Baseline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~3–6 engineer-months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Revenue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ActCAD only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+ member fees, marketplace, vertical royalties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Exit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ActCAD as one product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 second, separately saleable asset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If it fails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We still shipped a great ActCAD</w:t>
            </w:r>
          </w:p>
        </w:tc>
      </w:tr>
    </w:tbl>
    <w:p>
      <w:pPr>
        <w:spacing w:after="140"/>
      </w:pP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A no forecloses one thing that is hard to reopen: the architecture.</w:t>
      </w:r>
      <w:r>
        <w:rPr>
          <w:sz w:val="19"/>
          <w:szCs w:val="19"/>
        </w:rPr>
        <w:t xml:space="preserve"> Everything else can be revisited in three years.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10 — </w:t>
      </w:r>
      <w:r>
        <w:rPr>
          <w:b/>
          <w:bCs/>
          <w:color w:val="1E3A5C"/>
          <w:sz w:val="26"/>
          <w:szCs w:val="26"/>
        </w:rPr>
        <w:t xml:space="preserve">What we pay IntelliCAD today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ITC membership + extras</w:t>
            </w:r>
          </w:p>
        </w:tc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~$100K / year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Per-seat royalty to ITC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$0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— royalty-free at the ITC level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Component royalties (ACIS and others)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$15–20 per sale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AI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~$7–8K/yr extra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— experimental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Android viewer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~$8K/yr extra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— weak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Mac, web app, web editor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Not available. Windows-tied.</w:t>
            </w:r>
          </w:p>
        </w:tc>
      </w:tr>
    </w:tbl>
    <w:p>
      <w:pPr>
        <w:spacing w:after="140"/>
      </w:pP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And what we get for it is ~a million lines of source</w:t>
      </w:r>
      <w:r>
        <w:rPr>
          <w:sz w:val="19"/>
          <w:szCs w:val="19"/>
        </w:rPr>
        <w:t xml:space="preserve"> — not a product. A codebase to staff, fork and re-merge on every uptake, before selling a single seat.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11 — </w:t>
      </w:r>
      <w:r>
        <w:rPr>
          <w:b/>
          <w:bCs/>
          <w:color w:val="1E3A5C"/>
          <w:sz w:val="26"/>
          <w:szCs w:val="26"/>
        </w:rPr>
        <w:t xml:space="preserve">IntelliCAD++ — what we give that ITC does not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ITC gives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We give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The deliverable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~1M lines of source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 shipping product you configure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Engine maintenance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Yours, forever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Ours.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You never touch engine code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Engine bugs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You fix them;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your work reaches competitors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We fix them.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You draw from the pool without funding it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Your own plugins &amp; verticals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Intertwined with engine patches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Stay entirely yours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Release cadence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Coordinated, annual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Rolling — ship when ready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Platform reach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Windows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Windows, Mac, Linux, web, Android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AI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~$8K experimental add-on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Included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Licensing / DRM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Buy your own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Included, and platform-blind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Direction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 supermajority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Platform decides;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members have voice</w:t>
            </w:r>
          </w:p>
        </w:tc>
      </w:tr>
    </w:tbl>
    <w:p>
      <w:pPr>
        <w:spacing w:after="140"/>
      </w:pP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The consortium gave members shared ownership of a codebase and sole responsibility for running it. We carry the responsibility instead.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12 — </w:t>
      </w:r>
      <w:r>
        <w:rPr>
          <w:b/>
          <w:bCs/>
          <w:color w:val="1E3A5C"/>
          <w:sz w:val="26"/>
          <w:szCs w:val="26"/>
        </w:rPr>
        <w:t xml:space="preserve">What we deliver, and what we would charge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Tiers gate on what they take: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Tier</w:t>
            </w:r>
          </w:p>
        </w:tc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Adds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Core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Engine, DWG fidelity, white-label shell, build pipeline, licensing,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Plus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+ web app,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Mac, Android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, marketplace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Complete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+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the ActCAD-derived verticals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(Arch / Mech / Elec / BIM / GIS)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Priced by the member's own installed base: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Seat base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Core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Plus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Complete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Under 5,000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$45K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$65K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$90K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5,000–20,000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$80K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$110K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$150K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20,000–50,000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$130K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$170K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$220K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50,000+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$190K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$240K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$300K</w:t>
            </w:r>
          </w:p>
        </w:tc>
      </w:tr>
    </w:tbl>
    <w:p>
      <w:pPr>
        <w:spacing w:after="140"/>
      </w:pP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Ramped 50% / 75% / 100%</w:t>
      </w:r>
      <w:r>
        <w:rPr>
          <w:sz w:val="19"/>
          <w:szCs w:val="19"/>
        </w:rPr>
        <w:t xml:space="preserve"> over migration years 1–3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Component royalties pass through at cost</w:t>
      </w:r>
      <w:r>
        <w:rPr>
          <w:sz w:val="19"/>
          <w:szCs w:val="19"/>
        </w:rPr>
        <w:t xml:space="preserve"> — no markup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AI metered above an allowance</w:t>
      </w:r>
      <w:r>
        <w:rPr>
          <w:sz w:val="19"/>
          <w:szCs w:val="19"/>
        </w:rPr>
        <w:t xml:space="preserve">, or bring your own key — inference is a real per-use cost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Complete tier is a decision, not just a price</w:t>
      </w:r>
      <w:r>
        <w:rPr>
          <w:sz w:val="19"/>
          <w:szCs w:val="19"/>
        </w:rPr>
        <w:t xml:space="preserve"> — it arms vendors who may compete with ActCAD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13 — </w:t>
      </w:r>
      <w:r>
        <w:rPr>
          <w:b/>
          <w:bCs/>
          <w:color w:val="1E3A5C"/>
          <w:sz w:val="26"/>
          <w:szCs w:val="26"/>
        </w:rPr>
        <w:t xml:space="preserve">What this could become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Conservative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Base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Aggressive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Members by Y7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12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Blended fee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~$70K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~$110K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~$170K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+ marketplace &amp; royalties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~$15K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~$30K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~$45K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Platform ARR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~$425K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~$1.7M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~$4.3M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Margin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~68%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~70%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~72%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Profit contribution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~$290K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~$1.2M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~$3.1M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Enterprise value at 6–8×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not saleable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~$10–13M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~$26–34M</w:t>
            </w:r>
          </w:p>
        </w:tc>
      </w:tr>
    </w:tbl>
    <w:p>
      <w:pPr>
        <w:spacing w:after="140"/>
      </w:pP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A profitable adjacent business line, not a venture-scale company.</w:t>
      </w:r>
      <w:r>
        <w:rPr>
          <w:sz w:val="19"/>
          <w:szCs w:val="19"/>
        </w:rPr>
        <w:t xml:space="preserve"> Good return on a few engineer-months on an engine we are building anyway.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Materially bigger needs ~60–100 members, direct-to-end-user, or the 3D product — later questions, not assumptions.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14 — </w:t>
      </w:r>
      <w:r>
        <w:rPr>
          <w:b/>
          <w:bCs/>
          <w:color w:val="1E3A5C"/>
          <w:sz w:val="26"/>
          <w:szCs w:val="26"/>
        </w:rPr>
        <w:t xml:space="preserve">Funding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Stage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When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Size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Promoter seed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Now → Y2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$1–2M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— the increment on an already-funded engine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Strategic round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</w:t>
            </w: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(optional)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Y4–5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$5–10M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— sets a floor, from a plausible acquirer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Exit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Y6–7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Target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$30–50M</w:t>
            </w:r>
          </w:p>
        </w:tc>
      </w:tr>
    </w:tbl>
    <w:p>
      <w:pPr>
        <w:spacing w:after="140"/>
      </w:pP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A priced round's post-money </w:t>
      </w:r>
      <w:r>
        <w:rPr>
          <w:b/>
          <w:bCs/>
          <w:color w:val="1E3A5C"/>
          <w:sz w:val="19"/>
          <w:szCs w:val="19"/>
        </w:rPr>
        <w:t xml:space="preserve">does</w:t>
      </w:r>
      <w:r>
        <w:rPr>
          <w:sz w:val="19"/>
          <w:szCs w:val="19"/>
        </w:rPr>
        <w:t xml:space="preserve"> anchor expectations — but only if defensible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What forces price up is competition between buyers, not a prior round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At ~70% margins this </w:t>
      </w:r>
      <w:r>
        <w:rPr>
          <w:b/>
          <w:bCs/>
          <w:color w:val="1E3A5C"/>
          <w:sz w:val="19"/>
          <w:szCs w:val="19"/>
        </w:rPr>
        <w:t xml:space="preserve">self-funds from year 3</w:t>
      </w:r>
      <w:r>
        <w:rPr>
          <w:sz w:val="19"/>
          <w:szCs w:val="19"/>
        </w:rPr>
        <w:t xml:space="preserve"> — take the round for tension, not cash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15 — </w:t>
      </w:r>
      <w:r>
        <w:rPr>
          <w:b/>
          <w:bCs/>
          <w:color w:val="1E3A5C"/>
          <w:sz w:val="26"/>
          <w:szCs w:val="26"/>
        </w:rPr>
        <w:t xml:space="preserve">What we are asking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In-principle approval.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And to open three discussions: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Corporate structure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Capital requirement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The team required to make this happen</w:t>
      </w: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Nothing else is being decided today.</w:t>
      </w:r>
      <w:r>
        <w:rPr>
          <w:sz w:val="19"/>
          <w:szCs w:val="19"/>
        </w:rPr>
        <w:t xml:space="preserve"> No capital commitment, no incorporation, no announcement, no change to how ActCAD is run.</w:t>
      </w:r>
    </w:p>
    <w:sectPr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19"/>
        <w:szCs w:val="19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TejasCAD Directors Briefing — review copy</dc:title>
  <dc:creator>TejasCAD</dc:creator>
  <dc:description>Slide deck in document form for comment and markup</dc:description>
  <cp:lastModifiedBy>Un-named</cp:lastModifiedBy>
  <cp:revision>1</cp:revision>
  <dcterms:created xsi:type="dcterms:W3CDTF">2026-08-21T13:22:52.959Z</dcterms:created>
  <dcterms:modified xsi:type="dcterms:W3CDTF">2026-08-21T13:22:52.959Z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