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We are seeking in-principle approval to build this as a platform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Mac, web application, web editor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Windows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$1–2M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is </w:t>
      </w:r>
      <w:r>
        <w:rPr>
          <w:b/>
          <w:bCs/>
          <w:color w:val="1E3A5C"/>
          <w:sz w:val="19"/>
          <w:szCs w:val="19"/>
        </w:rPr>
        <w:t xml:space="preserve">the increment on an engine already funded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Risks and how we manage them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Attention diverted from ActCAD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scoped and time-boxed; ActCAD GA stays the priority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Demand unproven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gate; no entity or obligations before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Team must be recruited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regardless;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Member roadmap influence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they do not hold a vote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Licensing verticals to potential competitors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exclusion, or the tier is not offered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Consortium members move slowly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 futuristic and ownable;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strongest search position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Shortest, sharpest wordmark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; meaning maps exactly to what CAD does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Premium and distinctly Indian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conflict risk with an adjacent engineering-AI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Best BIM and infrastructure story; more crowded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TAKSH</w:t>
      </w:r>
      <w:r>
        <w:rPr>
          <w:sz w:val="19"/>
          <w:szCs w:val="19"/>
        </w:rPr>
        <w:t xml:space="preserve"> and </w:t>
      </w:r>
      <w:r>
        <w:rPr>
          <w:b/>
          <w:bCs/>
          <w:color w:val="1E3A5C"/>
          <w:sz w:val="19"/>
          <w:szCs w:val="19"/>
        </w:rPr>
        <w:t xml:space="preserve">TAKSHON</w:t>
      </w:r>
      <w:r>
        <w:rPr>
          <w:sz w:val="19"/>
          <w:szCs w:val="19"/>
        </w:rPr>
        <w:t xml:space="preserve"> are the two to take forward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Trademark and domain clearance 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What we are asking today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In-principle approval to build platform-first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Open the discussion on structure, capital and team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2026-08-21T16:03:24.862Z</dcterms:created>
  <dcterms:modified xsi:type="dcterms:W3CDTF">2026-08-21T16:03:24.862Z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