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Claims &amp; Appeals Policy (v2)</w:t>
      </w:r>
    </w:p>
    <w:p>
      <w:r>
        <w:t>Effective Date: 2026-02-15</w:t>
      </w:r>
    </w:p>
    <w:p>
      <w:r>
        <w:t>Owner: claims.ops@poc-health.org</w:t>
      </w:r>
    </w:p>
    <w:p/>
    <w:p>
      <w:pPr>
        <w:pStyle w:val="Heading2"/>
      </w:pPr>
      <w:r>
        <w:t>1. Purpose</w:t>
      </w:r>
    </w:p>
    <w:p>
      <w:r>
        <w:t>Define procedures for claims intake, adjudication, and member appeals for POC Health.</w:t>
      </w:r>
    </w:p>
    <w:p>
      <w:pPr>
        <w:pStyle w:val="Heading2"/>
      </w:pPr>
      <w:r>
        <w:t>2. Definitions</w:t>
      </w:r>
    </w:p>
    <w:p>
      <w:r>
        <w:t>Clean claim: complete claim. Appeal: member request for reconsideration. Grievance: service complaint.</w:t>
      </w:r>
    </w:p>
    <w:p>
      <w:pPr>
        <w:pStyle w:val="Heading2"/>
      </w:pPr>
      <w:r>
        <w:t>3. Claims Intake</w:t>
      </w:r>
    </w:p>
    <w:p>
      <w:r>
        <w:t>All claims must be received via EDI or secure portal. Intake is acknowledged within 1 business day.</w:t>
      </w:r>
    </w:p>
    <w:p>
      <w:pPr>
        <w:pStyle w:val="Heading2"/>
      </w:pPr>
      <w:r>
        <w:t>4. Adjudication Timelines</w:t>
      </w:r>
    </w:p>
    <w:p>
      <w:r>
        <w:t>Standard claims within 25 calendar days. Complex claims within 40 calendar days.</w:t>
      </w:r>
    </w:p>
    <w:p>
      <w:pPr>
        <w:pStyle w:val="Heading2"/>
      </w:pPr>
      <w:r>
        <w:t>5. Member Appeals</w:t>
      </w:r>
    </w:p>
    <w:p>
      <w:r>
        <w:t>Members may file an appeal within 90 days of the adverse determination notice date.</w:t>
      </w:r>
    </w:p>
    <w:p>
      <w:pPr>
        <w:pStyle w:val="Heading2"/>
      </w:pPr>
      <w:r>
        <w:t>6. Expedited Appeals</w:t>
      </w:r>
    </w:p>
    <w:p>
      <w:r>
        <w:t>Expedited appeals decision within 72 hours; clinical reviewer required for medical-necessity denials.</w:t>
      </w:r>
    </w:p>
    <w:p>
      <w:pPr>
        <w:pStyle w:val="Heading2"/>
      </w:pPr>
      <w:r>
        <w:t>7. Documentation</w:t>
      </w:r>
    </w:p>
    <w:p>
      <w:r>
        <w:t>Store claim records for 10 years. PHI must not be emailed unencrypted. Use secure messaging for PHI.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