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Lucidic AI Pilot: POC Plan and Verizon Expectations</w:t>
      </w:r>
    </w:p>
    <w:p>
      <w:pPr>
        <w:pStyle w:val="Subtitle"/>
      </w:pPr>
      <w:r>
        <w:t xml:space="preserve">Trace-to-custom-model pilot through the Kairos LLM gateway</w:t>
      </w:r>
    </w:p>
    <w:p>
      <w:pPr>
        <w:pStyle w:val="Author"/>
      </w:pPr>
      <w:r>
        <w:t xml:space="preserve">Varun Saagar, Verizon</w:t>
      </w:r>
    </w:p>
    <w:p>
      <w:pPr>
        <w:pStyle w:val="Date"/>
      </w:pPr>
      <w:r>
        <w:t xml:space="preserve">12 October 2026 · Draft v0.1 for review</w:t>
      </w:r>
    </w:p>
    <w:bookmarkStart w:id="9" w:name="contents"/>
    <w:p>
      <w:pPr>
        <w:pStyle w:val="Heading1"/>
      </w:pPr>
      <w:r>
        <w:t xml:space="preserve">Contents</w:t>
      </w:r>
    </w:p>
    <w:p>
      <w:pPr>
        <w:pStyle w:val="Compact"/>
        <w:numPr>
          <w:ilvl w:val="0"/>
          <w:numId w:val="1001"/>
        </w:numPr>
      </w:pPr>
      <w:r>
        <w:t xml:space="preserve">Executive summary and objectives</w:t>
      </w:r>
    </w:p>
    <w:p>
      <w:pPr>
        <w:pStyle w:val="Compact"/>
        <w:numPr>
          <w:ilvl w:val="0"/>
          <w:numId w:val="1001"/>
        </w:numPr>
      </w:pPr>
      <w:r>
        <w:t xml:space="preserve">Zero-process-change integration</w:t>
      </w:r>
    </w:p>
    <w:p>
      <w:pPr>
        <w:pStyle w:val="Compact"/>
        <w:numPr>
          <w:ilvl w:val="0"/>
          <w:numId w:val="1001"/>
        </w:numPr>
      </w:pPr>
      <w:r>
        <w:t xml:space="preserve">SaaS to Verizon network: deployment and governance</w:t>
      </w:r>
    </w:p>
    <w:p>
      <w:pPr>
        <w:pStyle w:val="Compact"/>
        <w:numPr>
          <w:ilvl w:val="0"/>
          <w:numId w:val="1001"/>
        </w:numPr>
      </w:pPr>
      <w:r>
        <w:t xml:space="preserve">POC scope and use cases</w:t>
      </w:r>
    </w:p>
    <w:p>
      <w:pPr>
        <w:pStyle w:val="Compact"/>
        <w:numPr>
          <w:ilvl w:val="0"/>
          <w:numId w:val="1001"/>
        </w:numPr>
      </w:pPr>
      <w:r>
        <w:t xml:space="preserve">POC test areas (TA-01 to TA-12)</w:t>
      </w:r>
    </w:p>
    <w:p>
      <w:pPr>
        <w:pStyle w:val="Compact"/>
        <w:numPr>
          <w:ilvl w:val="0"/>
          <w:numId w:val="1001"/>
        </w:numPr>
      </w:pPr>
      <w:r>
        <w:t xml:space="preserve">Mutual expectations</w:t>
      </w:r>
    </w:p>
    <w:p>
      <w:pPr>
        <w:pStyle w:val="Compact"/>
        <w:numPr>
          <w:ilvl w:val="0"/>
          <w:numId w:val="1001"/>
        </w:numPr>
      </w:pPr>
      <w:r>
        <w:t xml:space="preserve">Phased plan (about 8 weeks)</w:t>
      </w:r>
    </w:p>
    <w:p>
      <w:pPr>
        <w:pStyle w:val="Compact"/>
        <w:numPr>
          <w:ilvl w:val="0"/>
          <w:numId w:val="1001"/>
        </w:numPr>
      </w:pPr>
      <w:r>
        <w:t xml:space="preserve">Testimonial and beta-readiness criteria</w:t>
      </w:r>
    </w:p>
    <w:p>
      <w:pPr>
        <w:pStyle w:val="Compact"/>
        <w:numPr>
          <w:ilvl w:val="0"/>
          <w:numId w:val="1001"/>
        </w:numPr>
      </w:pPr>
      <w:r>
        <w:t xml:space="preserve">Pilot scorecard (weighted)</w:t>
      </w:r>
    </w:p>
    <w:p>
      <w:pPr>
        <w:pStyle w:val="Compact"/>
        <w:numPr>
          <w:ilvl w:val="0"/>
          <w:numId w:val="1001"/>
        </w:numPr>
      </w:pPr>
      <w:r>
        <w:t xml:space="preserve">Risks and mitigations</w:t>
      </w:r>
    </w:p>
    <w:p>
      <w:pPr>
        <w:pStyle w:val="Compact"/>
        <w:numPr>
          <w:ilvl w:val="0"/>
          <w:numId w:val="1001"/>
        </w:numPr>
      </w:pPr>
      <w:r>
        <w:t xml:space="preserve">Open questions for Lucidic</w:t>
      </w:r>
    </w:p>
    <w:bookmarkEnd w:id="9"/>
    <w:bookmarkStart w:id="10" w:name="document-control"/>
    <w:p>
      <w:pPr>
        <w:pStyle w:val="Heading1"/>
      </w:pPr>
      <w:r>
        <w:t xml:space="preserve">Document control</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164"/>
        <w:gridCol w:w="7627"/>
      </w:tblGrid>
      <w:tr>
        <w:trPr>
          <w:tblHeader w:val="on"/>
          <w:tblHeader w:val="true"/>
        </w:trPr>
        <w:tc>
          <w:tcPr>
            <w:tcW w:type="dxa" w:w="2165"/>
            <w:shd w:val="clear" w:color="auto" w:fill="1F1F1F"/>
          </w:tcPr>
          <w:p>
            <w:pPr>
              <w:pStyle w:val="Compact"/>
              <w:spacing w:after="20" w:before="20"/>
            </w:pPr>
            <w:r>
              <w:rPr>
                <w:b/>
                <w:color w:val="FFFFFF"/>
                <w:sz w:val="18"/>
              </w:rPr>
              <w:t xml:space="preserve">Item</w:t>
            </w:r>
          </w:p>
        </w:tc>
        <w:tc>
          <w:tcPr>
            <w:tcW w:type="dxa" w:w="7627"/>
            <w:shd w:val="clear" w:color="auto" w:fill="1F1F1F"/>
          </w:tcPr>
          <w:p>
            <w:pPr>
              <w:pStyle w:val="Compact"/>
              <w:spacing w:after="20" w:before="20"/>
            </w:pPr>
            <w:r>
              <w:rPr>
                <w:b/>
                <w:color w:val="FFFFFF"/>
                <w:sz w:val="18"/>
              </w:rPr>
              <w:t xml:space="preserve">Detail</w:t>
            </w:r>
          </w:p>
        </w:tc>
      </w:tr>
      <w:tr>
        <w:tc>
          <w:tcPr>
            <w:tcW w:type="dxa" w:w="2165"/>
            <w:shd w:val="clear" w:color="auto" w:fill="F2F2F2"/>
          </w:tcPr>
          <w:p>
            <w:pPr>
              <w:pStyle w:val="Compact"/>
              <w:spacing w:after="20" w:before="20"/>
            </w:pPr>
            <w:r>
              <w:rPr>
                <w:b/>
                <w:sz w:val="18"/>
              </w:rPr>
              <w:t xml:space="preserve">Document</w:t>
            </w:r>
          </w:p>
        </w:tc>
        <w:tc>
          <w:tcPr>
            <w:tcW w:type="dxa" w:w="7627"/>
          </w:tcPr>
          <w:p>
            <w:pPr>
              <w:pStyle w:val="Compact"/>
              <w:spacing w:after="20" w:before="20"/>
            </w:pPr>
            <w:r>
              <w:rPr>
                <w:sz w:val="18"/>
              </w:rPr>
              <w:t xml:space="preserve">Lucidic AI pilot: POC plan and Verizon expectations</w:t>
            </w:r>
          </w:p>
        </w:tc>
      </w:tr>
      <w:tr>
        <w:tc>
          <w:tcPr>
            <w:tcW w:type="dxa" w:w="2165"/>
            <w:shd w:val="clear" w:color="auto" w:fill="F2F2F2"/>
          </w:tcPr>
          <w:p>
            <w:pPr>
              <w:pStyle w:val="Compact"/>
              <w:spacing w:after="20" w:before="20"/>
            </w:pPr>
            <w:r>
              <w:rPr>
                <w:b/>
                <w:sz w:val="18"/>
              </w:rPr>
              <w:t xml:space="preserve">Version / status</w:t>
            </w:r>
          </w:p>
        </w:tc>
        <w:tc>
          <w:tcPr>
            <w:tcW w:type="dxa" w:w="7627"/>
            <w:shd w:val="clear" w:color="auto" w:fill="FAFAFA"/>
          </w:tcPr>
          <w:p>
            <w:pPr>
              <w:pStyle w:val="Compact"/>
              <w:spacing w:after="20" w:before="20"/>
            </w:pPr>
            <w:r>
              <w:rPr>
                <w:sz w:val="18"/>
              </w:rPr>
              <w:t xml:space="preserve">v0.1, draft for internal review, then to be shared with Lucidic</w:t>
            </w:r>
          </w:p>
        </w:tc>
      </w:tr>
      <w:tr>
        <w:tc>
          <w:tcPr>
            <w:tcW w:type="dxa" w:w="2165"/>
            <w:shd w:val="clear" w:color="auto" w:fill="F2F2F2"/>
          </w:tcPr>
          <w:p>
            <w:pPr>
              <w:pStyle w:val="Compact"/>
              <w:spacing w:after="20" w:before="20"/>
            </w:pPr>
            <w:r>
              <w:rPr>
                <w:b/>
                <w:sz w:val="18"/>
              </w:rPr>
              <w:t xml:space="preserve">Date</w:t>
            </w:r>
          </w:p>
        </w:tc>
        <w:tc>
          <w:tcPr>
            <w:tcW w:type="dxa" w:w="7627"/>
          </w:tcPr>
          <w:p>
            <w:pPr>
              <w:pStyle w:val="Compact"/>
              <w:spacing w:after="20" w:before="20"/>
            </w:pPr>
            <w:r>
              <w:rPr>
                <w:sz w:val="18"/>
              </w:rPr>
              <w:t xml:space="preserve">12 October 2026</w:t>
            </w:r>
          </w:p>
        </w:tc>
      </w:tr>
      <w:tr>
        <w:tc>
          <w:tcPr>
            <w:tcW w:type="dxa" w:w="2165"/>
            <w:shd w:val="clear" w:color="auto" w:fill="F2F2F2"/>
          </w:tcPr>
          <w:p>
            <w:pPr>
              <w:pStyle w:val="Compact"/>
              <w:spacing w:after="20" w:before="20"/>
            </w:pPr>
            <w:r>
              <w:rPr>
                <w:b/>
                <w:sz w:val="18"/>
              </w:rPr>
              <w:t xml:space="preserve">Author</w:t>
            </w:r>
          </w:p>
        </w:tc>
        <w:tc>
          <w:tcPr>
            <w:tcW w:type="dxa" w:w="7627"/>
            <w:shd w:val="clear" w:color="auto" w:fill="FAFAFA"/>
          </w:tcPr>
          <w:p>
            <w:pPr>
              <w:pStyle w:val="Compact"/>
              <w:spacing w:after="20" w:before="20"/>
            </w:pPr>
            <w:r>
              <w:rPr>
                <w:sz w:val="18"/>
              </w:rPr>
              <w:t xml:space="preserve">Varun Saagar, [title], Verizon</w:t>
            </w:r>
          </w:p>
        </w:tc>
      </w:tr>
      <w:tr>
        <w:tc>
          <w:tcPr>
            <w:tcW w:type="dxa" w:w="2165"/>
            <w:shd w:val="clear" w:color="auto" w:fill="F2F2F2"/>
          </w:tcPr>
          <w:p>
            <w:pPr>
              <w:pStyle w:val="Compact"/>
              <w:spacing w:after="20" w:before="20"/>
            </w:pPr>
            <w:r>
              <w:rPr>
                <w:b/>
                <w:sz w:val="18"/>
              </w:rPr>
              <w:t xml:space="preserve">Executive sponsor</w:t>
            </w:r>
          </w:p>
        </w:tc>
        <w:tc>
          <w:tcPr>
            <w:tcW w:type="dxa" w:w="7627"/>
          </w:tcPr>
          <w:p>
            <w:pPr>
              <w:pStyle w:val="Compact"/>
              <w:spacing w:after="20" w:before="20"/>
            </w:pPr>
            <w:r>
              <w:rPr>
                <w:sz w:val="18"/>
              </w:rPr>
              <w:t xml:space="preserve">[owner]</w:t>
            </w:r>
          </w:p>
        </w:tc>
      </w:tr>
      <w:tr>
        <w:tc>
          <w:tcPr>
            <w:tcW w:type="dxa" w:w="2165"/>
            <w:shd w:val="clear" w:color="auto" w:fill="F2F2F2"/>
          </w:tcPr>
          <w:p>
            <w:pPr>
              <w:pStyle w:val="Compact"/>
              <w:spacing w:after="20" w:before="20"/>
            </w:pPr>
            <w:r>
              <w:rPr>
                <w:b/>
                <w:sz w:val="18"/>
              </w:rPr>
              <w:t xml:space="preserve">Classification</w:t>
            </w:r>
          </w:p>
        </w:tc>
        <w:tc>
          <w:tcPr>
            <w:tcW w:type="dxa" w:w="7627"/>
            <w:shd w:val="clear" w:color="auto" w:fill="FAFAFA"/>
          </w:tcPr>
          <w:p>
            <w:pPr>
              <w:pStyle w:val="Compact"/>
              <w:spacing w:after="20" w:before="20"/>
            </w:pPr>
            <w:r>
              <w:rPr>
                <w:sz w:val="18"/>
              </w:rPr>
              <w:t xml:space="preserve">[Verizon classification label]. Shared with Lucidic AI under the executed mutual NDA</w:t>
            </w:r>
          </w:p>
        </w:tc>
      </w:tr>
      <w:tr>
        <w:tc>
          <w:tcPr>
            <w:tcW w:type="dxa" w:w="2165"/>
            <w:shd w:val="clear" w:color="auto" w:fill="F2F2F2"/>
          </w:tcPr>
          <w:p>
            <w:pPr>
              <w:pStyle w:val="Compact"/>
              <w:spacing w:after="20" w:before="20"/>
            </w:pPr>
            <w:r>
              <w:rPr>
                <w:b/>
                <w:sz w:val="18"/>
              </w:rPr>
              <w:t xml:space="preserve">Audience</w:t>
            </w:r>
          </w:p>
        </w:tc>
        <w:tc>
          <w:tcPr>
            <w:tcW w:type="dxa" w:w="7627"/>
          </w:tcPr>
          <w:p>
            <w:pPr>
              <w:pStyle w:val="Compact"/>
              <w:spacing w:after="20" w:before="20"/>
            </w:pPr>
            <w:r>
              <w:rPr>
                <w:sz w:val="18"/>
              </w:rPr>
              <w:t xml:space="preserve">Verizon pilot stakeholders (Kairos platform, Agent SDK, Security/TPRM, Privacy/Legal, Data/ML, use-case owners, Procurement) and the Lucidic AI team</w:t>
            </w:r>
          </w:p>
        </w:tc>
      </w:tr>
      <w:tr>
        <w:tc>
          <w:tcPr>
            <w:tcW w:type="dxa" w:w="2165"/>
            <w:shd w:val="clear" w:color="auto" w:fill="F2F2F2"/>
          </w:tcPr>
          <w:p>
            <w:pPr>
              <w:pStyle w:val="Compact"/>
              <w:spacing w:after="20" w:before="20"/>
            </w:pPr>
            <w:r>
              <w:rPr>
                <w:b/>
                <w:sz w:val="18"/>
              </w:rPr>
              <w:t xml:space="preserve">Basis</w:t>
            </w:r>
          </w:p>
        </w:tc>
        <w:tc>
          <w:tcPr>
            <w:tcW w:type="dxa" w:w="7627"/>
            <w:shd w:val="clear" w:color="auto" w:fill="FAFAFA"/>
          </w:tcPr>
          <w:p>
            <w:pPr>
              <w:pStyle w:val="Compact"/>
              <w:spacing w:after="20" w:before="20"/>
            </w:pPr>
            <w:r>
              <w:rPr>
                <w:sz w:val="18"/>
              </w:rPr>
              <w:t xml:space="preserve">Public Lucidic materials (lucidic.ai, YC profile, Launch HN, demo video) and a static review of the public</w:t>
            </w:r>
            <w:r>
              <w:rPr>
                <w:sz w:val="18"/>
              </w:rPr>
              <w:t xml:space="preserve"> </w:t>
            </w:r>
            <w:r>
              <w:rPr>
                <w:rStyle w:val="VerbatimChar"/>
                <w:sz w:val="18"/>
              </w:rPr>
              <w:t xml:space="preserve">lucidicai</w:t>
            </w:r>
            <w:r>
              <w:rPr>
                <w:sz w:val="18"/>
              </w:rPr>
              <w:t xml:space="preserve"> </w:t>
            </w:r>
            <w:r>
              <w:rPr>
                <w:sz w:val="18"/>
              </w:rPr>
              <w:t xml:space="preserve">SDKs (Python 3.7.1, TypeScript 2.2.2). No Lucidic backend was called. Lucidic is asked to confirm or correct every SDK-derived finding (Section 11).</w:t>
            </w:r>
          </w:p>
        </w:tc>
      </w:tr>
    </w:tbl>
    <w:p>
      <w:pPr>
        <w:pStyle w:val="BodyText"/>
      </w:pPr>
      <w:r>
        <w:rPr>
          <w:b/>
          <w:bCs/>
        </w:rPr>
        <w:t xml:space="preserve">How to read this document.</w:t>
      </w:r>
      <w:r>
        <w:t xml:space="preserve"> </w:t>
      </w:r>
      <w:r>
        <w:t xml:space="preserve">Statements of the form</w:t>
      </w:r>
      <w:r>
        <w:t xml:space="preserve"> </w:t>
      </w:r>
      <w:r>
        <w:t xml:space="preserve">“Lucidic must …”</w:t>
      </w:r>
      <w:r>
        <w:t xml:space="preserve"> </w:t>
      </w:r>
      <w:r>
        <w:t xml:space="preserve">are Verizon’s POC requirements. Values in square brackets (for example</w:t>
      </w:r>
      <w:r>
        <w:t xml:space="preserve"> </w:t>
      </w:r>
      <w:r>
        <w:rPr>
          <w:rStyle w:val="VerbatimChar"/>
        </w:rPr>
        <w:t xml:space="preserve">[owner]</w:t>
      </w:r>
      <w:r>
        <w:t xml:space="preserve"> </w:t>
      </w:r>
      <w:r>
        <w:t xml:space="preserve">and</w:t>
      </w:r>
      <w:r>
        <w:t xml:space="preserve"> </w:t>
      </w:r>
      <w:r>
        <w:rPr>
          <w:rStyle w:val="VerbatimChar"/>
        </w:rPr>
        <w:t xml:space="preserve">[metric target]</w:t>
      </w:r>
      <w:r>
        <w:t xml:space="preserve">) are placeholders to be agreed before Week 1. Nothing in this document describes Verizon internal systems beyond what is stated in Section 1.3.</w:t>
      </w:r>
    </w:p>
    <w:bookmarkEnd w:id="10"/>
    <w:bookmarkStart w:id="17" w:name="executive-summary-and-objectives"/>
    <w:p>
      <w:pPr>
        <w:pStyle w:val="Heading1"/>
      </w:pPr>
      <w:r>
        <w:t xml:space="preserve">1. Executive summary and objectives</w:t>
      </w:r>
    </w:p>
    <w:bookmarkStart w:id="11" w:name="summary"/>
    <w:p>
      <w:pPr>
        <w:pStyle w:val="Heading2"/>
      </w:pPr>
      <w:r>
        <w:t xml:space="preserve">1.1 Summary</w:t>
      </w:r>
    </w:p>
    <w:p>
      <w:pPr>
        <w:pStyle w:val="FirstParagraph"/>
      </w:pPr>
      <w:r>
        <w:t xml:space="preserve">Verizon proposes an 8-week proof of concept (POC) with Lucidic AI (YC W25). Lucidic trains custom models and agent harnesses (system prompts, context, tools, memory, guardrails and policies) from production traces. The POC will take one internal, low-CPNI agent use case end to end: from roughly three months of historical OpenTelemetry (OTel) traces, through simulation, harness optimisation, memory and fine-tuning, to a custom model served behind Verizon’s Kairos LLM gateway.</w:t>
      </w:r>
    </w:p>
    <w:p>
      <w:pPr>
        <w:pStyle w:val="BodyText"/>
      </w:pPr>
      <w:r>
        <w:t xml:space="preserve">Three conditions are non-negotiable:</w:t>
      </w:r>
    </w:p>
    <w:p>
      <w:pPr>
        <w:pStyle w:val="Compact"/>
        <w:numPr>
          <w:ilvl w:val="0"/>
          <w:numId w:val="1002"/>
        </w:numPr>
      </w:pPr>
      <w:r>
        <w:rPr>
          <w:b/>
          <w:bCs/>
        </w:rPr>
        <w:t xml:space="preserve">Zero process change.</w:t>
      </w:r>
      <w:r>
        <w:t xml:space="preserve"> </w:t>
      </w:r>
      <w:r>
        <w:t xml:space="preserve">Lucidic integrates through Kairos (LiteLLM) and Verizon’s existing OTel pipeline, with no changes to application code.</w:t>
      </w:r>
    </w:p>
    <w:p>
      <w:pPr>
        <w:pStyle w:val="Compact"/>
        <w:numPr>
          <w:ilvl w:val="0"/>
          <w:numId w:val="1002"/>
        </w:numPr>
      </w:pPr>
      <w:r>
        <w:rPr>
          <w:b/>
          <w:bCs/>
        </w:rPr>
        <w:t xml:space="preserve">Data stays governed.</w:t>
      </w:r>
      <w:r>
        <w:t xml:space="preserve"> </w:t>
      </w:r>
      <w:r>
        <w:t xml:space="preserve">CPNI/PII is redacted inside the Verizon boundary before any data egress, and the deployment model passes Verizon third-party risk management (TPRM).</w:t>
      </w:r>
    </w:p>
    <w:p>
      <w:pPr>
        <w:pStyle w:val="Compact"/>
        <w:numPr>
          <w:ilvl w:val="0"/>
          <w:numId w:val="1002"/>
        </w:numPr>
      </w:pPr>
      <w:r>
        <w:rPr>
          <w:b/>
          <w:bCs/>
        </w:rPr>
        <w:t xml:space="preserve">Portable outcome.</w:t>
      </w:r>
      <w:r>
        <w:t xml:space="preserve"> </w:t>
      </w:r>
      <w:r>
        <w:t xml:space="preserve">Trained weights and the harness are exportable and run behind Kairos without the Lucidic runtime on the inference path.</w:t>
      </w:r>
    </w:p>
    <w:p>
      <w:pPr>
        <w:pStyle w:val="FirstParagraph"/>
      </w:pPr>
      <w:r>
        <w:t xml:space="preserve">If the POC meets its gates and score threshold (Section 9), the result becomes an internal testimonial and a beta offering for other Verizon agent teams (Section 8).</w:t>
      </w:r>
    </w:p>
    <w:bookmarkEnd w:id="11"/>
    <w:bookmarkStart w:id="12" w:name="objectives"/>
    <w:p>
      <w:pPr>
        <w:pStyle w:val="Heading2"/>
      </w:pPr>
      <w:r>
        <w:t xml:space="preserve">1.2 Objectives</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041"/>
        <w:gridCol w:w="6681"/>
        <w:gridCol w:w="2069"/>
      </w:tblGrid>
      <w:tr>
        <w:trPr>
          <w:tblHeader w:val="on"/>
          <w:tblHeader w:val="true"/>
        </w:trPr>
        <w:tc>
          <w:tcPr>
            <w:tcW w:type="dxa" w:w="1042"/>
            <w:shd w:val="clear" w:color="auto" w:fill="1F1F1F"/>
          </w:tcPr>
          <w:p>
            <w:pPr>
              <w:pStyle w:val="Compact"/>
              <w:spacing w:after="20" w:before="20"/>
            </w:pPr>
            <w:r>
              <w:rPr>
                <w:b/>
                <w:color w:val="FFFFFF"/>
                <w:sz w:val="18"/>
              </w:rPr>
              <w:t xml:space="preserve">#</w:t>
            </w:r>
          </w:p>
        </w:tc>
        <w:tc>
          <w:tcPr>
            <w:tcW w:type="dxa" w:w="6681"/>
            <w:shd w:val="clear" w:color="auto" w:fill="1F1F1F"/>
          </w:tcPr>
          <w:p>
            <w:pPr>
              <w:pStyle w:val="Compact"/>
              <w:spacing w:after="20" w:before="20"/>
            </w:pPr>
            <w:r>
              <w:rPr>
                <w:b/>
                <w:color w:val="FFFFFF"/>
                <w:sz w:val="18"/>
              </w:rPr>
              <w:t xml:space="preserve">Objective</w:t>
            </w:r>
          </w:p>
        </w:tc>
        <w:tc>
          <w:tcPr>
            <w:tcW w:type="dxa" w:w="2069"/>
            <w:shd w:val="clear" w:color="auto" w:fill="1F1F1F"/>
          </w:tcPr>
          <w:p>
            <w:pPr>
              <w:pStyle w:val="Compact"/>
              <w:spacing w:after="20" w:before="20"/>
            </w:pPr>
            <w:r>
              <w:rPr>
                <w:b/>
                <w:color w:val="FFFFFF"/>
                <w:sz w:val="18"/>
              </w:rPr>
              <w:t xml:space="preserve">Measured by</w:t>
            </w:r>
          </w:p>
        </w:tc>
      </w:tr>
      <w:tr>
        <w:tc>
          <w:tcPr>
            <w:tcW w:type="dxa" w:w="1042"/>
          </w:tcPr>
          <w:p>
            <w:pPr>
              <w:pStyle w:val="Compact"/>
              <w:spacing w:after="20" w:before="20"/>
            </w:pPr>
            <w:r>
              <w:rPr>
                <w:sz w:val="18"/>
              </w:rPr>
              <w:t xml:space="preserve">O1</w:t>
            </w:r>
          </w:p>
        </w:tc>
        <w:tc>
          <w:tcPr>
            <w:tcW w:type="dxa" w:w="6681"/>
          </w:tcPr>
          <w:p>
            <w:pPr>
              <w:pStyle w:val="Compact"/>
              <w:spacing w:after="20" w:before="20"/>
            </w:pPr>
            <w:r>
              <w:rPr>
                <w:sz w:val="18"/>
              </w:rPr>
              <w:t xml:space="preserve">Prove zero-code-change integration via Kairos and the existing OTel pipeline</w:t>
            </w:r>
          </w:p>
        </w:tc>
        <w:tc>
          <w:tcPr>
            <w:tcW w:type="dxa" w:w="2069"/>
          </w:tcPr>
          <w:p>
            <w:pPr>
              <w:pStyle w:val="Compact"/>
              <w:spacing w:after="20" w:before="20"/>
            </w:pPr>
            <w:r>
              <w:rPr>
                <w:sz w:val="18"/>
              </w:rPr>
              <w:t xml:space="preserve">TA-01, TA-02</w:t>
            </w:r>
          </w:p>
        </w:tc>
      </w:tr>
      <w:tr>
        <w:tc>
          <w:tcPr>
            <w:tcW w:type="dxa" w:w="1042"/>
            <w:shd w:val="clear" w:color="auto" w:fill="FAFAFA"/>
          </w:tcPr>
          <w:p>
            <w:pPr>
              <w:pStyle w:val="Compact"/>
              <w:spacing w:after="20" w:before="20"/>
            </w:pPr>
            <w:r>
              <w:rPr>
                <w:sz w:val="18"/>
              </w:rPr>
              <w:t xml:space="preserve">O2</w:t>
            </w:r>
          </w:p>
        </w:tc>
        <w:tc>
          <w:tcPr>
            <w:tcW w:type="dxa" w:w="6681"/>
            <w:shd w:val="clear" w:color="auto" w:fill="FAFAFA"/>
          </w:tcPr>
          <w:p>
            <w:pPr>
              <w:pStyle w:val="Compact"/>
              <w:spacing w:after="20" w:before="20"/>
            </w:pPr>
            <w:r>
              <w:rPr>
                <w:sz w:val="18"/>
              </w:rPr>
              <w:t xml:space="preserve">Prove that simulations built from Verizon traces are faithful enough to drive optimisation decisions</w:t>
            </w:r>
          </w:p>
        </w:tc>
        <w:tc>
          <w:tcPr>
            <w:tcW w:type="dxa" w:w="2069"/>
            <w:shd w:val="clear" w:color="auto" w:fill="FAFAFA"/>
          </w:tcPr>
          <w:p>
            <w:pPr>
              <w:pStyle w:val="Compact"/>
              <w:spacing w:after="20" w:before="20"/>
            </w:pPr>
            <w:r>
              <w:rPr>
                <w:sz w:val="18"/>
              </w:rPr>
              <w:t xml:space="preserve">TA-03, TA-04</w:t>
            </w:r>
          </w:p>
        </w:tc>
      </w:tr>
      <w:tr>
        <w:tc>
          <w:tcPr>
            <w:tcW w:type="dxa" w:w="1042"/>
          </w:tcPr>
          <w:p>
            <w:pPr>
              <w:pStyle w:val="Compact"/>
              <w:spacing w:after="20" w:before="20"/>
            </w:pPr>
            <w:r>
              <w:rPr>
                <w:sz w:val="18"/>
              </w:rPr>
              <w:t xml:space="preserve">O3</w:t>
            </w:r>
          </w:p>
        </w:tc>
        <w:tc>
          <w:tcPr>
            <w:tcW w:type="dxa" w:w="6681"/>
          </w:tcPr>
          <w:p>
            <w:pPr>
              <w:pStyle w:val="Compact"/>
              <w:spacing w:after="20" w:before="20"/>
            </w:pPr>
            <w:r>
              <w:rPr>
                <w:sz w:val="18"/>
              </w:rPr>
              <w:t xml:space="preserve">Demonstrate measurable lift from harness optimisation and memory on a held-out set</w:t>
            </w:r>
          </w:p>
        </w:tc>
        <w:tc>
          <w:tcPr>
            <w:tcW w:type="dxa" w:w="2069"/>
          </w:tcPr>
          <w:p>
            <w:pPr>
              <w:pStyle w:val="Compact"/>
              <w:spacing w:after="20" w:before="20"/>
            </w:pPr>
            <w:r>
              <w:rPr>
                <w:sz w:val="18"/>
              </w:rPr>
              <w:t xml:space="preserve">TA-05, TA-06</w:t>
            </w:r>
          </w:p>
        </w:tc>
      </w:tr>
      <w:tr>
        <w:tc>
          <w:tcPr>
            <w:tcW w:type="dxa" w:w="1042"/>
            <w:shd w:val="clear" w:color="auto" w:fill="FAFAFA"/>
          </w:tcPr>
          <w:p>
            <w:pPr>
              <w:pStyle w:val="Compact"/>
              <w:spacing w:after="20" w:before="20"/>
            </w:pPr>
            <w:r>
              <w:rPr>
                <w:sz w:val="18"/>
              </w:rPr>
              <w:t xml:space="preserve">O4</w:t>
            </w:r>
          </w:p>
        </w:tc>
        <w:tc>
          <w:tcPr>
            <w:tcW w:type="dxa" w:w="6681"/>
            <w:shd w:val="clear" w:color="auto" w:fill="FAFAFA"/>
          </w:tcPr>
          <w:p>
            <w:pPr>
              <w:pStyle w:val="Compact"/>
              <w:spacing w:after="20" w:before="20"/>
            </w:pPr>
            <w:r>
              <w:rPr>
                <w:sz w:val="18"/>
              </w:rPr>
              <w:t xml:space="preserve">Produce a custom model that matches or beats the current production model on quality at lower cost and/or latency</w:t>
            </w:r>
          </w:p>
        </w:tc>
        <w:tc>
          <w:tcPr>
            <w:tcW w:type="dxa" w:w="2069"/>
            <w:shd w:val="clear" w:color="auto" w:fill="FAFAFA"/>
          </w:tcPr>
          <w:p>
            <w:pPr>
              <w:pStyle w:val="Compact"/>
              <w:spacing w:after="20" w:before="20"/>
            </w:pPr>
            <w:r>
              <w:rPr>
                <w:sz w:val="18"/>
              </w:rPr>
              <w:t xml:space="preserve">TA-07, TA-09</w:t>
            </w:r>
          </w:p>
        </w:tc>
      </w:tr>
      <w:tr>
        <w:tc>
          <w:tcPr>
            <w:tcW w:type="dxa" w:w="1042"/>
          </w:tcPr>
          <w:p>
            <w:pPr>
              <w:pStyle w:val="Compact"/>
              <w:spacing w:after="20" w:before="20"/>
            </w:pPr>
            <w:r>
              <w:rPr>
                <w:sz w:val="18"/>
              </w:rPr>
              <w:t xml:space="preserve">O5</w:t>
            </w:r>
          </w:p>
        </w:tc>
        <w:tc>
          <w:tcPr>
            <w:tcW w:type="dxa" w:w="6681"/>
          </w:tcPr>
          <w:p>
            <w:pPr>
              <w:pStyle w:val="Compact"/>
              <w:spacing w:after="20" w:before="20"/>
            </w:pPr>
            <w:r>
              <w:rPr>
                <w:sz w:val="18"/>
              </w:rPr>
              <w:t xml:space="preserve">Prove portability: weights and harness exported, served behind Kairos, no Lucidic runtime dependency at inference</w:t>
            </w:r>
          </w:p>
        </w:tc>
        <w:tc>
          <w:tcPr>
            <w:tcW w:type="dxa" w:w="2069"/>
          </w:tcPr>
          <w:p>
            <w:pPr>
              <w:pStyle w:val="Compact"/>
              <w:spacing w:after="20" w:before="20"/>
            </w:pPr>
            <w:r>
              <w:rPr>
                <w:sz w:val="18"/>
              </w:rPr>
              <w:t xml:space="preserve">TA-08</w:t>
            </w:r>
          </w:p>
        </w:tc>
      </w:tr>
      <w:tr>
        <w:tc>
          <w:tcPr>
            <w:tcW w:type="dxa" w:w="1042"/>
            <w:shd w:val="clear" w:color="auto" w:fill="FAFAFA"/>
          </w:tcPr>
          <w:p>
            <w:pPr>
              <w:pStyle w:val="Compact"/>
              <w:spacing w:after="20" w:before="20"/>
            </w:pPr>
            <w:r>
              <w:rPr>
                <w:sz w:val="18"/>
              </w:rPr>
              <w:t xml:space="preserve">O6</w:t>
            </w:r>
          </w:p>
        </w:tc>
        <w:tc>
          <w:tcPr>
            <w:tcW w:type="dxa" w:w="6681"/>
            <w:shd w:val="clear" w:color="auto" w:fill="FAFAFA"/>
          </w:tcPr>
          <w:p>
            <w:pPr>
              <w:pStyle w:val="Compact"/>
              <w:spacing w:after="20" w:before="20"/>
            </w:pPr>
            <w:r>
              <w:rPr>
                <w:sz w:val="18"/>
              </w:rPr>
              <w:t xml:space="preserve">Clear security, privacy and vendor-risk requirements for a production path</w:t>
            </w:r>
          </w:p>
        </w:tc>
        <w:tc>
          <w:tcPr>
            <w:tcW w:type="dxa" w:w="2069"/>
            <w:shd w:val="clear" w:color="auto" w:fill="FAFAFA"/>
          </w:tcPr>
          <w:p>
            <w:pPr>
              <w:pStyle w:val="Compact"/>
              <w:spacing w:after="20" w:before="20"/>
            </w:pPr>
            <w:r>
              <w:rPr>
                <w:sz w:val="18"/>
              </w:rPr>
              <w:t xml:space="preserve">TA-10, TA-11, TA-12</w:t>
            </w:r>
          </w:p>
        </w:tc>
      </w:tr>
      <w:tr>
        <w:tc>
          <w:tcPr>
            <w:tcW w:type="dxa" w:w="1042"/>
          </w:tcPr>
          <w:p>
            <w:pPr>
              <w:pStyle w:val="Compact"/>
              <w:spacing w:after="20" w:before="20"/>
            </w:pPr>
            <w:r>
              <w:rPr>
                <w:sz w:val="18"/>
              </w:rPr>
              <w:t xml:space="preserve">O7</w:t>
            </w:r>
          </w:p>
        </w:tc>
        <w:tc>
          <w:tcPr>
            <w:tcW w:type="dxa" w:w="6681"/>
          </w:tcPr>
          <w:p>
            <w:pPr>
              <w:pStyle w:val="Compact"/>
              <w:spacing w:after="20" w:before="20"/>
            </w:pPr>
            <w:r>
              <w:rPr>
                <w:sz w:val="18"/>
              </w:rPr>
              <w:t xml:space="preserve">Produce the artefacts needed to offer the pattern to other Verizon teams as a beta</w:t>
            </w:r>
          </w:p>
        </w:tc>
        <w:tc>
          <w:tcPr>
            <w:tcW w:type="dxa" w:w="2069"/>
          </w:tcPr>
          <w:p>
            <w:pPr>
              <w:pStyle w:val="Compact"/>
              <w:spacing w:after="20" w:before="20"/>
            </w:pPr>
            <w:r>
              <w:rPr>
                <w:sz w:val="18"/>
              </w:rPr>
              <w:t xml:space="preserve">Section 8</w:t>
            </w:r>
          </w:p>
        </w:tc>
      </w:tr>
    </w:tbl>
    <w:bookmarkEnd w:id="12"/>
    <w:bookmarkStart w:id="16" w:name="X2990ebd2bc465031c34568d878c7a2e15d56e2f"/>
    <w:p>
      <w:pPr>
        <w:pStyle w:val="Heading2"/>
      </w:pPr>
      <w:r>
        <w:t xml:space="preserve">1.3 Verizon context (as relevant to this pilot)</w:t>
      </w:r>
    </w:p>
    <w:p>
      <w:pPr>
        <w:pStyle w:val="Compact"/>
        <w:numPr>
          <w:ilvl w:val="0"/>
          <w:numId w:val="1003"/>
        </w:numPr>
      </w:pPr>
      <w:r>
        <w:rPr>
          <w:b/>
          <w:bCs/>
        </w:rPr>
        <w:t xml:space="preserve">Internal agent SDK.</w:t>
      </w:r>
      <w:r>
        <w:t xml:space="preserve"> </w:t>
      </w:r>
      <w:r>
        <w:t xml:space="preserve">Verizon agents are built on an internal agent SDK.</w:t>
      </w:r>
    </w:p>
    <w:p>
      <w:pPr>
        <w:pStyle w:val="Compact"/>
        <w:numPr>
          <w:ilvl w:val="0"/>
          <w:numId w:val="1003"/>
        </w:numPr>
      </w:pPr>
      <w:r>
        <w:rPr>
          <w:b/>
          <w:bCs/>
        </w:rPr>
        <w:t xml:space="preserve">Kairos.</w:t>
      </w:r>
      <w:r>
        <w:t xml:space="preserve"> </w:t>
      </w:r>
      <w:r>
        <w:t xml:space="preserve">A Laravel-based gateway built on LiteLLM. Every model call goes through Kairos.</w:t>
      </w:r>
    </w:p>
    <w:p>
      <w:pPr>
        <w:pStyle w:val="Compact"/>
        <w:numPr>
          <w:ilvl w:val="0"/>
          <w:numId w:val="1003"/>
        </w:numPr>
      </w:pPr>
      <w:r>
        <w:rPr>
          <w:b/>
          <w:bCs/>
        </w:rPr>
        <w:t xml:space="preserve">Tracing.</w:t>
      </w:r>
      <w:r>
        <w:t xml:space="preserve"> </w:t>
      </w:r>
      <w:r>
        <w:t xml:space="preserve">Existing OTel traces in Galileo format, about three months of history.</w:t>
      </w:r>
    </w:p>
    <w:p>
      <w:pPr>
        <w:pStyle w:val="Compact"/>
        <w:numPr>
          <w:ilvl w:val="0"/>
          <w:numId w:val="1003"/>
        </w:numPr>
      </w:pPr>
      <w:r>
        <w:rPr>
          <w:b/>
          <w:bCs/>
        </w:rPr>
        <w:t xml:space="preserve">Target pipeline:</w:t>
      </w:r>
      <w:r>
        <w:t xml:space="preserve"> </w:t>
      </w:r>
      <w:r>
        <w:t xml:space="preserve">OTel traces → simulation → harness optimisation → memory → fine-tuning → custom model.</w:t>
      </w:r>
    </w:p>
    <w:p>
      <w:pPr>
        <w:pStyle w:val="CaptionedFigure"/>
      </w:pPr>
      <w:r>
        <w:drawing>
          <wp:inline>
            <wp:extent cx="5334000" cy="972910"/>
            <wp:effectExtent b="0" l="0" r="0" t="0"/>
            <wp:docPr descr="Figure 1. Target pilot architecture: Kairos and the OTel Collector as the only integration points; custom model served back behind Kairos." title="" id="14" name="Picture"/>
            <a:graphic>
              <a:graphicData uri="http://schemas.openxmlformats.org/drawingml/2006/picture">
                <pic:pic>
                  <pic:nvPicPr>
                    <pic:cNvPr descr="diagrams/c_verizon_arch.png" id="15" name="Picture"/>
                    <pic:cNvPicPr>
                      <a:picLocks noChangeArrowheads="1" noChangeAspect="1"/>
                    </pic:cNvPicPr>
                  </pic:nvPicPr>
                  <pic:blipFill>
                    <a:blip r:embed="rId13"/>
                    <a:stretch>
                      <a:fillRect/>
                    </a:stretch>
                  </pic:blipFill>
                  <pic:spPr bwMode="auto">
                    <a:xfrm>
                      <a:off x="0" y="0"/>
                      <a:ext cx="5334000" cy="972910"/>
                    </a:xfrm>
                    <a:prstGeom prst="rect">
                      <a:avLst/>
                    </a:prstGeom>
                    <a:noFill/>
                    <a:ln w="9525">
                      <a:noFill/>
                      <a:headEnd/>
                      <a:tailEnd/>
                    </a:ln>
                  </pic:spPr>
                </pic:pic>
              </a:graphicData>
            </a:graphic>
          </wp:inline>
        </w:drawing>
      </w:r>
    </w:p>
    <w:p>
      <w:pPr>
        <w:pStyle w:val="ImageCaption"/>
      </w:pPr>
      <w:r>
        <w:t xml:space="preserve">Figure 1. Target pilot architecture: Kairos and the OTel Collector as the only integration points; custom model served back behind Kairos.</w:t>
      </w:r>
    </w:p>
    <w:bookmarkEnd w:id="16"/>
    <w:bookmarkEnd w:id="17"/>
    <w:bookmarkStart w:id="27" w:name="zero-process-change-integration"/>
    <w:p>
      <w:pPr>
        <w:pStyle w:val="Heading1"/>
      </w:pPr>
      <w:r>
        <w:t xml:space="preserve">2. Zero-process-change integration</w:t>
      </w:r>
    </w:p>
    <w:bookmarkStart w:id="18" w:name="requirement"/>
    <w:p>
      <w:pPr>
        <w:pStyle w:val="Heading2"/>
      </w:pPr>
      <w:r>
        <w:t xml:space="preserve">2.1 Requirement</w:t>
      </w:r>
    </w:p>
    <w:p>
      <w:pPr>
        <w:pStyle w:val="FirstParagraph"/>
      </w:pPr>
      <w:r>
        <w:t xml:space="preserve">Lucidic must integrate through Kairos (LiteLLM) and Verizon’s existing OTel/Galileo pipeline</w:t>
      </w:r>
      <w:r>
        <w:t xml:space="preserve"> </w:t>
      </w:r>
      <w:r>
        <w:rPr>
          <w:b/>
          <w:bCs/>
        </w:rPr>
        <w:t xml:space="preserve">without changes to agent application code</w:t>
      </w:r>
      <w:r>
        <w:t xml:space="preserve">. Configuration of Kairos, the OTel Collector, or a Verizon-owned adapter service is acceptable. Adding the</w:t>
      </w:r>
      <w:r>
        <w:t xml:space="preserve"> </w:t>
      </w:r>
      <w:r>
        <w:rPr>
          <w:rStyle w:val="VerbatimChar"/>
        </w:rPr>
        <w:t xml:space="preserve">lucidicai</w:t>
      </w:r>
      <w:r>
        <w:t xml:space="preserve"> </w:t>
      </w:r>
      <w:r>
        <w:t xml:space="preserve">SDK, decorators, or session wrappers to agent code is not acceptable for this POC.</w:t>
      </w:r>
    </w:p>
    <w:bookmarkEnd w:id="18"/>
    <w:bookmarkStart w:id="19" w:name="X598021e21f4539e476b7d0dc768add9f9a0dccc"/>
    <w:p>
      <w:pPr>
        <w:pStyle w:val="Heading2"/>
      </w:pPr>
      <w:r>
        <w:t xml:space="preserve">2.2 What the public SDK tells us (to be confirmed by Lucidic)</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846"/>
        <w:gridCol w:w="2187"/>
        <w:gridCol w:w="3758"/>
      </w:tblGrid>
      <w:tr>
        <w:trPr>
          <w:tblHeader w:val="on"/>
          <w:tblHeader w:val="true"/>
        </w:trPr>
        <w:tc>
          <w:tcPr>
            <w:tcW w:type="dxa" w:w="3846"/>
            <w:shd w:val="clear" w:color="auto" w:fill="1F1F1F"/>
          </w:tcPr>
          <w:p>
            <w:pPr>
              <w:pStyle w:val="Compact"/>
              <w:spacing w:after="20" w:before="20"/>
            </w:pPr>
            <w:r>
              <w:rPr>
                <w:b/>
                <w:color w:val="FFFFFF"/>
                <w:sz w:val="18"/>
              </w:rPr>
              <w:t xml:space="preserve">Finding</w:t>
            </w:r>
          </w:p>
        </w:tc>
        <w:tc>
          <w:tcPr>
            <w:tcW w:type="dxa" w:w="2188"/>
            <w:shd w:val="clear" w:color="auto" w:fill="1F1F1F"/>
          </w:tcPr>
          <w:p>
            <w:pPr>
              <w:pStyle w:val="Compact"/>
              <w:spacing w:after="20" w:before="20"/>
            </w:pPr>
            <w:r>
              <w:rPr>
                <w:b/>
                <w:color w:val="FFFFFF"/>
                <w:sz w:val="18"/>
              </w:rPr>
              <w:t xml:space="preserve">Evidence (SDK 3.7.1)</w:t>
            </w:r>
          </w:p>
        </w:tc>
        <w:tc>
          <w:tcPr>
            <w:tcW w:type="dxa" w:w="3758"/>
            <w:shd w:val="clear" w:color="auto" w:fill="1F1F1F"/>
          </w:tcPr>
          <w:p>
            <w:pPr>
              <w:pStyle w:val="Compact"/>
              <w:spacing w:after="20" w:before="20"/>
            </w:pPr>
            <w:r>
              <w:rPr>
                <w:b/>
                <w:color w:val="FFFFFF"/>
                <w:sz w:val="18"/>
              </w:rPr>
              <w:t xml:space="preserve">Implication for Verizon</w:t>
            </w:r>
          </w:p>
        </w:tc>
      </w:tr>
      <w:tr>
        <w:tc>
          <w:tcPr>
            <w:tcW w:type="dxa" w:w="3846"/>
          </w:tcPr>
          <w:p>
            <w:pPr>
              <w:pStyle w:val="Compact"/>
              <w:spacing w:after="20" w:before="20"/>
            </w:pPr>
            <w:r>
              <w:rPr>
                <w:b/>
                <w:bCs/>
                <w:sz w:val="18"/>
              </w:rPr>
              <w:t xml:space="preserve">No OTLP.</w:t>
            </w:r>
            <w:r>
              <w:rPr>
                <w:sz w:val="18"/>
              </w:rPr>
              <w:t xml:space="preserve"> </w:t>
            </w:r>
            <w:r>
              <w:rPr>
                <w:sz w:val="18"/>
              </w:rPr>
              <w:t xml:space="preserve">Neither SDK contains an OTLP exporter or receiver; data goes to Lucidic’s proprietary JSON REST API (</w:t>
            </w:r>
            <w:r>
              <w:rPr>
                <w:rStyle w:val="VerbatimChar"/>
                <w:sz w:val="18"/>
              </w:rPr>
              <w:t xml:space="preserve">/api/initsession</w:t>
            </w:r>
            <w:r>
              <w:rPr>
                <w:sz w:val="18"/>
              </w:rPr>
              <w:t xml:space="preserve">,</w:t>
            </w:r>
            <w:r>
              <w:rPr>
                <w:sz w:val="18"/>
              </w:rPr>
              <w:t xml:space="preserve"> </w:t>
            </w:r>
            <w:r>
              <w:rPr>
                <w:rStyle w:val="VerbatimChar"/>
                <w:sz w:val="18"/>
              </w:rPr>
              <w:t xml:space="preserve">/api/events</w:t>
            </w:r>
            <w:r>
              <w:rPr>
                <w:sz w:val="18"/>
              </w:rPr>
              <w:t xml:space="preserve">,</w:t>
            </w:r>
            <w:r>
              <w:rPr>
                <w:sz w:val="18"/>
              </w:rPr>
              <w:t xml:space="preserve"> </w:t>
            </w:r>
            <w:r>
              <w:rPr>
                <w:rStyle w:val="VerbatimChar"/>
                <w:sz w:val="18"/>
              </w:rPr>
              <w:t xml:space="preserve">/api/sdk/datasets/...</w:t>
            </w:r>
            <w:r>
              <w:rPr>
                <w:sz w:val="18"/>
              </w:rPr>
              <w:t xml:space="preserve">).</w:t>
            </w:r>
          </w:p>
        </w:tc>
        <w:tc>
          <w:tcPr>
            <w:tcW w:type="dxa" w:w="2188"/>
          </w:tcPr>
          <w:p>
            <w:pPr>
              <w:pStyle w:val="Compact"/>
              <w:spacing w:after="20" w:before="20"/>
            </w:pPr>
            <w:r>
              <w:rPr>
                <w:rStyle w:val="VerbatimChar"/>
                <w:sz w:val="18"/>
              </w:rPr>
              <w:t xml:space="preserve">telemetry/lucidic_exporter.py</w:t>
            </w:r>
            <w:r>
              <w:rPr>
                <w:sz w:val="18"/>
              </w:rPr>
              <w:t xml:space="preserve">,</w:t>
            </w:r>
            <w:r>
              <w:rPr>
                <w:sz w:val="18"/>
              </w:rPr>
              <w:t xml:space="preserve"> </w:t>
            </w:r>
            <w:r>
              <w:rPr>
                <w:rStyle w:val="VerbatimChar"/>
                <w:sz w:val="18"/>
              </w:rPr>
              <w:t xml:space="preserve">event_queue.py</w:t>
            </w:r>
          </w:p>
        </w:tc>
        <w:tc>
          <w:tcPr>
            <w:tcW w:type="dxa" w:w="3758"/>
          </w:tcPr>
          <w:p>
            <w:pPr>
              <w:pStyle w:val="Compact"/>
              <w:spacing w:after="20" w:before="20"/>
            </w:pPr>
            <w:r>
              <w:rPr>
                <w:sz w:val="18"/>
              </w:rPr>
              <w:t xml:space="preserve">Our existing OTel/Galileo traces cannot be sent as-is. We need an OTLP endpoint from Lucidic or a Verizon-side adapter.</w:t>
            </w:r>
          </w:p>
        </w:tc>
      </w:tr>
      <w:tr>
        <w:tc>
          <w:tcPr>
            <w:tcW w:type="dxa" w:w="3846"/>
            <w:shd w:val="clear" w:color="auto" w:fill="FAFAFA"/>
          </w:tcPr>
          <w:p>
            <w:pPr>
              <w:pStyle w:val="Compact"/>
              <w:spacing w:after="20" w:before="20"/>
            </w:pPr>
            <w:r>
              <w:rPr>
                <w:b/>
                <w:bCs/>
                <w:sz w:val="18"/>
              </w:rPr>
              <w:t xml:space="preserve">Spans without</w:t>
            </w:r>
            <w:r>
              <w:rPr>
                <w:b/>
                <w:bCs/>
                <w:sz w:val="18"/>
              </w:rPr>
              <w:t xml:space="preserve"> </w:t>
            </w:r>
            <w:r>
              <w:rPr>
                <w:rStyle w:val="VerbatimChar"/>
                <w:b/>
                <w:bCs/>
                <w:sz w:val="18"/>
              </w:rPr>
              <w:t xml:space="preserve">lucidic.session_id</w:t>
            </w:r>
            <w:r>
              <w:rPr>
                <w:b/>
                <w:bCs/>
                <w:sz w:val="18"/>
              </w:rPr>
              <w:t xml:space="preserve"> </w:t>
            </w:r>
            <w:r>
              <w:rPr>
                <w:b/>
                <w:bCs/>
                <w:sz w:val="18"/>
              </w:rPr>
              <w:t xml:space="preserve">are dropped.</w:t>
            </w:r>
            <w:r>
              <w:rPr>
                <w:sz w:val="18"/>
              </w:rPr>
              <w:t xml:space="preserve"> </w:t>
            </w:r>
            <w:r>
              <w:rPr>
                <w:sz w:val="18"/>
              </w:rPr>
              <w:t xml:space="preserve">The exporter drops any span lacking a session id (attribute or context variable).</w:t>
            </w:r>
          </w:p>
        </w:tc>
        <w:tc>
          <w:tcPr>
            <w:tcW w:type="dxa" w:w="2188"/>
            <w:shd w:val="clear" w:color="auto" w:fill="FAFAFA"/>
          </w:tcPr>
          <w:p>
            <w:pPr>
              <w:pStyle w:val="Compact"/>
              <w:spacing w:after="20" w:before="20"/>
            </w:pPr>
            <w:r>
              <w:rPr>
                <w:rStyle w:val="VerbatimChar"/>
                <w:sz w:val="18"/>
              </w:rPr>
              <w:t xml:space="preserve">telemetry/lucidic_exporter.py</w:t>
            </w:r>
            <w:r>
              <w:rPr>
                <w:sz w:val="18"/>
              </w:rPr>
              <w:t xml:space="preserve"> </w:t>
            </w:r>
            <w:r>
              <w:rPr>
                <w:sz w:val="18"/>
              </w:rPr>
              <w:t xml:space="preserve">l.113-124</w:t>
            </w:r>
          </w:p>
        </w:tc>
        <w:tc>
          <w:tcPr>
            <w:tcW w:type="dxa" w:w="3758"/>
            <w:shd w:val="clear" w:color="auto" w:fill="FAFAFA"/>
          </w:tcPr>
          <w:p>
            <w:pPr>
              <w:pStyle w:val="Compact"/>
              <w:spacing w:after="20" w:before="20"/>
            </w:pPr>
            <w:r>
              <w:rPr>
                <w:sz w:val="18"/>
              </w:rPr>
              <w:t xml:space="preserve">Gateway-level spans must be stamped with a session id derived from existing request metadata, or grouped into sessions by an adapter.</w:t>
            </w:r>
          </w:p>
        </w:tc>
      </w:tr>
      <w:tr>
        <w:tc>
          <w:tcPr>
            <w:tcW w:type="dxa" w:w="3846"/>
          </w:tcPr>
          <w:p>
            <w:pPr>
              <w:pStyle w:val="Compact"/>
              <w:spacing w:after="20" w:before="20"/>
            </w:pPr>
            <w:r>
              <w:rPr>
                <w:b/>
                <w:bCs/>
                <w:sz w:val="18"/>
              </w:rPr>
              <w:t xml:space="preserve">LiteLLM is already instrumented.</w:t>
            </w:r>
            <w:r>
              <w:rPr>
                <w:sz w:val="18"/>
              </w:rPr>
              <w:t xml:space="preserve"> </w:t>
            </w:r>
            <w:r>
              <w:rPr>
                <w:sz w:val="18"/>
              </w:rPr>
              <w:t xml:space="preserve">The SDK ships a LiteLLM callback bridge.</w:t>
            </w:r>
          </w:p>
        </w:tc>
        <w:tc>
          <w:tcPr>
            <w:tcW w:type="dxa" w:w="2188"/>
          </w:tcPr>
          <w:p>
            <w:pPr>
              <w:pStyle w:val="Compact"/>
              <w:spacing w:after="20" w:before="20"/>
            </w:pPr>
            <w:r>
              <w:rPr>
                <w:rStyle w:val="VerbatimChar"/>
                <w:sz w:val="18"/>
              </w:rPr>
              <w:t xml:space="preserve">telemetry/litellm_bridge.py</w:t>
            </w:r>
          </w:p>
        </w:tc>
        <w:tc>
          <w:tcPr>
            <w:tcW w:type="dxa" w:w="3758"/>
          </w:tcPr>
          <w:p>
            <w:pPr>
              <w:pStyle w:val="Compact"/>
              <w:spacing w:after="20" w:before="20"/>
            </w:pPr>
            <w:r>
              <w:rPr>
                <w:sz w:val="18"/>
              </w:rPr>
              <w:t xml:space="preserve">A Kairos-side LiteLLM callback is technically plausible, subject to session context and redaction.</w:t>
            </w:r>
          </w:p>
        </w:tc>
      </w:tr>
      <w:tr>
        <w:tc>
          <w:tcPr>
            <w:tcW w:type="dxa" w:w="3846"/>
            <w:shd w:val="clear" w:color="auto" w:fill="FAFAFA"/>
          </w:tcPr>
          <w:p>
            <w:pPr>
              <w:pStyle w:val="Compact"/>
              <w:spacing w:after="20" w:before="20"/>
            </w:pPr>
            <w:r>
              <w:rPr>
                <w:b/>
                <w:bCs/>
                <w:sz w:val="18"/>
              </w:rPr>
              <w:t xml:space="preserve">Tool mocking requires</w:t>
            </w:r>
            <w:r>
              <w:rPr>
                <w:b/>
                <w:bCs/>
                <w:sz w:val="18"/>
              </w:rPr>
              <w:t xml:space="preserve"> </w:t>
            </w:r>
            <w:r>
              <w:rPr>
                <w:rStyle w:val="VerbatimChar"/>
                <w:b/>
                <w:bCs/>
                <w:sz w:val="18"/>
              </w:rPr>
              <w:t xml:space="preserve">@mockable</w:t>
            </w:r>
            <w:r>
              <w:rPr>
                <w:b/>
                <w:bCs/>
                <w:sz w:val="18"/>
              </w:rPr>
              <w:t xml:space="preserve"> </w:t>
            </w:r>
            <w:r>
              <w:rPr>
                <w:b/>
                <w:bCs/>
                <w:sz w:val="18"/>
              </w:rPr>
              <w:t xml:space="preserve">decorators.</w:t>
            </w:r>
            <w:r>
              <w:rPr>
                <w:sz w:val="18"/>
              </w:rPr>
              <w:t xml:space="preserve"> </w:t>
            </w:r>
            <w:r>
              <w:rPr>
                <w:sz w:val="18"/>
              </w:rPr>
              <w:t xml:space="preserve">Tool signatures and</w:t>
            </w:r>
            <w:r>
              <w:rPr>
                <w:sz w:val="18"/>
              </w:rPr>
              <w:t xml:space="preserve"> </w:t>
            </w:r>
            <w:r>
              <w:rPr>
                <w:rStyle w:val="VerbatimChar"/>
                <w:sz w:val="18"/>
              </w:rPr>
              <w:t xml:space="preserve">source_hash</w:t>
            </w:r>
            <w:r>
              <w:rPr>
                <w:sz w:val="18"/>
              </w:rPr>
              <w:t xml:space="preserve"> </w:t>
            </w:r>
            <w:r>
              <w:rPr>
                <w:sz w:val="18"/>
              </w:rPr>
              <w:t xml:space="preserve">are synced from decorated functions; mock calls are served per session from DuckDB fixtures.</w:t>
            </w:r>
          </w:p>
        </w:tc>
        <w:tc>
          <w:tcPr>
            <w:tcW w:type="dxa" w:w="2188"/>
            <w:shd w:val="clear" w:color="auto" w:fill="FAFAFA"/>
          </w:tcPr>
          <w:p>
            <w:pPr>
              <w:pStyle w:val="Compact"/>
              <w:spacing w:after="20" w:before="20"/>
            </w:pPr>
            <w:r>
              <w:rPr>
                <w:rStyle w:val="VerbatimChar"/>
                <w:sz w:val="18"/>
              </w:rPr>
              <w:t xml:space="preserve">api/resources/agent_tools_sync.py</w:t>
            </w:r>
            <w:r>
              <w:rPr>
                <w:sz w:val="18"/>
              </w:rPr>
              <w:t xml:space="preserve">,</w:t>
            </w:r>
            <w:r>
              <w:rPr>
                <w:sz w:val="18"/>
              </w:rPr>
              <w:t xml:space="preserve"> </w:t>
            </w:r>
            <w:r>
              <w:rPr>
                <w:rStyle w:val="VerbatimChar"/>
                <w:sz w:val="18"/>
              </w:rPr>
              <w:t xml:space="preserve">mock_call.py</w:t>
            </w:r>
            <w:r>
              <w:rPr>
                <w:sz w:val="18"/>
              </w:rPr>
              <w:t xml:space="preserve">,</w:t>
            </w:r>
            <w:r>
              <w:rPr>
                <w:sz w:val="18"/>
              </w:rPr>
              <w:t xml:space="preserve"> </w:t>
            </w:r>
            <w:r>
              <w:rPr>
                <w:rStyle w:val="VerbatimChar"/>
                <w:sz w:val="18"/>
              </w:rPr>
              <w:t xml:space="preserve">session_init_fixtures.py</w:t>
            </w:r>
          </w:p>
        </w:tc>
        <w:tc>
          <w:tcPr>
            <w:tcW w:type="dxa" w:w="3758"/>
            <w:shd w:val="clear" w:color="auto" w:fill="FAFAFA"/>
          </w:tcPr>
          <w:p>
            <w:pPr>
              <w:pStyle w:val="Compact"/>
              <w:spacing w:after="20" w:before="20"/>
            </w:pPr>
            <w:r>
              <w:rPr>
                <w:sz w:val="18"/>
              </w:rPr>
              <w:t xml:space="preserve">Decorating tools is a code change in Verizon agents.</w:t>
            </w:r>
            <w:r>
              <w:rPr>
                <w:sz w:val="18"/>
              </w:rPr>
              <w:t xml:space="preserve"> </w:t>
            </w:r>
            <w:r>
              <w:rPr>
                <w:b/>
                <w:bCs/>
                <w:sz w:val="18"/>
              </w:rPr>
              <w:t xml:space="preserve">We ask for gateway- or trace-based tool mocking instead</w:t>
            </w:r>
            <w:r>
              <w:rPr>
                <w:sz w:val="18"/>
              </w:rPr>
              <w:t xml:space="preserve"> </w:t>
            </w:r>
            <w:r>
              <w:rPr>
                <w:sz w:val="18"/>
              </w:rPr>
              <w:t xml:space="preserve">(Section 2.4).</w:t>
            </w:r>
          </w:p>
        </w:tc>
      </w:tr>
      <w:tr>
        <w:tc>
          <w:tcPr>
            <w:tcW w:type="dxa" w:w="3846"/>
          </w:tcPr>
          <w:p>
            <w:pPr>
              <w:pStyle w:val="Compact"/>
              <w:spacing w:after="20" w:before="20"/>
            </w:pPr>
            <w:r>
              <w:rPr>
                <w:b/>
                <w:bCs/>
                <w:sz w:val="18"/>
              </w:rPr>
              <w:t xml:space="preserve">No masking on the v3 exporter path.</w:t>
            </w:r>
            <w:r>
              <w:rPr>
                <w:sz w:val="18"/>
              </w:rPr>
              <w:t xml:space="preserve"> </w:t>
            </w:r>
            <w:r>
              <w:rPr>
                <w:rStyle w:val="VerbatimChar"/>
                <w:sz w:val="18"/>
              </w:rPr>
              <w:t xml:space="preserve">masking_function</w:t>
            </w:r>
            <w:r>
              <w:rPr>
                <w:sz w:val="18"/>
              </w:rPr>
              <w:t xml:space="preserve"> </w:t>
            </w:r>
            <w:r>
              <w:rPr>
                <w:sz w:val="18"/>
              </w:rPr>
              <w:t xml:space="preserve">is applied only in the legacy span processor.</w:t>
            </w:r>
          </w:p>
        </w:tc>
        <w:tc>
          <w:tcPr>
            <w:tcW w:type="dxa" w:w="2188"/>
          </w:tcPr>
          <w:p>
            <w:pPr>
              <w:pStyle w:val="Compact"/>
              <w:spacing w:after="20" w:before="20"/>
            </w:pPr>
            <w:r>
              <w:rPr>
                <w:rStyle w:val="VerbatimChar"/>
                <w:sz w:val="18"/>
              </w:rPr>
              <w:t xml:space="preserve">sdk/session.py</w:t>
            </w:r>
            <w:r>
              <w:rPr>
                <w:sz w:val="18"/>
              </w:rPr>
              <w:t xml:space="preserve">,</w:t>
            </w:r>
            <w:r>
              <w:rPr>
                <w:sz w:val="18"/>
              </w:rPr>
              <w:t xml:space="preserve"> </w:t>
            </w:r>
            <w:r>
              <w:rPr>
                <w:rStyle w:val="VerbatimChar"/>
                <w:sz w:val="18"/>
              </w:rPr>
              <w:t xml:space="preserve">providers/lucidic_span_processor.py</w:t>
            </w:r>
          </w:p>
        </w:tc>
        <w:tc>
          <w:tcPr>
            <w:tcW w:type="dxa" w:w="3758"/>
          </w:tcPr>
          <w:p>
            <w:pPr>
              <w:pStyle w:val="Compact"/>
              <w:spacing w:after="20" w:before="20"/>
            </w:pPr>
            <w:r>
              <w:rPr>
                <w:sz w:val="18"/>
              </w:rPr>
              <w:t xml:space="preserve">Assume no vendor-side redaction. Redact at the Verizon OTel Collector before egress.</w:t>
            </w:r>
          </w:p>
        </w:tc>
      </w:tr>
      <w:tr>
        <w:tc>
          <w:tcPr>
            <w:tcW w:type="dxa" w:w="3846"/>
            <w:shd w:val="clear" w:color="auto" w:fill="FAFAFA"/>
          </w:tcPr>
          <w:p>
            <w:pPr>
              <w:pStyle w:val="Compact"/>
              <w:spacing w:after="20" w:before="20"/>
            </w:pPr>
            <w:r>
              <w:rPr>
                <w:b/>
                <w:bCs/>
                <w:sz w:val="18"/>
              </w:rPr>
              <w:t xml:space="preserve">Endpoint override exists.</w:t>
            </w:r>
            <w:r>
              <w:rPr>
                <w:sz w:val="18"/>
              </w:rPr>
              <w:t xml:space="preserve"> </w:t>
            </w:r>
            <w:r>
              <w:rPr>
                <w:rStyle w:val="VerbatimChar"/>
                <w:sz w:val="18"/>
              </w:rPr>
              <w:t xml:space="preserve">LUCIDIC_BASE_URL</w:t>
            </w:r>
            <w:r>
              <w:rPr>
                <w:sz w:val="18"/>
              </w:rPr>
              <w:t xml:space="preserve"> </w:t>
            </w:r>
            <w:r>
              <w:rPr>
                <w:sz w:val="18"/>
              </w:rPr>
              <w:t xml:space="preserve">and</w:t>
            </w:r>
            <w:r>
              <w:rPr>
                <w:sz w:val="18"/>
              </w:rPr>
              <w:t xml:space="preserve"> </w:t>
            </w:r>
            <w:r>
              <w:rPr>
                <w:rStyle w:val="VerbatimChar"/>
                <w:sz w:val="18"/>
              </w:rPr>
              <w:t xml:space="preserve">LUCIDIC_REGION</w:t>
            </w:r>
            <w:r>
              <w:rPr>
                <w:sz w:val="18"/>
              </w:rPr>
              <w:t xml:space="preserve"> </w:t>
            </w:r>
            <w:r>
              <w:rPr>
                <w:sz w:val="18"/>
              </w:rPr>
              <w:t xml:space="preserve">(</w:t>
            </w:r>
            <w:r>
              <w:rPr>
                <w:rStyle w:val="VerbatimChar"/>
                <w:sz w:val="18"/>
              </w:rPr>
              <w:t xml:space="preserve">us</w:t>
            </w:r>
            <w:r>
              <w:rPr>
                <w:sz w:val="18"/>
              </w:rPr>
              <w:t xml:space="preserve">,</w:t>
            </w:r>
            <w:r>
              <w:rPr>
                <w:sz w:val="18"/>
              </w:rPr>
              <w:t xml:space="preserve"> </w:t>
            </w:r>
            <w:r>
              <w:rPr>
                <w:rStyle w:val="VerbatimChar"/>
                <w:sz w:val="18"/>
              </w:rPr>
              <w:t xml:space="preserve">india</w:t>
            </w:r>
            <w:r>
              <w:rPr>
                <w:sz w:val="18"/>
              </w:rPr>
              <w:t xml:space="preserve">).</w:t>
            </w:r>
          </w:p>
        </w:tc>
        <w:tc>
          <w:tcPr>
            <w:tcW w:type="dxa" w:w="2188"/>
            <w:shd w:val="clear" w:color="auto" w:fill="FAFAFA"/>
          </w:tcPr>
          <w:p>
            <w:pPr>
              <w:pStyle w:val="Compact"/>
              <w:spacing w:after="20" w:before="20"/>
            </w:pPr>
            <w:r>
              <w:rPr>
                <w:rStyle w:val="VerbatimChar"/>
                <w:sz w:val="18"/>
              </w:rPr>
              <w:t xml:space="preserve">core/config.py</w:t>
            </w:r>
            <w:r>
              <w:rPr>
                <w:sz w:val="18"/>
              </w:rPr>
              <w:t xml:space="preserve"> </w:t>
            </w:r>
            <w:r>
              <w:rPr>
                <w:sz w:val="18"/>
              </w:rPr>
              <w:t xml:space="preserve">l.37-59</w:t>
            </w:r>
          </w:p>
        </w:tc>
        <w:tc>
          <w:tcPr>
            <w:tcW w:type="dxa" w:w="3758"/>
            <w:shd w:val="clear" w:color="auto" w:fill="FAFAFA"/>
          </w:tcPr>
          <w:p>
            <w:pPr>
              <w:pStyle w:val="Compact"/>
              <w:spacing w:after="20" w:before="20"/>
            </w:pPr>
            <w:r>
              <w:rPr>
                <w:sz w:val="18"/>
              </w:rPr>
              <w:t xml:space="preserve">Supports a dedicated or private endpoint and egress allow-listing (Section 3).</w:t>
            </w:r>
          </w:p>
        </w:tc>
      </w:tr>
      <w:tr>
        <w:tc>
          <w:tcPr>
            <w:tcW w:type="dxa" w:w="3846"/>
          </w:tcPr>
          <w:p>
            <w:pPr>
              <w:pStyle w:val="Compact"/>
              <w:spacing w:after="20" w:before="20"/>
            </w:pPr>
            <w:r>
              <w:rPr>
                <w:b/>
                <w:bCs/>
                <w:sz w:val="18"/>
              </w:rPr>
              <w:t xml:space="preserve">Trained modules are served by the Lucidic backend.</w:t>
            </w:r>
            <w:r>
              <w:rPr>
                <w:sz w:val="18"/>
              </w:rPr>
              <w:t xml:space="preserve"> </w:t>
            </w:r>
            <w:r>
              <w:rPr>
                <w:rStyle w:val="VerbatimChar"/>
                <w:sz w:val="18"/>
              </w:rPr>
              <w:t xml:space="preserve">sdk/training-modules/inferences</w:t>
            </w:r>
            <w:r>
              <w:rPr>
                <w:sz w:val="18"/>
              </w:rPr>
              <w:t xml:space="preserve">.</w:t>
            </w:r>
          </w:p>
        </w:tc>
        <w:tc>
          <w:tcPr>
            <w:tcW w:type="dxa" w:w="2188"/>
          </w:tcPr>
          <w:p>
            <w:pPr>
              <w:pStyle w:val="Compact"/>
              <w:spacing w:after="20" w:before="20"/>
            </w:pPr>
            <w:r>
              <w:rPr>
                <w:rStyle w:val="VerbatimChar"/>
                <w:sz w:val="18"/>
              </w:rPr>
              <w:t xml:space="preserve">api/resources/training_modules.py</w:t>
            </w:r>
          </w:p>
        </w:tc>
        <w:tc>
          <w:tcPr>
            <w:tcW w:type="dxa" w:w="3758"/>
          </w:tcPr>
          <w:p>
            <w:pPr>
              <w:pStyle w:val="Compact"/>
              <w:spacing w:after="20" w:before="20"/>
            </w:pPr>
            <w:r>
              <w:rPr>
                <w:sz w:val="18"/>
              </w:rPr>
              <w:t xml:space="preserve">Inference via Lucidic would bypass Kairos controls. Not acceptable for production (Section 2.3, option D).</w:t>
            </w:r>
          </w:p>
        </w:tc>
      </w:tr>
    </w:tbl>
    <w:bookmarkEnd w:id="19"/>
    <w:bookmarkStart w:id="20" w:name="integration-options"/>
    <w:p>
      <w:pPr>
        <w:pStyle w:val="Heading2"/>
      </w:pPr>
      <w:r>
        <w:t xml:space="preserve">2.3 Integration options</w:t>
      </w:r>
    </w:p>
    <w:p>
      <w:pPr>
        <w:pStyle w:val="FirstParagraph"/>
      </w:pPr>
      <w:r>
        <w:rPr>
          <w:b/>
          <w:bCs/>
        </w:rPr>
        <w:t xml:space="preserve">Option A: LiteLLM callback/logger for Lucidic inside Kairos (live capture).</w:t>
      </w:r>
      <w:r>
        <w:t xml:space="preserve"> </w:t>
      </w:r>
      <w:r>
        <w:t xml:space="preserve">Register a Lucidic callback in Kairos’s LiteLLM layer (the SDK’s LiteLLM bridge, or a Lucidic-supplied LiteLLM</w:t>
      </w:r>
      <w:r>
        <w:t xml:space="preserve"> </w:t>
      </w:r>
      <w:r>
        <w:rPr>
          <w:rStyle w:val="VerbatimChar"/>
        </w:rPr>
        <w:t xml:space="preserve">CustomLogger</w:t>
      </w:r>
      <w:r>
        <w:t xml:space="preserve">). Kairos already sees every model call, including tool-call requests and tool results carried in message history.</w:t>
      </w:r>
    </w:p>
    <w:p>
      <w:pPr>
        <w:pStyle w:val="Compact"/>
        <w:numPr>
          <w:ilvl w:val="0"/>
          <w:numId w:val="1004"/>
        </w:numPr>
      </w:pPr>
      <w:r>
        <w:rPr>
          <w:i/>
          <w:iCs/>
        </w:rPr>
        <w:t xml:space="preserve">Pros:</w:t>
      </w:r>
      <w:r>
        <w:t xml:space="preserve"> </w:t>
      </w:r>
      <w:r>
        <w:t xml:space="preserve">single choke point; no agent change; captures model, route, tokens, latency and cost.</w:t>
      </w:r>
    </w:p>
    <w:p>
      <w:pPr>
        <w:pStyle w:val="Compact"/>
        <w:numPr>
          <w:ilvl w:val="0"/>
          <w:numId w:val="1004"/>
        </w:numPr>
      </w:pPr>
      <w:r>
        <w:rPr>
          <w:i/>
          <w:iCs/>
        </w:rPr>
        <w:t xml:space="preserve">Cons:</w:t>
      </w:r>
      <w:r>
        <w:t xml:space="preserve"> </w:t>
      </w:r>
      <w:r>
        <w:t xml:space="preserve">needs a session id per conversation, derived from existing request metadata or headers (whether the internal SDK already propagates one to Kairos is to be confirmed by the Kairos owner); gateway sees model calls but not tool execution internals; redaction must run before the callback ships data; adds a vendor dependency in the gateway hot path, so it must be asynchronous and fail-open.</w:t>
      </w:r>
    </w:p>
    <w:p>
      <w:pPr>
        <w:pStyle w:val="Compact"/>
        <w:numPr>
          <w:ilvl w:val="0"/>
          <w:numId w:val="1004"/>
        </w:numPr>
      </w:pPr>
      <w:r>
        <w:rPr>
          <w:i/>
          <w:iCs/>
        </w:rPr>
        <w:t xml:space="preserve">Constraint:</w:t>
      </w:r>
      <w:r>
        <w:t xml:space="preserve"> </w:t>
      </w:r>
      <w:r>
        <w:t xml:space="preserve">Kairos is Laravel-based on top of LiteLLM. Where the callback runs depends on whether the LiteLLM component is the Python proxy. [Kairos owner to confirm.]</w:t>
      </w:r>
    </w:p>
    <w:p>
      <w:pPr>
        <w:pStyle w:val="FirstParagraph"/>
      </w:pPr>
      <w:r>
        <w:rPr>
          <w:b/>
          <w:bCs/>
        </w:rPr>
        <w:t xml:space="preserve">Option B: OTLP ingestion endpoint provided by Lucidic (requested).</w:t>
      </w:r>
      <w:r>
        <w:t xml:space="preserve"> </w:t>
      </w:r>
      <w:r>
        <w:t xml:space="preserve">Lucidic exposes a standard OTLP/HTTP or OTLP/gRPC endpoint that accepts GenAI semantic-convention and OpenInference spans and maps them to sessions and events server-side, with a configurable session key (for example</w:t>
      </w:r>
      <w:r>
        <w:t xml:space="preserve"> </w:t>
      </w:r>
      <w:r>
        <w:rPr>
          <w:rStyle w:val="VerbatimChar"/>
        </w:rPr>
        <w:t xml:space="preserve">session.id</w:t>
      </w:r>
      <w:r>
        <w:t xml:space="preserve">,</w:t>
      </w:r>
      <w:r>
        <w:t xml:space="preserve"> </w:t>
      </w:r>
      <w:r>
        <w:rPr>
          <w:rStyle w:val="VerbatimChar"/>
        </w:rPr>
        <w:t xml:space="preserve">gen_ai.conversation.id</w:t>
      </w:r>
      <w:r>
        <w:t xml:space="preserve"> </w:t>
      </w:r>
      <w:r>
        <w:t xml:space="preserve">or trace id).</w:t>
      </w:r>
    </w:p>
    <w:p>
      <w:pPr>
        <w:pStyle w:val="Compact"/>
        <w:numPr>
          <w:ilvl w:val="0"/>
          <w:numId w:val="1005"/>
        </w:numPr>
      </w:pPr>
      <w:r>
        <w:rPr>
          <w:i/>
          <w:iCs/>
        </w:rPr>
        <w:t xml:space="preserve">Pros:</w:t>
      </w:r>
      <w:r>
        <w:t xml:space="preserve"> </w:t>
      </w:r>
      <w:r>
        <w:t xml:space="preserve">standards-based; reuses the existing Collector; same path for live and historical data; no Verizon-maintained mapping code.</w:t>
      </w:r>
    </w:p>
    <w:p>
      <w:pPr>
        <w:pStyle w:val="Compact"/>
        <w:numPr>
          <w:ilvl w:val="0"/>
          <w:numId w:val="1005"/>
        </w:numPr>
      </w:pPr>
      <w:r>
        <w:rPr>
          <w:i/>
          <w:iCs/>
        </w:rPr>
        <w:t xml:space="preserve">Cons:</w:t>
      </w:r>
      <w:r>
        <w:t xml:space="preserve"> </w:t>
      </w:r>
      <w:r>
        <w:t xml:space="preserve">does not exist in the public SDK today; depends on Lucidic delivery and its mapping of Galileo-specific attributes.</w:t>
      </w:r>
    </w:p>
    <w:p>
      <w:pPr>
        <w:pStyle w:val="FirstParagraph"/>
      </w:pPr>
      <w:r>
        <w:rPr>
          <w:b/>
          <w:bCs/>
        </w:rPr>
        <w:t xml:space="preserve">Option C: OTel Collector plus a Galileo-OTel → Lucidic adapter (Verizon-owned, interim).</w:t>
      </w:r>
      <w:r>
        <w:t xml:space="preserve"> </w:t>
      </w:r>
      <w:r>
        <w:t xml:space="preserve">The Verizon OTel Collector receives spans from Kairos and the agent SDK, then redacts, normalises and fans out. A small adapter service (and a batch reader for the three-month archive) groups spans into sessions and calls Lucidic’s session, event and dataset APIs.</w:t>
      </w:r>
    </w:p>
    <w:p>
      <w:pPr>
        <w:pStyle w:val="Compact"/>
        <w:numPr>
          <w:ilvl w:val="0"/>
          <w:numId w:val="1006"/>
        </w:numPr>
      </w:pPr>
      <w:r>
        <w:rPr>
          <w:i/>
          <w:iCs/>
        </w:rPr>
        <w:t xml:space="preserve">Mapping:</w:t>
      </w:r>
      <w:r>
        <w:t xml:space="preserve"> </w:t>
      </w:r>
      <w:r>
        <w:t xml:space="preserve">trace/session →</w:t>
      </w:r>
      <w:r>
        <w:t xml:space="preserve"> </w:t>
      </w:r>
      <w:r>
        <w:rPr>
          <w:rStyle w:val="VerbatimChar"/>
        </w:rPr>
        <w:t xml:space="preserve">initsession</w:t>
      </w:r>
      <w:r>
        <w:t xml:space="preserve"> </w:t>
      </w:r>
      <w:r>
        <w:t xml:space="preserve">(tags: use case, Kairos route, outcome); LLM span →</w:t>
      </w:r>
      <w:r>
        <w:t xml:space="preserve"> </w:t>
      </w:r>
      <w:r>
        <w:rPr>
          <w:rStyle w:val="VerbatimChar"/>
        </w:rPr>
        <w:t xml:space="preserve">llm_generation</w:t>
      </w:r>
      <w:r>
        <w:t xml:space="preserve"> </w:t>
      </w:r>
      <w:r>
        <w:t xml:space="preserve">event (messages, output, model, tokens, cost, duration, parent); tool span → tool event; outcome label → eval or session success flag; representative sessions → dataset items (seed simulation fixtures).</w:t>
      </w:r>
    </w:p>
    <w:p>
      <w:pPr>
        <w:pStyle w:val="Compact"/>
        <w:numPr>
          <w:ilvl w:val="0"/>
          <w:numId w:val="1006"/>
        </w:numPr>
      </w:pPr>
      <w:r>
        <w:rPr>
          <w:i/>
          <w:iCs/>
        </w:rPr>
        <w:t xml:space="preserve">Engineering:</w:t>
      </w:r>
      <w:r>
        <w:t xml:space="preserve"> </w:t>
      </w:r>
      <w:r>
        <w:t xml:space="preserve">idempotency (</w:t>
      </w:r>
      <w:r>
        <w:rPr>
          <w:rStyle w:val="VerbatimChar"/>
        </w:rPr>
        <w:t xml:space="preserve">client_event_id</w:t>
      </w:r>
      <w:r>
        <w:t xml:space="preserve"> </w:t>
      </w:r>
      <w:r>
        <w:t xml:space="preserve">= span id), rate limiting, dead-letter queue, reconciliation counts.</w:t>
      </w:r>
    </w:p>
    <w:p>
      <w:pPr>
        <w:pStyle w:val="Compact"/>
        <w:numPr>
          <w:ilvl w:val="0"/>
          <w:numId w:val="1006"/>
        </w:numPr>
      </w:pPr>
      <w:r>
        <w:rPr>
          <w:i/>
          <w:iCs/>
        </w:rPr>
        <w:t xml:space="preserve">Pros:</w:t>
      </w:r>
      <w:r>
        <w:t xml:space="preserve"> </w:t>
      </w:r>
      <w:r>
        <w:t xml:space="preserve">works today; a single control point for redaction; covers historical and live data.</w:t>
      </w:r>
    </w:p>
    <w:p>
      <w:pPr>
        <w:pStyle w:val="Compact"/>
        <w:numPr>
          <w:ilvl w:val="0"/>
          <w:numId w:val="1006"/>
        </w:numPr>
      </w:pPr>
      <w:r>
        <w:rPr>
          <w:i/>
          <w:iCs/>
        </w:rPr>
        <w:t xml:space="preserve">Cons:</w:t>
      </w:r>
      <w:r>
        <w:t xml:space="preserve"> </w:t>
      </w:r>
      <w:r>
        <w:t xml:space="preserve">Verizon maintains the mapping against a proprietary, undocumented schema; breaks if the schema changes.</w:t>
      </w:r>
    </w:p>
    <w:p>
      <w:pPr>
        <w:pStyle w:val="FirstParagraph"/>
      </w:pPr>
      <w:r>
        <w:rPr>
          <w:b/>
          <w:bCs/>
        </w:rPr>
        <w:t xml:space="preserve">Option D: custom model served behind Kairos as a LiteLLM model route (return path).</w:t>
      </w:r>
      <w:r>
        <w:t xml:space="preserve"> </w:t>
      </w:r>
      <w:r>
        <w:t xml:space="preserve">Exported weights are served on Verizon infrastructure (for example vLLM or an equivalent OpenAI-compatible server) and registered in Kairos as a normal LiteLLM route (for example</w:t>
      </w:r>
      <w:r>
        <w:t xml:space="preserve"> </w:t>
      </w:r>
      <w:r>
        <w:rPr>
          <w:rStyle w:val="VerbatimChar"/>
        </w:rPr>
        <w:t xml:space="preserve">lucidic-[use-case]-v[n]</w:t>
      </w:r>
      <w:r>
        <w:t xml:space="preserve">). Shadow, canary and rollback are controlled by Kairos routing. The optimised harness (prompts, tool descriptions, policies) is delivered as plain configuration loaded through existing prompt/config mechanisms, not through the Lucidic SDK. Memory/</w:t>
      </w:r>
      <w:r>
        <w:t xml:space="preserve">“Training Module”</w:t>
      </w:r>
      <w:r>
        <w:t xml:space="preserve"> </w:t>
      </w:r>
      <w:r>
        <w:t xml:space="preserve">tools, if used, run inside the Verizon boundary and are exposed as standard tools (for example via MCP or an OpenAI-compatible tool endpoint).</w:t>
      </w:r>
    </w:p>
    <w:p>
      <w:pPr>
        <w:pStyle w:val="Compact"/>
        <w:numPr>
          <w:ilvl w:val="0"/>
          <w:numId w:val="1007"/>
        </w:numPr>
      </w:pPr>
      <w:r>
        <w:rPr>
          <w:i/>
          <w:iCs/>
        </w:rPr>
        <w:t xml:space="preserve">Pros:</w:t>
      </w:r>
      <w:r>
        <w:t xml:space="preserve"> </w:t>
      </w:r>
      <w:r>
        <w:t xml:space="preserve">keeps routing, quotas, logging and guardrails in Kairos; no Lucidic runtime at inference; reversible.</w:t>
      </w:r>
    </w:p>
    <w:p>
      <w:pPr>
        <w:pStyle w:val="Compact"/>
        <w:numPr>
          <w:ilvl w:val="0"/>
          <w:numId w:val="1007"/>
        </w:numPr>
      </w:pPr>
      <w:r>
        <w:rPr>
          <w:i/>
          <w:iCs/>
        </w:rPr>
        <w:t xml:space="preserve">Cons:</w:t>
      </w:r>
      <w:r>
        <w:t xml:space="preserve"> </w:t>
      </w:r>
      <w:r>
        <w:t xml:space="preserve">requires Lucidic to export weights and harness in open formats, and Verizon to provide serving capacity.</w:t>
      </w:r>
    </w:p>
    <w:p>
      <w:pPr>
        <w:pStyle w:val="FirstParagraph"/>
      </w:pPr>
      <w:r>
        <w:rPr>
          <w:b/>
          <w:bCs/>
        </w:rPr>
        <w:t xml:space="preserve">Recommended integration pattern.</w:t>
      </w:r>
      <w:r>
        <w:t xml:space="preserve"> </w:t>
      </w:r>
      <w:r>
        <w:t xml:space="preserve">Option C for historical ingest and Weeks 1–2, moving to Option B once Lucidic delivers OTLP; Option A only if Lucidic supplies a fail-open, async LiteLLM logger and the Collector cannot provide the needed fidelity; Option D is mandatory for any custom model or harness that reaches users.</w:t>
      </w:r>
    </w:p>
    <w:bookmarkEnd w:id="20"/>
    <w:bookmarkStart w:id="21" w:name="tool-mocking-without-code-change"/>
    <w:p>
      <w:pPr>
        <w:pStyle w:val="Heading2"/>
      </w:pPr>
      <w:r>
        <w:t xml:space="preserve">2.4 Tool mocking without code change</w:t>
      </w:r>
    </w:p>
    <w:p>
      <w:pPr>
        <w:pStyle w:val="FirstParagraph"/>
      </w:pPr>
      <w:r>
        <w:t xml:space="preserve">Simulation requires tool behaviour. Decorating tools with</w:t>
      </w:r>
      <w:r>
        <w:t xml:space="preserve"> </w:t>
      </w:r>
      <w:r>
        <w:rPr>
          <w:rStyle w:val="VerbatimChar"/>
        </w:rPr>
        <w:t xml:space="preserve">@mockable</w:t>
      </w:r>
      <w:r>
        <w:t xml:space="preserve"> </w:t>
      </w:r>
      <w:r>
        <w:t xml:space="preserve">is a code change, so Verizon asks Lucidic to support one or both of:</w:t>
      </w:r>
    </w:p>
    <w:p>
      <w:pPr>
        <w:pStyle w:val="Compact"/>
        <w:numPr>
          <w:ilvl w:val="0"/>
          <w:numId w:val="1008"/>
        </w:numPr>
      </w:pPr>
      <w:r>
        <w:rPr>
          <w:b/>
          <w:bCs/>
        </w:rPr>
        <w:t xml:space="preserve">Trace-based tool mocking.</w:t>
      </w:r>
      <w:r>
        <w:t xml:space="preserve"> </w:t>
      </w:r>
      <w:r>
        <w:t xml:space="preserve">Build per-session fixtures directly from tool calls and tool results observed in traces (tool spans from the agent SDK and tool messages visible at Kairos), with tool schemas supplied by Verizon as JSON Schema/OpenAPI files rather than synced from code.</w:t>
      </w:r>
    </w:p>
    <w:p>
      <w:pPr>
        <w:pStyle w:val="Compact"/>
        <w:numPr>
          <w:ilvl w:val="0"/>
          <w:numId w:val="1008"/>
        </w:numPr>
      </w:pPr>
      <w:r>
        <w:rPr>
          <w:b/>
          <w:bCs/>
        </w:rPr>
        <w:t xml:space="preserve">Gateway-level simulation.</w:t>
      </w:r>
      <w:r>
        <w:t xml:space="preserve"> </w:t>
      </w:r>
      <w:r>
        <w:t xml:space="preserve">Run the agent’s harness (prompts, tool schemas, policies) inside Lucidic’s simulator, with the simulator answering tool calls, so the Verizon agent code does not need to run or be modified.</w:t>
      </w:r>
    </w:p>
    <w:p>
      <w:pPr>
        <w:pStyle w:val="FirstParagraph"/>
      </w:pPr>
      <w:r>
        <w:t xml:space="preserve">Lucidic should state how drift detection (today based on</w:t>
      </w:r>
      <w:r>
        <w:t xml:space="preserve"> </w:t>
      </w:r>
      <w:r>
        <w:rPr>
          <w:rStyle w:val="VerbatimChar"/>
        </w:rPr>
        <w:t xml:space="preserve">source_hash</w:t>
      </w:r>
      <w:r>
        <w:t xml:space="preserve">) works without code access, and how fixture fidelity is validated.</w:t>
      </w:r>
    </w:p>
    <w:bookmarkEnd w:id="21"/>
    <w:bookmarkStart w:id="22" w:name="routing-confound"/>
    <w:p>
      <w:pPr>
        <w:pStyle w:val="Heading2"/>
      </w:pPr>
      <w:r>
        <w:t xml:space="preserve">2.5 Routing confound</w:t>
      </w:r>
    </w:p>
    <w:p>
      <w:pPr>
        <w:pStyle w:val="FirstParagraph"/>
      </w:pPr>
      <w:r>
        <w:t xml:space="preserve">Kairos routing can change which model answered a given turn, which confounds harness evaluation. Every span must carry the routing decision (</w:t>
      </w:r>
      <w:r>
        <w:rPr>
          <w:rStyle w:val="VerbatimChar"/>
        </w:rPr>
        <w:t xml:space="preserve">kairos.route</w:t>
      </w:r>
      <w:r>
        <w:t xml:space="preserve">, policy, resolved model). During simulation the route is pinned; routing policy is treated as a fixed variable unless Lucidic can model it explicitly as a harness parameter.</w:t>
      </w:r>
    </w:p>
    <w:bookmarkEnd w:id="22"/>
    <w:bookmarkStart w:id="26" w:name="what-lucidic-must-deliver-integration"/>
    <w:p>
      <w:pPr>
        <w:pStyle w:val="Heading2"/>
      </w:pPr>
      <w:r>
        <w:t xml:space="preserve">2.6 What Lucidic must deliver (integration)</w:t>
      </w:r>
    </w:p>
    <w:p>
      <w:pPr>
        <w:pStyle w:val="Compact"/>
        <w:numPr>
          <w:ilvl w:val="0"/>
          <w:numId w:val="1009"/>
        </w:numPr>
      </w:pPr>
      <w:r>
        <w:t xml:space="preserve">A written, versioned schema for sessions, events and tool events, and a supported bulk-import path for historical traces.</w:t>
      </w:r>
    </w:p>
    <w:p>
      <w:pPr>
        <w:pStyle w:val="Compact"/>
        <w:numPr>
          <w:ilvl w:val="0"/>
          <w:numId w:val="1009"/>
        </w:numPr>
      </w:pPr>
      <w:r>
        <w:t xml:space="preserve">An OTLP ingest endpoint (GenAI semconv and OpenInference) with a configurable session key, or a committed date for one. [date]</w:t>
      </w:r>
    </w:p>
    <w:p>
      <w:pPr>
        <w:pStyle w:val="Compact"/>
        <w:numPr>
          <w:ilvl w:val="0"/>
          <w:numId w:val="1009"/>
        </w:numPr>
      </w:pPr>
      <w:r>
        <w:t xml:space="preserve">Confirmation of span-drop behaviour and a server-side option to group sessionless spans by a configurable key.</w:t>
      </w:r>
    </w:p>
    <w:p>
      <w:pPr>
        <w:pStyle w:val="Compact"/>
        <w:numPr>
          <w:ilvl w:val="0"/>
          <w:numId w:val="1009"/>
        </w:numPr>
      </w:pPr>
      <w:r>
        <w:t xml:space="preserve">Trace-based or gateway-level tool mocking with no</w:t>
      </w:r>
      <w:r>
        <w:t xml:space="preserve"> </w:t>
      </w:r>
      <w:r>
        <w:rPr>
          <w:rStyle w:val="VerbatimChar"/>
        </w:rPr>
        <w:t xml:space="preserve">@mockable</w:t>
      </w:r>
      <w:r>
        <w:t xml:space="preserve"> </w:t>
      </w:r>
      <w:r>
        <w:t xml:space="preserve">requirement.</w:t>
      </w:r>
    </w:p>
    <w:p>
      <w:pPr>
        <w:pStyle w:val="Compact"/>
        <w:numPr>
          <w:ilvl w:val="0"/>
          <w:numId w:val="1009"/>
        </w:numPr>
      </w:pPr>
      <w:r>
        <w:t xml:space="preserve">If Option A is used: a LiteLLM logger that is asynchronous, fail-open, bounded-queue, and honours Verizon redaction.</w:t>
      </w:r>
    </w:p>
    <w:p>
      <w:pPr>
        <w:pStyle w:val="Compact"/>
        <w:numPr>
          <w:ilvl w:val="0"/>
          <w:numId w:val="1009"/>
        </w:numPr>
      </w:pPr>
      <w:r>
        <w:t xml:space="preserve">Export of trained weights (for example safetensors, with tokenizer and config) and harness (plain text/JSON/YAML), runnable without the Lucidic runtime.</w:t>
      </w:r>
    </w:p>
    <w:p>
      <w:pPr>
        <w:pStyle w:val="Compact"/>
        <w:numPr>
          <w:ilvl w:val="0"/>
          <w:numId w:val="1009"/>
        </w:numPr>
      </w:pPr>
      <w:r>
        <w:t xml:space="preserve">In-boundary deployment of any memory or Training Module components used at inference.</w:t>
      </w:r>
    </w:p>
    <w:p>
      <w:pPr>
        <w:pStyle w:val="Compact"/>
        <w:numPr>
          <w:ilvl w:val="0"/>
          <w:numId w:val="1009"/>
        </w:numPr>
      </w:pPr>
      <w:r>
        <w:t xml:space="preserve">Cost and latency computed from Kairos-supplied values, not the SDK’s local price table.</w:t>
      </w:r>
    </w:p>
    <w:p>
      <w:pPr>
        <w:pStyle w:val="CaptionedFigure"/>
      </w:pPr>
      <w:r>
        <w:drawing>
          <wp:inline>
            <wp:extent cx="5334000" cy="1782535"/>
            <wp:effectExtent b="0" l="0" r="0" t="0"/>
            <wp:docPr descr="Figure 2. Lucidic offering map, derived from the public SDK: SDK surfaces (left) and backend capabilities (right)." title="" id="24" name="Picture"/>
            <a:graphic>
              <a:graphicData uri="http://schemas.openxmlformats.org/drawingml/2006/picture">
                <pic:pic>
                  <pic:nvPicPr>
                    <pic:cNvPr descr="diagrams/a_offering_map.png" id="25" name="Picture"/>
                    <pic:cNvPicPr>
                      <a:picLocks noChangeArrowheads="1" noChangeAspect="1"/>
                    </pic:cNvPicPr>
                  </pic:nvPicPr>
                  <pic:blipFill>
                    <a:blip r:embed="rId23"/>
                    <a:stretch>
                      <a:fillRect/>
                    </a:stretch>
                  </pic:blipFill>
                  <pic:spPr bwMode="auto">
                    <a:xfrm>
                      <a:off x="0" y="0"/>
                      <a:ext cx="5334000" cy="1782535"/>
                    </a:xfrm>
                    <a:prstGeom prst="rect">
                      <a:avLst/>
                    </a:prstGeom>
                    <a:noFill/>
                    <a:ln w="9525">
                      <a:noFill/>
                      <a:headEnd/>
                      <a:tailEnd/>
                    </a:ln>
                  </pic:spPr>
                </pic:pic>
              </a:graphicData>
            </a:graphic>
          </wp:inline>
        </w:drawing>
      </w:r>
    </w:p>
    <w:p>
      <w:pPr>
        <w:pStyle w:val="ImageCaption"/>
      </w:pPr>
      <w:r>
        <w:t xml:space="preserve">Figure 2. Lucidic offering map, derived from the public SDK: SDK surfaces (left) and backend capabilities (right).</w:t>
      </w:r>
    </w:p>
    <w:bookmarkEnd w:id="26"/>
    <w:bookmarkEnd w:id="27"/>
    <w:bookmarkStart w:id="32" w:name="X5e5918a6d12df514bb72906b22b292fe8074d86"/>
    <w:p>
      <w:pPr>
        <w:pStyle w:val="Heading1"/>
      </w:pPr>
      <w:r>
        <w:t xml:space="preserve">3. SaaS to Verizon network: deployment and governance</w:t>
      </w:r>
    </w:p>
    <w:bookmarkStart w:id="28" w:name="deployment-options"/>
    <w:p>
      <w:pPr>
        <w:pStyle w:val="Heading2"/>
      </w:pPr>
      <w:r>
        <w:t xml:space="preserve">3.1 Deployment options</w:t>
      </w:r>
    </w:p>
    <w:p>
      <w:pPr>
        <w:pStyle w:val="FirstParagraph"/>
      </w:pPr>
      <w:r>
        <w:rPr>
          <w:b/>
          <w:bCs/>
        </w:rPr>
        <w:t xml:space="preserve">A. Single-tenant deployment in a Verizon cloud account (VPC).</w:t>
      </w:r>
      <w:r>
        <w:t xml:space="preserve"> </w:t>
      </w:r>
      <w:r>
        <w:t xml:space="preserve">Lucidic’s platform is deployed into a Verizon-owned account, either</w:t>
      </w:r>
      <w:r>
        <w:t xml:space="preserve"> </w:t>
      </w:r>
      <w:r>
        <w:rPr>
          <w:b/>
          <w:bCs/>
        </w:rPr>
        <w:t xml:space="preserve">BYOC</w:t>
      </w:r>
      <w:r>
        <w:t xml:space="preserve"> </w:t>
      </w:r>
      <w:r>
        <w:t xml:space="preserve">(Verizon operates, Lucidic supports) or</w:t>
      </w:r>
      <w:r>
        <w:t xml:space="preserve"> </w:t>
      </w:r>
      <w:r>
        <w:rPr>
          <w:b/>
          <w:bCs/>
        </w:rPr>
        <w:t xml:space="preserve">managed</w:t>
      </w:r>
      <w:r>
        <w:t xml:space="preserve"> </w:t>
      </w:r>
      <w:r>
        <w:t xml:space="preserve">(Lucidic operates through scoped, audited access). Data, training compute and weights stay in Verizon’s account.</w:t>
      </w:r>
    </w:p>
    <w:p>
      <w:pPr>
        <w:pStyle w:val="BodyText"/>
      </w:pPr>
      <w:r>
        <w:rPr>
          <w:b/>
          <w:bCs/>
        </w:rPr>
        <w:t xml:space="preserve">B. Private connectivity (AWS PrivateLink or equivalent private service connect).</w:t>
      </w:r>
      <w:r>
        <w:t xml:space="preserve"> </w:t>
      </w:r>
      <w:r>
        <w:t xml:space="preserve">A dedicated Lucidic tenant in Lucidic’s cloud, reached over private endpoints rather than the public internet. Data still leaves Verizon’s account but not over public networks.</w:t>
      </w:r>
    </w:p>
    <w:p>
      <w:pPr>
        <w:pStyle w:val="BodyText"/>
      </w:pPr>
      <w:r>
        <w:rPr>
          <w:b/>
          <w:bCs/>
        </w:rPr>
        <w:t xml:space="preserve">C. Self-hosted / on-prem in Kubernetes.</w:t>
      </w:r>
      <w:r>
        <w:t xml:space="preserve"> </w:t>
      </w:r>
      <w:r>
        <w:t xml:space="preserve">Lucidic ships container images and Helm charts; Verizon runs everything, including GPU training. The SDK currently shows no installer, so this depends on vendor packaging.</w:t>
      </w:r>
    </w:p>
    <w:p>
      <w:pPr>
        <w:pStyle w:val="BodyText"/>
      </w:pPr>
      <w:r>
        <w:rPr>
          <w:b/>
          <w:bCs/>
        </w:rPr>
        <w:t xml:space="preserve">D. Hybrid control plane / data plane split.</w:t>
      </w:r>
      <w:r>
        <w:t xml:space="preserve"> </w:t>
      </w:r>
      <w:r>
        <w:t xml:space="preserve">Lucidic hosts the control plane (UI, orchestration, experiment metadata); the data plane (trace store, simulators, training jobs, weights) runs in Verizon’s account. Only metadata and approved aggregates cross the boundary.</w:t>
      </w:r>
    </w:p>
    <w:p>
      <w:pPr>
        <w:pStyle w:val="BodyText"/>
      </w:pPr>
      <w:r>
        <w:rPr>
          <w:b/>
          <w:bCs/>
        </w:rPr>
        <w:t xml:space="preserve">E. SaaS with egress allow-listing.</w:t>
      </w:r>
      <w:r>
        <w:t xml:space="preserve"> </w:t>
      </w:r>
      <w:r>
        <w:t xml:space="preserve">Point the adapter at a dedicated tenant via</w:t>
      </w:r>
      <w:r>
        <w:t xml:space="preserve"> </w:t>
      </w:r>
      <w:r>
        <w:rPr>
          <w:rStyle w:val="VerbatimChar"/>
        </w:rPr>
        <w:t xml:space="preserve">LUCIDIC_BASE_URL</w:t>
      </w:r>
      <w:r>
        <w:t xml:space="preserve">, allow-list only that host on egress, and send only Collector-redacted data. The SDK also supports an India region (</w:t>
      </w:r>
      <w:r>
        <w:rPr>
          <w:rStyle w:val="VerbatimChar"/>
        </w:rPr>
        <w:t xml:space="preserve">in.backend.lucidic.ai</w:t>
      </w:r>
      <w:r>
        <w:t xml:space="preserve">). Use of any region requires a Privacy/Legal residency determination; the default for US-origin data is a US-hosted path.</w:t>
      </w:r>
    </w:p>
    <w:bookmarkEnd w:id="28"/>
    <w:bookmarkStart w:id="29" w:name="decision-table"/>
    <w:p>
      <w:pPr>
        <w:pStyle w:val="Heading2"/>
      </w:pPr>
      <w:r>
        <w:t xml:space="preserve">3.2 Decision table</w:t>
      </w:r>
    </w:p>
    <w:p>
      <w:pPr>
        <w:pStyle w:val="FirstParagraph"/>
      </w:pPr>
      <w:r>
        <w:t xml:space="preserve">Readiness values are unknown until Lucidic confirms (Section 11, questions 12 to 17).</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101"/>
        <w:gridCol w:w="1390"/>
        <w:gridCol w:w="1536"/>
        <w:gridCol w:w="1451"/>
        <w:gridCol w:w="1327"/>
        <w:gridCol w:w="1984"/>
      </w:tblGrid>
      <w:tr>
        <w:trPr>
          <w:tblHeader w:val="on"/>
          <w:tblHeader w:val="true"/>
        </w:trPr>
        <w:tc>
          <w:tcPr>
            <w:tcW w:type="dxa" w:w="2101"/>
            <w:shd w:val="clear" w:color="auto" w:fill="1F1F1F"/>
          </w:tcPr>
          <w:p>
            <w:pPr>
              <w:pStyle w:val="Compact"/>
              <w:spacing w:after="20" w:before="20"/>
            </w:pPr>
            <w:r>
              <w:rPr>
                <w:b/>
                <w:color w:val="FFFFFF"/>
                <w:sz w:val="18"/>
              </w:rPr>
              <w:t xml:space="preserve">Criterion</w:t>
            </w:r>
          </w:p>
        </w:tc>
        <w:tc>
          <w:tcPr>
            <w:tcW w:type="dxa" w:w="1391"/>
            <w:shd w:val="clear" w:color="auto" w:fill="1F1F1F"/>
          </w:tcPr>
          <w:p>
            <w:pPr>
              <w:pStyle w:val="Compact"/>
              <w:spacing w:after="20" w:before="20"/>
            </w:pPr>
            <w:r>
              <w:rPr>
                <w:b/>
                <w:color w:val="FFFFFF"/>
                <w:sz w:val="18"/>
              </w:rPr>
              <w:t xml:space="preserve">A. VPC (BYOC / managed)</w:t>
            </w:r>
          </w:p>
        </w:tc>
        <w:tc>
          <w:tcPr>
            <w:tcW w:type="dxa" w:w="1537"/>
            <w:shd w:val="clear" w:color="auto" w:fill="1F1F1F"/>
          </w:tcPr>
          <w:p>
            <w:pPr>
              <w:pStyle w:val="Compact"/>
              <w:spacing w:after="20" w:before="20"/>
            </w:pPr>
            <w:r>
              <w:rPr>
                <w:b/>
                <w:color w:val="FFFFFF"/>
                <w:sz w:val="18"/>
              </w:rPr>
              <w:t xml:space="preserve">B. PrivateLink</w:t>
            </w:r>
          </w:p>
        </w:tc>
        <w:tc>
          <w:tcPr>
            <w:tcW w:type="dxa" w:w="1452"/>
            <w:shd w:val="clear" w:color="auto" w:fill="1F1F1F"/>
          </w:tcPr>
          <w:p>
            <w:pPr>
              <w:pStyle w:val="Compact"/>
              <w:spacing w:after="20" w:before="20"/>
            </w:pPr>
            <w:r>
              <w:rPr>
                <w:b/>
                <w:color w:val="FFFFFF"/>
                <w:sz w:val="18"/>
              </w:rPr>
              <w:t xml:space="preserve">C. Self-hosted K8s</w:t>
            </w:r>
          </w:p>
        </w:tc>
        <w:tc>
          <w:tcPr>
            <w:tcW w:type="dxa" w:w="1328"/>
            <w:shd w:val="clear" w:color="auto" w:fill="1F1F1F"/>
          </w:tcPr>
          <w:p>
            <w:pPr>
              <w:pStyle w:val="Compact"/>
              <w:spacing w:after="20" w:before="20"/>
            </w:pPr>
            <w:r>
              <w:rPr>
                <w:b/>
                <w:color w:val="FFFFFF"/>
                <w:sz w:val="18"/>
              </w:rPr>
              <w:t xml:space="preserve">D. Hybrid CP/DP</w:t>
            </w:r>
          </w:p>
        </w:tc>
        <w:tc>
          <w:tcPr>
            <w:tcW w:type="dxa" w:w="1984"/>
            <w:shd w:val="clear" w:color="auto" w:fill="1F1F1F"/>
          </w:tcPr>
          <w:p>
            <w:pPr>
              <w:pStyle w:val="Compact"/>
              <w:spacing w:after="20" w:before="20"/>
            </w:pPr>
            <w:r>
              <w:rPr>
                <w:b/>
                <w:color w:val="FFFFFF"/>
                <w:sz w:val="18"/>
              </w:rPr>
              <w:t xml:space="preserve">E. SaaS + allow-list</w:t>
            </w:r>
          </w:p>
        </w:tc>
      </w:tr>
      <w:tr>
        <w:tc>
          <w:tcPr>
            <w:tcW w:type="dxa" w:w="2101"/>
          </w:tcPr>
          <w:p>
            <w:pPr>
              <w:pStyle w:val="Compact"/>
              <w:spacing w:after="20" w:before="20"/>
            </w:pPr>
            <w:r>
              <w:rPr>
                <w:sz w:val="18"/>
              </w:rPr>
              <w:t xml:space="preserve">Raw trace data leaves Verizon account</w:t>
            </w:r>
          </w:p>
        </w:tc>
        <w:tc>
          <w:tcPr>
            <w:tcW w:type="dxa" w:w="1391"/>
          </w:tcPr>
          <w:p>
            <w:pPr>
              <w:pStyle w:val="Compact"/>
              <w:spacing w:after="20" w:before="20"/>
            </w:pPr>
            <w:r>
              <w:rPr>
                <w:sz w:val="18"/>
              </w:rPr>
              <w:t xml:space="preserve">No</w:t>
            </w:r>
          </w:p>
        </w:tc>
        <w:tc>
          <w:tcPr>
            <w:tcW w:type="dxa" w:w="1537"/>
          </w:tcPr>
          <w:p>
            <w:pPr>
              <w:pStyle w:val="Compact"/>
              <w:spacing w:after="20" w:before="20"/>
            </w:pPr>
            <w:r>
              <w:rPr>
                <w:sz w:val="18"/>
              </w:rPr>
              <w:t xml:space="preserve">Yes (private path)</w:t>
            </w:r>
          </w:p>
        </w:tc>
        <w:tc>
          <w:tcPr>
            <w:tcW w:type="dxa" w:w="1452"/>
          </w:tcPr>
          <w:p>
            <w:pPr>
              <w:pStyle w:val="Compact"/>
              <w:spacing w:after="20" w:before="20"/>
            </w:pPr>
            <w:r>
              <w:rPr>
                <w:sz w:val="18"/>
              </w:rPr>
              <w:t xml:space="preserve">No</w:t>
            </w:r>
          </w:p>
        </w:tc>
        <w:tc>
          <w:tcPr>
            <w:tcW w:type="dxa" w:w="1328"/>
          </w:tcPr>
          <w:p>
            <w:pPr>
              <w:pStyle w:val="Compact"/>
              <w:spacing w:after="20" w:before="20"/>
            </w:pPr>
            <w:r>
              <w:rPr>
                <w:sz w:val="18"/>
              </w:rPr>
              <w:t xml:space="preserve">No (metadata only)</w:t>
            </w:r>
          </w:p>
        </w:tc>
        <w:tc>
          <w:tcPr>
            <w:tcW w:type="dxa" w:w="1984"/>
          </w:tcPr>
          <w:p>
            <w:pPr>
              <w:pStyle w:val="Compact"/>
              <w:spacing w:after="20" w:before="20"/>
            </w:pPr>
            <w:r>
              <w:rPr>
                <w:sz w:val="18"/>
              </w:rPr>
              <w:t xml:space="preserve">Yes (redacted only)</w:t>
            </w:r>
          </w:p>
        </w:tc>
      </w:tr>
      <w:tr>
        <w:tc>
          <w:tcPr>
            <w:tcW w:type="dxa" w:w="2101"/>
            <w:shd w:val="clear" w:color="auto" w:fill="FAFAFA"/>
          </w:tcPr>
          <w:p>
            <w:pPr>
              <w:pStyle w:val="Compact"/>
              <w:spacing w:after="20" w:before="20"/>
            </w:pPr>
            <w:r>
              <w:rPr>
                <w:sz w:val="18"/>
              </w:rPr>
              <w:t xml:space="preserve">Weights stay in Verizon</w:t>
            </w:r>
          </w:p>
        </w:tc>
        <w:tc>
          <w:tcPr>
            <w:tcW w:type="dxa" w:w="1391"/>
            <w:shd w:val="clear" w:color="auto" w:fill="FAFAFA"/>
          </w:tcPr>
          <w:p>
            <w:pPr>
              <w:pStyle w:val="Compact"/>
              <w:spacing w:after="20" w:before="20"/>
            </w:pPr>
            <w:r>
              <w:rPr>
                <w:sz w:val="18"/>
              </w:rPr>
              <w:t xml:space="preserve">Yes</w:t>
            </w:r>
          </w:p>
        </w:tc>
        <w:tc>
          <w:tcPr>
            <w:tcW w:type="dxa" w:w="1537"/>
            <w:shd w:val="clear" w:color="auto" w:fill="FAFAFA"/>
          </w:tcPr>
          <w:p>
            <w:pPr>
              <w:pStyle w:val="Compact"/>
              <w:spacing w:after="20" w:before="20"/>
            </w:pPr>
            <w:r>
              <w:rPr>
                <w:sz w:val="18"/>
              </w:rPr>
              <w:t xml:space="preserve">Contractual</w:t>
            </w:r>
          </w:p>
        </w:tc>
        <w:tc>
          <w:tcPr>
            <w:tcW w:type="dxa" w:w="1452"/>
            <w:shd w:val="clear" w:color="auto" w:fill="FAFAFA"/>
          </w:tcPr>
          <w:p>
            <w:pPr>
              <w:pStyle w:val="Compact"/>
              <w:spacing w:after="20" w:before="20"/>
            </w:pPr>
            <w:r>
              <w:rPr>
                <w:sz w:val="18"/>
              </w:rPr>
              <w:t xml:space="preserve">Yes</w:t>
            </w:r>
          </w:p>
        </w:tc>
        <w:tc>
          <w:tcPr>
            <w:tcW w:type="dxa" w:w="1328"/>
            <w:shd w:val="clear" w:color="auto" w:fill="FAFAFA"/>
          </w:tcPr>
          <w:p>
            <w:pPr>
              <w:pStyle w:val="Compact"/>
              <w:spacing w:after="20" w:before="20"/>
            </w:pPr>
            <w:r>
              <w:rPr>
                <w:sz w:val="18"/>
              </w:rPr>
              <w:t xml:space="preserve">Yes</w:t>
            </w:r>
          </w:p>
        </w:tc>
        <w:tc>
          <w:tcPr>
            <w:tcW w:type="dxa" w:w="1984"/>
            <w:shd w:val="clear" w:color="auto" w:fill="FAFAFA"/>
          </w:tcPr>
          <w:p>
            <w:pPr>
              <w:pStyle w:val="Compact"/>
              <w:spacing w:after="20" w:before="20"/>
            </w:pPr>
            <w:r>
              <w:rPr>
                <w:sz w:val="18"/>
              </w:rPr>
              <w:t xml:space="preserve">Contractual</w:t>
            </w:r>
          </w:p>
        </w:tc>
      </w:tr>
      <w:tr>
        <w:tc>
          <w:tcPr>
            <w:tcW w:type="dxa" w:w="2101"/>
          </w:tcPr>
          <w:p>
            <w:pPr>
              <w:pStyle w:val="Compact"/>
              <w:spacing w:after="20" w:before="20"/>
            </w:pPr>
            <w:r>
              <w:rPr>
                <w:sz w:val="18"/>
              </w:rPr>
              <w:t xml:space="preserve">Vendor readiness</w:t>
            </w:r>
          </w:p>
        </w:tc>
        <w:tc>
          <w:tcPr>
            <w:tcW w:type="dxa" w:w="1391"/>
          </w:tcPr>
          <w:p>
            <w:pPr>
              <w:pStyle w:val="Compact"/>
              <w:spacing w:after="20" w:before="20"/>
            </w:pPr>
            <w:r>
              <w:rPr>
                <w:sz w:val="18"/>
              </w:rPr>
              <w:t xml:space="preserve">[confirm]</w:t>
            </w:r>
          </w:p>
        </w:tc>
        <w:tc>
          <w:tcPr>
            <w:tcW w:type="dxa" w:w="1537"/>
          </w:tcPr>
          <w:p>
            <w:pPr>
              <w:pStyle w:val="Compact"/>
              <w:spacing w:after="20" w:before="20"/>
            </w:pPr>
            <w:r>
              <w:rPr>
                <w:sz w:val="18"/>
              </w:rPr>
              <w:t xml:space="preserve">[confirm]</w:t>
            </w:r>
          </w:p>
        </w:tc>
        <w:tc>
          <w:tcPr>
            <w:tcW w:type="dxa" w:w="1452"/>
          </w:tcPr>
          <w:p>
            <w:pPr>
              <w:pStyle w:val="Compact"/>
              <w:spacing w:after="20" w:before="20"/>
            </w:pPr>
            <w:r>
              <w:rPr>
                <w:sz w:val="18"/>
              </w:rPr>
              <w:t xml:space="preserve">Unlikely near-term</w:t>
            </w:r>
          </w:p>
        </w:tc>
        <w:tc>
          <w:tcPr>
            <w:tcW w:type="dxa" w:w="1328"/>
          </w:tcPr>
          <w:p>
            <w:pPr>
              <w:pStyle w:val="Compact"/>
              <w:spacing w:after="20" w:before="20"/>
            </w:pPr>
            <w:r>
              <w:rPr>
                <w:sz w:val="18"/>
              </w:rPr>
              <w:t xml:space="preserve">[confirm]</w:t>
            </w:r>
          </w:p>
        </w:tc>
        <w:tc>
          <w:tcPr>
            <w:tcW w:type="dxa" w:w="1984"/>
          </w:tcPr>
          <w:p>
            <w:pPr>
              <w:pStyle w:val="Compact"/>
              <w:spacing w:after="20" w:before="20"/>
            </w:pPr>
            <w:r>
              <w:rPr>
                <w:sz w:val="18"/>
              </w:rPr>
              <w:t xml:space="preserve">Available (US/India)</w:t>
            </w:r>
          </w:p>
        </w:tc>
      </w:tr>
      <w:tr>
        <w:tc>
          <w:tcPr>
            <w:tcW w:type="dxa" w:w="2101"/>
            <w:shd w:val="clear" w:color="auto" w:fill="FAFAFA"/>
          </w:tcPr>
          <w:p>
            <w:pPr>
              <w:pStyle w:val="Compact"/>
              <w:spacing w:after="20" w:before="20"/>
            </w:pPr>
            <w:r>
              <w:rPr>
                <w:sz w:val="18"/>
              </w:rPr>
              <w:t xml:space="preserve">Time to stand up</w:t>
            </w:r>
          </w:p>
        </w:tc>
        <w:tc>
          <w:tcPr>
            <w:tcW w:type="dxa" w:w="1391"/>
            <w:shd w:val="clear" w:color="auto" w:fill="FAFAFA"/>
          </w:tcPr>
          <w:p>
            <w:pPr>
              <w:pStyle w:val="Compact"/>
              <w:spacing w:after="20" w:before="20"/>
            </w:pPr>
            <w:r>
              <w:rPr>
                <w:sz w:val="18"/>
              </w:rPr>
              <w:t xml:space="preserve">Weeks</w:t>
            </w:r>
          </w:p>
        </w:tc>
        <w:tc>
          <w:tcPr>
            <w:tcW w:type="dxa" w:w="1537"/>
            <w:shd w:val="clear" w:color="auto" w:fill="FAFAFA"/>
          </w:tcPr>
          <w:p>
            <w:pPr>
              <w:pStyle w:val="Compact"/>
              <w:spacing w:after="20" w:before="20"/>
            </w:pPr>
            <w:r>
              <w:rPr>
                <w:sz w:val="18"/>
              </w:rPr>
              <w:t xml:space="preserve">Weeks</w:t>
            </w:r>
          </w:p>
        </w:tc>
        <w:tc>
          <w:tcPr>
            <w:tcW w:type="dxa" w:w="1452"/>
            <w:shd w:val="clear" w:color="auto" w:fill="FAFAFA"/>
          </w:tcPr>
          <w:p>
            <w:pPr>
              <w:pStyle w:val="Compact"/>
              <w:spacing w:after="20" w:before="20"/>
            </w:pPr>
            <w:r>
              <w:rPr>
                <w:sz w:val="18"/>
              </w:rPr>
              <w:t xml:space="preserve">Longest</w:t>
            </w:r>
          </w:p>
        </w:tc>
        <w:tc>
          <w:tcPr>
            <w:tcW w:type="dxa" w:w="1328"/>
            <w:shd w:val="clear" w:color="auto" w:fill="FAFAFA"/>
          </w:tcPr>
          <w:p>
            <w:pPr>
              <w:pStyle w:val="Compact"/>
              <w:spacing w:after="20" w:before="20"/>
            </w:pPr>
            <w:r>
              <w:rPr>
                <w:sz w:val="18"/>
              </w:rPr>
              <w:t xml:space="preserve">Weeks</w:t>
            </w:r>
          </w:p>
        </w:tc>
        <w:tc>
          <w:tcPr>
            <w:tcW w:type="dxa" w:w="1984"/>
            <w:shd w:val="clear" w:color="auto" w:fill="FAFAFA"/>
          </w:tcPr>
          <w:p>
            <w:pPr>
              <w:pStyle w:val="Compact"/>
              <w:spacing w:after="20" w:before="20"/>
            </w:pPr>
            <w:r>
              <w:rPr>
                <w:sz w:val="18"/>
              </w:rPr>
              <w:t xml:space="preserve">Days</w:t>
            </w:r>
          </w:p>
        </w:tc>
      </w:tr>
      <w:tr>
        <w:tc>
          <w:tcPr>
            <w:tcW w:type="dxa" w:w="2101"/>
          </w:tcPr>
          <w:p>
            <w:pPr>
              <w:pStyle w:val="Compact"/>
              <w:spacing w:after="20" w:before="20"/>
            </w:pPr>
            <w:r>
              <w:rPr>
                <w:sz w:val="18"/>
              </w:rPr>
              <w:t xml:space="preserve">Verizon operating burden</w:t>
            </w:r>
          </w:p>
        </w:tc>
        <w:tc>
          <w:tcPr>
            <w:tcW w:type="dxa" w:w="1391"/>
          </w:tcPr>
          <w:p>
            <w:pPr>
              <w:pStyle w:val="Compact"/>
              <w:spacing w:after="20" w:before="20"/>
            </w:pPr>
            <w:r>
              <w:rPr>
                <w:sz w:val="18"/>
              </w:rPr>
              <w:t xml:space="preserve">Medium (BYOC high)</w:t>
            </w:r>
          </w:p>
        </w:tc>
        <w:tc>
          <w:tcPr>
            <w:tcW w:type="dxa" w:w="1537"/>
          </w:tcPr>
          <w:p>
            <w:pPr>
              <w:pStyle w:val="Compact"/>
              <w:spacing w:after="20" w:before="20"/>
            </w:pPr>
            <w:r>
              <w:rPr>
                <w:sz w:val="18"/>
              </w:rPr>
              <w:t xml:space="preserve">Low</w:t>
            </w:r>
          </w:p>
        </w:tc>
        <w:tc>
          <w:tcPr>
            <w:tcW w:type="dxa" w:w="1452"/>
          </w:tcPr>
          <w:p>
            <w:pPr>
              <w:pStyle w:val="Compact"/>
              <w:spacing w:after="20" w:before="20"/>
            </w:pPr>
            <w:r>
              <w:rPr>
                <w:sz w:val="18"/>
              </w:rPr>
              <w:t xml:space="preserve">High (incl. GPUs)</w:t>
            </w:r>
          </w:p>
        </w:tc>
        <w:tc>
          <w:tcPr>
            <w:tcW w:type="dxa" w:w="1328"/>
          </w:tcPr>
          <w:p>
            <w:pPr>
              <w:pStyle w:val="Compact"/>
              <w:spacing w:after="20" w:before="20"/>
            </w:pPr>
            <w:r>
              <w:rPr>
                <w:sz w:val="18"/>
              </w:rPr>
              <w:t xml:space="preserve">Medium</w:t>
            </w:r>
          </w:p>
        </w:tc>
        <w:tc>
          <w:tcPr>
            <w:tcW w:type="dxa" w:w="1984"/>
          </w:tcPr>
          <w:p>
            <w:pPr>
              <w:pStyle w:val="Compact"/>
              <w:spacing w:after="20" w:before="20"/>
            </w:pPr>
            <w:r>
              <w:rPr>
                <w:sz w:val="18"/>
              </w:rPr>
              <w:t xml:space="preserve">Low</w:t>
            </w:r>
          </w:p>
        </w:tc>
      </w:tr>
      <w:tr>
        <w:tc>
          <w:tcPr>
            <w:tcW w:type="dxa" w:w="2101"/>
            <w:shd w:val="clear" w:color="auto" w:fill="FAFAFA"/>
          </w:tcPr>
          <w:p>
            <w:pPr>
              <w:pStyle w:val="Compact"/>
              <w:spacing w:after="20" w:before="20"/>
            </w:pPr>
            <w:r>
              <w:rPr>
                <w:sz w:val="18"/>
              </w:rPr>
              <w:t xml:space="preserve">TPRM / CPNI posture</w:t>
            </w:r>
          </w:p>
        </w:tc>
        <w:tc>
          <w:tcPr>
            <w:tcW w:type="dxa" w:w="1391"/>
            <w:shd w:val="clear" w:color="auto" w:fill="FAFAFA"/>
          </w:tcPr>
          <w:p>
            <w:pPr>
              <w:pStyle w:val="Compact"/>
              <w:spacing w:after="20" w:before="20"/>
            </w:pPr>
            <w:r>
              <w:rPr>
                <w:sz w:val="18"/>
              </w:rPr>
              <w:t xml:space="preserve">Strongest</w:t>
            </w:r>
          </w:p>
        </w:tc>
        <w:tc>
          <w:tcPr>
            <w:tcW w:type="dxa" w:w="1537"/>
            <w:shd w:val="clear" w:color="auto" w:fill="FAFAFA"/>
          </w:tcPr>
          <w:p>
            <w:pPr>
              <w:pStyle w:val="Compact"/>
              <w:spacing w:after="20" w:before="20"/>
            </w:pPr>
            <w:r>
              <w:rPr>
                <w:sz w:val="18"/>
              </w:rPr>
              <w:t xml:space="preserve">Medium</w:t>
            </w:r>
          </w:p>
        </w:tc>
        <w:tc>
          <w:tcPr>
            <w:tcW w:type="dxa" w:w="1452"/>
            <w:shd w:val="clear" w:color="auto" w:fill="FAFAFA"/>
          </w:tcPr>
          <w:p>
            <w:pPr>
              <w:pStyle w:val="Compact"/>
              <w:spacing w:after="20" w:before="20"/>
            </w:pPr>
            <w:r>
              <w:rPr>
                <w:sz w:val="18"/>
              </w:rPr>
              <w:t xml:space="preserve">Strongest</w:t>
            </w:r>
          </w:p>
        </w:tc>
        <w:tc>
          <w:tcPr>
            <w:tcW w:type="dxa" w:w="1328"/>
            <w:shd w:val="clear" w:color="auto" w:fill="FAFAFA"/>
          </w:tcPr>
          <w:p>
            <w:pPr>
              <w:pStyle w:val="Compact"/>
              <w:spacing w:after="20" w:before="20"/>
            </w:pPr>
            <w:r>
              <w:rPr>
                <w:sz w:val="18"/>
              </w:rPr>
              <w:t xml:space="preserve">Strong</w:t>
            </w:r>
          </w:p>
        </w:tc>
        <w:tc>
          <w:tcPr>
            <w:tcW w:type="dxa" w:w="1984"/>
            <w:shd w:val="clear" w:color="auto" w:fill="FAFAFA"/>
          </w:tcPr>
          <w:p>
            <w:pPr>
              <w:pStyle w:val="Compact"/>
              <w:spacing w:after="20" w:before="20"/>
            </w:pPr>
            <w:r>
              <w:rPr>
                <w:sz w:val="18"/>
              </w:rPr>
              <w:t xml:space="preserve">Weakest; internal, redacted data only</w:t>
            </w:r>
          </w:p>
        </w:tc>
      </w:tr>
      <w:tr>
        <w:tc>
          <w:tcPr>
            <w:tcW w:type="dxa" w:w="2101"/>
          </w:tcPr>
          <w:p>
            <w:pPr>
              <w:pStyle w:val="Compact"/>
              <w:spacing w:after="20" w:before="20"/>
            </w:pPr>
            <w:r>
              <w:rPr>
                <w:sz w:val="18"/>
              </w:rPr>
              <w:t xml:space="preserve">Lock-in / exit</w:t>
            </w:r>
          </w:p>
        </w:tc>
        <w:tc>
          <w:tcPr>
            <w:tcW w:type="dxa" w:w="1391"/>
          </w:tcPr>
          <w:p>
            <w:pPr>
              <w:pStyle w:val="Compact"/>
              <w:spacing w:after="20" w:before="20"/>
            </w:pPr>
            <w:r>
              <w:rPr>
                <w:sz w:val="18"/>
              </w:rPr>
              <w:t xml:space="preserve">Low</w:t>
            </w:r>
          </w:p>
        </w:tc>
        <w:tc>
          <w:tcPr>
            <w:tcW w:type="dxa" w:w="1537"/>
          </w:tcPr>
          <w:p>
            <w:pPr>
              <w:pStyle w:val="Compact"/>
              <w:spacing w:after="20" w:before="20"/>
            </w:pPr>
            <w:r>
              <w:rPr>
                <w:sz w:val="18"/>
              </w:rPr>
              <w:t xml:space="preserve">Medium</w:t>
            </w:r>
          </w:p>
        </w:tc>
        <w:tc>
          <w:tcPr>
            <w:tcW w:type="dxa" w:w="1452"/>
          </w:tcPr>
          <w:p>
            <w:pPr>
              <w:pStyle w:val="Compact"/>
              <w:spacing w:after="20" w:before="20"/>
            </w:pPr>
            <w:r>
              <w:rPr>
                <w:sz w:val="18"/>
              </w:rPr>
              <w:t xml:space="preserve">Lowest</w:t>
            </w:r>
          </w:p>
        </w:tc>
        <w:tc>
          <w:tcPr>
            <w:tcW w:type="dxa" w:w="1328"/>
          </w:tcPr>
          <w:p>
            <w:pPr>
              <w:pStyle w:val="Compact"/>
              <w:spacing w:after="20" w:before="20"/>
            </w:pPr>
            <w:r>
              <w:rPr>
                <w:sz w:val="18"/>
              </w:rPr>
              <w:t xml:space="preserve">Low</w:t>
            </w:r>
          </w:p>
        </w:tc>
        <w:tc>
          <w:tcPr>
            <w:tcW w:type="dxa" w:w="1984"/>
          </w:tcPr>
          <w:p>
            <w:pPr>
              <w:pStyle w:val="Compact"/>
              <w:spacing w:after="20" w:before="20"/>
            </w:pPr>
            <w:r>
              <w:rPr>
                <w:sz w:val="18"/>
              </w:rPr>
              <w:t xml:space="preserve">Highest</w:t>
            </w:r>
          </w:p>
        </w:tc>
      </w:tr>
      <w:tr>
        <w:tc>
          <w:tcPr>
            <w:tcW w:type="dxa" w:w="2101"/>
            <w:shd w:val="clear" w:color="auto" w:fill="FAFAFA"/>
          </w:tcPr>
          <w:p>
            <w:pPr>
              <w:pStyle w:val="Compact"/>
              <w:spacing w:after="20" w:before="20"/>
            </w:pPr>
            <w:r>
              <w:rPr>
                <w:b/>
                <w:bCs/>
                <w:sz w:val="18"/>
              </w:rPr>
              <w:t xml:space="preserve">Fit for POC</w:t>
            </w:r>
          </w:p>
        </w:tc>
        <w:tc>
          <w:tcPr>
            <w:tcW w:type="dxa" w:w="1391"/>
            <w:shd w:val="clear" w:color="auto" w:fill="FAFAFA"/>
          </w:tcPr>
          <w:p>
            <w:pPr>
              <w:pStyle w:val="Compact"/>
              <w:spacing w:after="20" w:before="20"/>
            </w:pPr>
            <w:r>
              <w:rPr>
                <w:sz w:val="18"/>
              </w:rPr>
              <w:t xml:space="preserve">Good if ready</w:t>
            </w:r>
          </w:p>
        </w:tc>
        <w:tc>
          <w:tcPr>
            <w:tcW w:type="dxa" w:w="1537"/>
            <w:shd w:val="clear" w:color="auto" w:fill="FAFAFA"/>
          </w:tcPr>
          <w:p>
            <w:pPr>
              <w:pStyle w:val="Compact"/>
              <w:spacing w:after="20" w:before="20"/>
            </w:pPr>
            <w:r>
              <w:rPr>
                <w:sz w:val="18"/>
              </w:rPr>
              <w:t xml:space="preserve">Good</w:t>
            </w:r>
          </w:p>
        </w:tc>
        <w:tc>
          <w:tcPr>
            <w:tcW w:type="dxa" w:w="1452"/>
            <w:shd w:val="clear" w:color="auto" w:fill="FAFAFA"/>
          </w:tcPr>
          <w:p>
            <w:pPr>
              <w:pStyle w:val="Compact"/>
              <w:spacing w:after="20" w:before="20"/>
            </w:pPr>
            <w:r>
              <w:rPr>
                <w:sz w:val="18"/>
              </w:rPr>
              <w:t xml:space="preserve">Poor (time)</w:t>
            </w:r>
          </w:p>
        </w:tc>
        <w:tc>
          <w:tcPr>
            <w:tcW w:type="dxa" w:w="1328"/>
            <w:shd w:val="clear" w:color="auto" w:fill="FAFAFA"/>
          </w:tcPr>
          <w:p>
            <w:pPr>
              <w:pStyle w:val="Compact"/>
              <w:spacing w:after="20" w:before="20"/>
            </w:pPr>
            <w:r>
              <w:rPr>
                <w:sz w:val="18"/>
              </w:rPr>
              <w:t xml:space="preserve">Good if ready</w:t>
            </w:r>
          </w:p>
        </w:tc>
        <w:tc>
          <w:tcPr>
            <w:tcW w:type="dxa" w:w="1984"/>
            <w:shd w:val="clear" w:color="auto" w:fill="FAFAFA"/>
          </w:tcPr>
          <w:p>
            <w:pPr>
              <w:pStyle w:val="Compact"/>
              <w:spacing w:after="20" w:before="20"/>
            </w:pPr>
            <w:r>
              <w:rPr>
                <w:b/>
                <w:bCs/>
                <w:sz w:val="18"/>
              </w:rPr>
              <w:t xml:space="preserve">Acceptable with conditions</w:t>
            </w:r>
          </w:p>
        </w:tc>
      </w:tr>
      <w:tr>
        <w:tc>
          <w:tcPr>
            <w:tcW w:type="dxa" w:w="2101"/>
          </w:tcPr>
          <w:p>
            <w:pPr>
              <w:pStyle w:val="Compact"/>
              <w:spacing w:after="20" w:before="20"/>
            </w:pPr>
            <w:r>
              <w:rPr>
                <w:b/>
                <w:bCs/>
                <w:sz w:val="18"/>
              </w:rPr>
              <w:t xml:space="preserve">Fit for production</w:t>
            </w:r>
          </w:p>
        </w:tc>
        <w:tc>
          <w:tcPr>
            <w:tcW w:type="dxa" w:w="1391"/>
          </w:tcPr>
          <w:p>
            <w:pPr>
              <w:pStyle w:val="Compact"/>
              <w:spacing w:after="20" w:before="20"/>
            </w:pPr>
            <w:r>
              <w:rPr>
                <w:b/>
                <w:bCs/>
                <w:sz w:val="18"/>
              </w:rPr>
              <w:t xml:space="preserve">Preferred</w:t>
            </w:r>
          </w:p>
        </w:tc>
        <w:tc>
          <w:tcPr>
            <w:tcW w:type="dxa" w:w="1537"/>
          </w:tcPr>
          <w:p>
            <w:pPr>
              <w:pStyle w:val="Compact"/>
              <w:spacing w:after="20" w:before="20"/>
            </w:pPr>
            <w:r>
              <w:rPr>
                <w:sz w:val="18"/>
              </w:rPr>
              <w:t xml:space="preserve">Acceptable for low-sensitivity data</w:t>
            </w:r>
          </w:p>
        </w:tc>
        <w:tc>
          <w:tcPr>
            <w:tcW w:type="dxa" w:w="1452"/>
          </w:tcPr>
          <w:p>
            <w:pPr>
              <w:pStyle w:val="Compact"/>
              <w:spacing w:after="20" w:before="20"/>
            </w:pPr>
            <w:r>
              <w:rPr>
                <w:sz w:val="18"/>
              </w:rPr>
              <w:t xml:space="preserve">Acceptable</w:t>
            </w:r>
          </w:p>
        </w:tc>
        <w:tc>
          <w:tcPr>
            <w:tcW w:type="dxa" w:w="1328"/>
          </w:tcPr>
          <w:p>
            <w:pPr>
              <w:pStyle w:val="Compact"/>
              <w:spacing w:after="20" w:before="20"/>
            </w:pPr>
            <w:r>
              <w:rPr>
                <w:b/>
                <w:bCs/>
                <w:sz w:val="18"/>
              </w:rPr>
              <w:t xml:space="preserve">Preferred</w:t>
            </w:r>
          </w:p>
        </w:tc>
        <w:tc>
          <w:tcPr>
            <w:tcW w:type="dxa" w:w="1984"/>
          </w:tcPr>
          <w:p>
            <w:pPr>
              <w:pStyle w:val="Compact"/>
              <w:spacing w:after="20" w:before="20"/>
            </w:pPr>
            <w:r>
              <w:rPr>
                <w:sz w:val="18"/>
              </w:rPr>
              <w:t xml:space="preserve">Not acceptable for CPNI</w:t>
            </w:r>
          </w:p>
        </w:tc>
      </w:tr>
    </w:tbl>
    <w:bookmarkEnd w:id="29"/>
    <w:bookmarkStart w:id="30" w:name="recommendation"/>
    <w:p>
      <w:pPr>
        <w:pStyle w:val="Heading2"/>
      </w:pPr>
      <w:r>
        <w:t xml:space="preserve">3.3 Recommendation</w:t>
      </w:r>
    </w:p>
    <w:p>
      <w:pPr>
        <w:pStyle w:val="Compact"/>
        <w:numPr>
          <w:ilvl w:val="0"/>
          <w:numId w:val="1010"/>
        </w:numPr>
      </w:pPr>
      <w:r>
        <w:rPr>
          <w:b/>
          <w:bCs/>
        </w:rPr>
        <w:t xml:space="preserve">POC:</w:t>
      </w:r>
      <w:r>
        <w:t xml:space="preserve"> </w:t>
      </w:r>
      <w:r>
        <w:t xml:space="preserve">a dedicated Lucidic tenant on a US-hosted path, reached via PrivateLink (B) if available, otherwise SaaS with strict egress allow-listing (E). Conditions: an internal, low-CPNI use case only; redaction at the Verizon Collector before egress; no Lucidic calls on the inference path; all training artefacts exported to Verizon at the end of the POC; deletion certified at exit.</w:t>
      </w:r>
    </w:p>
    <w:p>
      <w:pPr>
        <w:pStyle w:val="Compact"/>
        <w:numPr>
          <w:ilvl w:val="0"/>
          <w:numId w:val="1010"/>
        </w:numPr>
      </w:pPr>
      <w:r>
        <w:rPr>
          <w:b/>
          <w:bCs/>
        </w:rPr>
        <w:t xml:space="preserve">Production:</w:t>
      </w:r>
      <w:r>
        <w:t xml:space="preserve"> </w:t>
      </w:r>
      <w:r>
        <w:t xml:space="preserve">single-tenant in Verizon’s cloud account (A, managed preferred) or hybrid with the data plane in Verizon (D). Customer-facing or CPNI-bearing use cases are only in scope on A, C or D.</w:t>
      </w:r>
    </w:p>
    <w:p>
      <w:pPr>
        <w:pStyle w:val="Compact"/>
        <w:numPr>
          <w:ilvl w:val="0"/>
          <w:numId w:val="1010"/>
        </w:numPr>
      </w:pPr>
      <w:r>
        <w:rPr>
          <w:b/>
          <w:bCs/>
        </w:rPr>
        <w:t xml:space="preserve">Decision owner:</w:t>
      </w:r>
      <w:r>
        <w:t xml:space="preserve"> </w:t>
      </w:r>
      <w:r>
        <w:t xml:space="preserve">[Security architecture owner] with [Privacy/Legal owner]; decision required by end of Week 0.</w:t>
      </w:r>
    </w:p>
    <w:bookmarkEnd w:id="30"/>
    <w:bookmarkStart w:id="31" w:name="governance-path"/>
    <w:p>
      <w:pPr>
        <w:pStyle w:val="Heading2"/>
      </w:pPr>
      <w:r>
        <w:t xml:space="preserve">3.4 Governance path</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623"/>
        <w:gridCol w:w="3632"/>
        <w:gridCol w:w="2766"/>
        <w:gridCol w:w="1770"/>
      </w:tblGrid>
      <w:tr>
        <w:trPr>
          <w:tblHeader w:val="on"/>
          <w:tblHeader w:val="true"/>
        </w:trPr>
        <w:tc>
          <w:tcPr>
            <w:tcW w:type="dxa" w:w="1623"/>
            <w:shd w:val="clear" w:color="auto" w:fill="1F1F1F"/>
          </w:tcPr>
          <w:p>
            <w:pPr>
              <w:pStyle w:val="Compact"/>
              <w:spacing w:after="20" w:before="20"/>
            </w:pPr>
            <w:r>
              <w:rPr>
                <w:b/>
                <w:color w:val="FFFFFF"/>
                <w:sz w:val="18"/>
              </w:rPr>
              <w:t xml:space="preserve">Control</w:t>
            </w:r>
          </w:p>
        </w:tc>
        <w:tc>
          <w:tcPr>
            <w:tcW w:type="dxa" w:w="3632"/>
            <w:shd w:val="clear" w:color="auto" w:fill="1F1F1F"/>
          </w:tcPr>
          <w:p>
            <w:pPr>
              <w:pStyle w:val="Compact"/>
              <w:spacing w:after="20" w:before="20"/>
            </w:pPr>
            <w:r>
              <w:rPr>
                <w:b/>
                <w:color w:val="FFFFFF"/>
                <w:sz w:val="18"/>
              </w:rPr>
              <w:t xml:space="preserve">Verizon expectation</w:t>
            </w:r>
          </w:p>
        </w:tc>
        <w:tc>
          <w:tcPr>
            <w:tcW w:type="dxa" w:w="2766"/>
            <w:shd w:val="clear" w:color="auto" w:fill="1F1F1F"/>
          </w:tcPr>
          <w:p>
            <w:pPr>
              <w:pStyle w:val="Compact"/>
              <w:spacing w:after="20" w:before="20"/>
            </w:pPr>
            <w:r>
              <w:rPr>
                <w:b/>
                <w:color w:val="FFFFFF"/>
                <w:sz w:val="18"/>
              </w:rPr>
              <w:t xml:space="preserve">Evidence from Lucidic</w:t>
            </w:r>
          </w:p>
        </w:tc>
        <w:tc>
          <w:tcPr>
            <w:tcW w:type="dxa" w:w="1770"/>
            <w:shd w:val="clear" w:color="auto" w:fill="1F1F1F"/>
          </w:tcPr>
          <w:p>
            <w:pPr>
              <w:pStyle w:val="Compact"/>
              <w:spacing w:after="20" w:before="20"/>
            </w:pPr>
            <w:r>
              <w:rPr>
                <w:b/>
                <w:color w:val="FFFFFF"/>
                <w:sz w:val="18"/>
              </w:rPr>
              <w:t xml:space="preserve">Gate</w:t>
            </w:r>
          </w:p>
        </w:tc>
      </w:tr>
      <w:tr>
        <w:tc>
          <w:tcPr>
            <w:tcW w:type="dxa" w:w="1623"/>
          </w:tcPr>
          <w:p>
            <w:pPr>
              <w:pStyle w:val="Compact"/>
              <w:spacing w:after="20" w:before="20"/>
            </w:pPr>
            <w:r>
              <w:rPr>
                <w:sz w:val="18"/>
              </w:rPr>
              <w:t xml:space="preserve">TPRM / vendor security review</w:t>
            </w:r>
          </w:p>
        </w:tc>
        <w:tc>
          <w:tcPr>
            <w:tcW w:type="dxa" w:w="3632"/>
          </w:tcPr>
          <w:p>
            <w:pPr>
              <w:pStyle w:val="Compact"/>
              <w:spacing w:after="20" w:before="20"/>
            </w:pPr>
            <w:r>
              <w:rPr>
                <w:sz w:val="18"/>
              </w:rPr>
              <w:t xml:space="preserve">Complete Verizon TPRM questionnaire and risk tiering</w:t>
            </w:r>
          </w:p>
        </w:tc>
        <w:tc>
          <w:tcPr>
            <w:tcW w:type="dxa" w:w="2766"/>
          </w:tcPr>
          <w:p>
            <w:pPr>
              <w:pStyle w:val="Compact"/>
              <w:spacing w:after="20" w:before="20"/>
            </w:pPr>
            <w:r>
              <w:rPr>
                <w:sz w:val="18"/>
              </w:rPr>
              <w:t xml:space="preserve">Completed questionnaire, architecture, data-flow diagram, subprocessor list</w:t>
            </w:r>
          </w:p>
        </w:tc>
        <w:tc>
          <w:tcPr>
            <w:tcW w:type="dxa" w:w="1770"/>
          </w:tcPr>
          <w:p>
            <w:pPr>
              <w:pStyle w:val="Compact"/>
              <w:spacing w:after="20" w:before="20"/>
            </w:pPr>
            <w:r>
              <w:rPr>
                <w:sz w:val="18"/>
              </w:rPr>
              <w:t xml:space="preserve">Before any Verizon data egress</w:t>
            </w:r>
          </w:p>
        </w:tc>
      </w:tr>
      <w:tr>
        <w:tc>
          <w:tcPr>
            <w:tcW w:type="dxa" w:w="1623"/>
            <w:shd w:val="clear" w:color="auto" w:fill="FAFAFA"/>
          </w:tcPr>
          <w:p>
            <w:pPr>
              <w:pStyle w:val="Compact"/>
              <w:spacing w:after="20" w:before="20"/>
            </w:pPr>
            <w:r>
              <w:rPr>
                <w:sz w:val="18"/>
              </w:rPr>
              <w:t xml:space="preserve">SOC 2 Type II</w:t>
            </w:r>
          </w:p>
        </w:tc>
        <w:tc>
          <w:tcPr>
            <w:tcW w:type="dxa" w:w="3632"/>
            <w:shd w:val="clear" w:color="auto" w:fill="FAFAFA"/>
          </w:tcPr>
          <w:p>
            <w:pPr>
              <w:pStyle w:val="Compact"/>
              <w:spacing w:after="20" w:before="20"/>
            </w:pPr>
            <w:r>
              <w:rPr>
                <w:sz w:val="18"/>
              </w:rPr>
              <w:t xml:space="preserve">Current report, or report status and bridge letter</w:t>
            </w:r>
          </w:p>
        </w:tc>
        <w:tc>
          <w:tcPr>
            <w:tcW w:type="dxa" w:w="2766"/>
            <w:shd w:val="clear" w:color="auto" w:fill="FAFAFA"/>
          </w:tcPr>
          <w:p>
            <w:pPr>
              <w:pStyle w:val="Compact"/>
              <w:spacing w:after="20" w:before="20"/>
            </w:pPr>
            <w:r>
              <w:rPr>
                <w:sz w:val="18"/>
              </w:rPr>
              <w:t xml:space="preserve">SOC 2 Type II report (or Type I plus remediation plan and timeline)</w:t>
            </w:r>
          </w:p>
        </w:tc>
        <w:tc>
          <w:tcPr>
            <w:tcW w:type="dxa" w:w="1770"/>
            <w:shd w:val="clear" w:color="auto" w:fill="FAFAFA"/>
          </w:tcPr>
          <w:p>
            <w:pPr>
              <w:pStyle w:val="Compact"/>
              <w:spacing w:after="20" w:before="20"/>
            </w:pPr>
            <w:r>
              <w:rPr>
                <w:sz w:val="18"/>
              </w:rPr>
              <w:t xml:space="preserve">Before data egress (POC tier per TPRM)</w:t>
            </w:r>
          </w:p>
        </w:tc>
      </w:tr>
      <w:tr>
        <w:tc>
          <w:tcPr>
            <w:tcW w:type="dxa" w:w="1623"/>
          </w:tcPr>
          <w:p>
            <w:pPr>
              <w:pStyle w:val="Compact"/>
              <w:spacing w:after="20" w:before="20"/>
            </w:pPr>
            <w:r>
              <w:rPr>
                <w:sz w:val="18"/>
              </w:rPr>
              <w:t xml:space="preserve">Penetration test</w:t>
            </w:r>
          </w:p>
        </w:tc>
        <w:tc>
          <w:tcPr>
            <w:tcW w:type="dxa" w:w="3632"/>
          </w:tcPr>
          <w:p>
            <w:pPr>
              <w:pStyle w:val="Compact"/>
              <w:spacing w:after="20" w:before="20"/>
            </w:pPr>
            <w:r>
              <w:rPr>
                <w:sz w:val="18"/>
              </w:rPr>
              <w:t xml:space="preserve">Independent test within the last 12 months</w:t>
            </w:r>
          </w:p>
        </w:tc>
        <w:tc>
          <w:tcPr>
            <w:tcW w:type="dxa" w:w="2766"/>
          </w:tcPr>
          <w:p>
            <w:pPr>
              <w:pStyle w:val="Compact"/>
              <w:spacing w:after="20" w:before="20"/>
            </w:pPr>
            <w:r>
              <w:rPr>
                <w:sz w:val="18"/>
              </w:rPr>
              <w:t xml:space="preserve">Executive summary and remediation status</w:t>
            </w:r>
          </w:p>
        </w:tc>
        <w:tc>
          <w:tcPr>
            <w:tcW w:type="dxa" w:w="1770"/>
          </w:tcPr>
          <w:p>
            <w:pPr>
              <w:pStyle w:val="Compact"/>
              <w:spacing w:after="20" w:before="20"/>
            </w:pPr>
            <w:r>
              <w:rPr>
                <w:sz w:val="18"/>
              </w:rPr>
              <w:t xml:space="preserve">Before data egress</w:t>
            </w:r>
          </w:p>
        </w:tc>
      </w:tr>
      <w:tr>
        <w:tc>
          <w:tcPr>
            <w:tcW w:type="dxa" w:w="1623"/>
            <w:shd w:val="clear" w:color="auto" w:fill="FAFAFA"/>
          </w:tcPr>
          <w:p>
            <w:pPr>
              <w:pStyle w:val="Compact"/>
              <w:spacing w:after="20" w:before="20"/>
            </w:pPr>
            <w:r>
              <w:rPr>
                <w:sz w:val="18"/>
              </w:rPr>
              <w:t xml:space="preserve">DPA</w:t>
            </w:r>
          </w:p>
        </w:tc>
        <w:tc>
          <w:tcPr>
            <w:tcW w:type="dxa" w:w="3632"/>
            <w:shd w:val="clear" w:color="auto" w:fill="FAFAFA"/>
          </w:tcPr>
          <w:p>
            <w:pPr>
              <w:pStyle w:val="Compact"/>
              <w:spacing w:after="20" w:before="20"/>
            </w:pPr>
            <w:r>
              <w:rPr>
                <w:sz w:val="18"/>
              </w:rPr>
              <w:t xml:space="preserve">Signed data processing agreement covering purpose limitation, subprocessors, breach notice, deletion</w:t>
            </w:r>
          </w:p>
        </w:tc>
        <w:tc>
          <w:tcPr>
            <w:tcW w:type="dxa" w:w="2766"/>
            <w:shd w:val="clear" w:color="auto" w:fill="FAFAFA"/>
          </w:tcPr>
          <w:p>
            <w:pPr>
              <w:pStyle w:val="Compact"/>
              <w:spacing w:after="20" w:before="20"/>
            </w:pPr>
            <w:r>
              <w:rPr>
                <w:sz w:val="18"/>
              </w:rPr>
              <w:t xml:space="preserve">Signed DPA</w:t>
            </w:r>
          </w:p>
        </w:tc>
        <w:tc>
          <w:tcPr>
            <w:tcW w:type="dxa" w:w="1770"/>
            <w:shd w:val="clear" w:color="auto" w:fill="FAFAFA"/>
          </w:tcPr>
          <w:p>
            <w:pPr>
              <w:pStyle w:val="Compact"/>
              <w:spacing w:after="20" w:before="20"/>
            </w:pPr>
            <w:r>
              <w:rPr>
                <w:sz w:val="18"/>
              </w:rPr>
              <w:t xml:space="preserve">Before data egress</w:t>
            </w:r>
          </w:p>
        </w:tc>
      </w:tr>
      <w:tr>
        <w:tc>
          <w:tcPr>
            <w:tcW w:type="dxa" w:w="1623"/>
          </w:tcPr>
          <w:p>
            <w:pPr>
              <w:pStyle w:val="Compact"/>
              <w:spacing w:after="20" w:before="20"/>
            </w:pPr>
            <w:r>
              <w:rPr>
                <w:sz w:val="18"/>
              </w:rPr>
              <w:t xml:space="preserve">CPNI/PII redaction</w:t>
            </w:r>
          </w:p>
        </w:tc>
        <w:tc>
          <w:tcPr>
            <w:tcW w:type="dxa" w:w="3632"/>
          </w:tcPr>
          <w:p>
            <w:pPr>
              <w:pStyle w:val="Compact"/>
              <w:spacing w:after="20" w:before="20"/>
            </w:pPr>
            <w:r>
              <w:rPr>
                <w:sz w:val="18"/>
              </w:rPr>
              <w:t xml:space="preserve">Redaction and tokenisation at the Verizon Collector before egress; vendor treats data as confidential regardless</w:t>
            </w:r>
          </w:p>
        </w:tc>
        <w:tc>
          <w:tcPr>
            <w:tcW w:type="dxa" w:w="2766"/>
          </w:tcPr>
          <w:p>
            <w:pPr>
              <w:pStyle w:val="Compact"/>
              <w:spacing w:after="20" w:before="20"/>
            </w:pPr>
            <w:r>
              <w:rPr>
                <w:sz w:val="18"/>
              </w:rPr>
              <w:t xml:space="preserve">Confirmation no un-redacted data required; vendor-side masking roadmap</w:t>
            </w:r>
          </w:p>
        </w:tc>
        <w:tc>
          <w:tcPr>
            <w:tcW w:type="dxa" w:w="1770"/>
          </w:tcPr>
          <w:p>
            <w:pPr>
              <w:pStyle w:val="Compact"/>
              <w:spacing w:after="20" w:before="20"/>
            </w:pPr>
            <w:r>
              <w:rPr>
                <w:sz w:val="18"/>
              </w:rPr>
              <w:t xml:space="preserve">Redaction test pass (TA-10)</w:t>
            </w:r>
          </w:p>
        </w:tc>
      </w:tr>
      <w:tr>
        <w:tc>
          <w:tcPr>
            <w:tcW w:type="dxa" w:w="1623"/>
            <w:shd w:val="clear" w:color="auto" w:fill="FAFAFA"/>
          </w:tcPr>
          <w:p>
            <w:pPr>
              <w:pStyle w:val="Compact"/>
              <w:spacing w:after="20" w:before="20"/>
            </w:pPr>
            <w:r>
              <w:rPr>
                <w:sz w:val="18"/>
              </w:rPr>
              <w:t xml:space="preserve">Data residency</w:t>
            </w:r>
          </w:p>
        </w:tc>
        <w:tc>
          <w:tcPr>
            <w:tcW w:type="dxa" w:w="3632"/>
            <w:shd w:val="clear" w:color="auto" w:fill="FAFAFA"/>
          </w:tcPr>
          <w:p>
            <w:pPr>
              <w:pStyle w:val="Compact"/>
              <w:spacing w:after="20" w:before="20"/>
            </w:pPr>
            <w:r>
              <w:rPr>
                <w:sz w:val="18"/>
              </w:rPr>
              <w:t xml:space="preserve">Region set by Privacy/Legal determination; US path default for US-origin data</w:t>
            </w:r>
          </w:p>
        </w:tc>
        <w:tc>
          <w:tcPr>
            <w:tcW w:type="dxa" w:w="2766"/>
            <w:shd w:val="clear" w:color="auto" w:fill="FAFAFA"/>
          </w:tcPr>
          <w:p>
            <w:pPr>
              <w:pStyle w:val="Compact"/>
              <w:spacing w:after="20" w:before="20"/>
            </w:pPr>
            <w:r>
              <w:rPr>
                <w:sz w:val="18"/>
              </w:rPr>
              <w:t xml:space="preserve">Hosting regions, backups, support access locations, subprocessors</w:t>
            </w:r>
          </w:p>
        </w:tc>
        <w:tc>
          <w:tcPr>
            <w:tcW w:type="dxa" w:w="1770"/>
            <w:shd w:val="clear" w:color="auto" w:fill="FAFAFA"/>
          </w:tcPr>
          <w:p>
            <w:pPr>
              <w:pStyle w:val="Compact"/>
              <w:spacing w:after="20" w:before="20"/>
            </w:pPr>
            <w:r>
              <w:rPr>
                <w:sz w:val="18"/>
              </w:rPr>
              <w:t xml:space="preserve">Week 0</w:t>
            </w:r>
          </w:p>
        </w:tc>
      </w:tr>
      <w:tr>
        <w:tc>
          <w:tcPr>
            <w:tcW w:type="dxa" w:w="1623"/>
          </w:tcPr>
          <w:p>
            <w:pPr>
              <w:pStyle w:val="Compact"/>
              <w:spacing w:after="20" w:before="20"/>
            </w:pPr>
            <w:r>
              <w:rPr>
                <w:sz w:val="18"/>
              </w:rPr>
              <w:t xml:space="preserve">Encryption and KMS</w:t>
            </w:r>
          </w:p>
        </w:tc>
        <w:tc>
          <w:tcPr>
            <w:tcW w:type="dxa" w:w="3632"/>
          </w:tcPr>
          <w:p>
            <w:pPr>
              <w:pStyle w:val="Compact"/>
              <w:spacing w:after="20" w:before="20"/>
            </w:pPr>
            <w:r>
              <w:rPr>
                <w:sz w:val="18"/>
              </w:rPr>
              <w:t xml:space="preserve">TLS 1.2+ in transit; AES-256 at rest; customer-managed keys (BYOK) for production</w:t>
            </w:r>
          </w:p>
        </w:tc>
        <w:tc>
          <w:tcPr>
            <w:tcW w:type="dxa" w:w="2766"/>
          </w:tcPr>
          <w:p>
            <w:pPr>
              <w:pStyle w:val="Compact"/>
              <w:spacing w:after="20" w:before="20"/>
            </w:pPr>
            <w:r>
              <w:rPr>
                <w:sz w:val="18"/>
              </w:rPr>
              <w:t xml:space="preserve">Key management design; BYOK support</w:t>
            </w:r>
          </w:p>
        </w:tc>
        <w:tc>
          <w:tcPr>
            <w:tcW w:type="dxa" w:w="1770"/>
          </w:tcPr>
          <w:p>
            <w:pPr>
              <w:pStyle w:val="Compact"/>
              <w:spacing w:after="20" w:before="20"/>
            </w:pPr>
            <w:r>
              <w:rPr>
                <w:sz w:val="18"/>
              </w:rPr>
              <w:t xml:space="preserve">POC: vendor keys acceptable [confirm]; production: BYOK</w:t>
            </w:r>
          </w:p>
        </w:tc>
      </w:tr>
      <w:tr>
        <w:tc>
          <w:tcPr>
            <w:tcW w:type="dxa" w:w="1623"/>
            <w:shd w:val="clear" w:color="auto" w:fill="FAFAFA"/>
          </w:tcPr>
          <w:p>
            <w:pPr>
              <w:pStyle w:val="Compact"/>
              <w:spacing w:after="20" w:before="20"/>
            </w:pPr>
            <w:r>
              <w:rPr>
                <w:sz w:val="18"/>
              </w:rPr>
              <w:t xml:space="preserve">SSO/SAML and RBAC</w:t>
            </w:r>
          </w:p>
        </w:tc>
        <w:tc>
          <w:tcPr>
            <w:tcW w:type="dxa" w:w="3632"/>
            <w:shd w:val="clear" w:color="auto" w:fill="FAFAFA"/>
          </w:tcPr>
          <w:p>
            <w:pPr>
              <w:pStyle w:val="Compact"/>
              <w:spacing w:after="20" w:before="20"/>
            </w:pPr>
            <w:r>
              <w:rPr>
                <w:sz w:val="18"/>
              </w:rPr>
              <w:t xml:space="preserve">SAML/OIDC SSO with Verizon IdP; role-based access; SCIM preferred</w:t>
            </w:r>
          </w:p>
        </w:tc>
        <w:tc>
          <w:tcPr>
            <w:tcW w:type="dxa" w:w="2766"/>
            <w:shd w:val="clear" w:color="auto" w:fill="FAFAFA"/>
          </w:tcPr>
          <w:p>
            <w:pPr>
              <w:pStyle w:val="Compact"/>
              <w:spacing w:after="20" w:before="20"/>
            </w:pPr>
            <w:r>
              <w:rPr>
                <w:sz w:val="18"/>
              </w:rPr>
              <w:t xml:space="preserve">Admin guide, role model</w:t>
            </w:r>
          </w:p>
        </w:tc>
        <w:tc>
          <w:tcPr>
            <w:tcW w:type="dxa" w:w="1770"/>
            <w:shd w:val="clear" w:color="auto" w:fill="FAFAFA"/>
          </w:tcPr>
          <w:p>
            <w:pPr>
              <w:pStyle w:val="Compact"/>
              <w:spacing w:after="20" w:before="20"/>
            </w:pPr>
            <w:r>
              <w:rPr>
                <w:sz w:val="18"/>
              </w:rPr>
              <w:t xml:space="preserve">Before user onboarding</w:t>
            </w:r>
          </w:p>
        </w:tc>
      </w:tr>
      <w:tr>
        <w:tc>
          <w:tcPr>
            <w:tcW w:type="dxa" w:w="1623"/>
          </w:tcPr>
          <w:p>
            <w:pPr>
              <w:pStyle w:val="Compact"/>
              <w:spacing w:after="20" w:before="20"/>
            </w:pPr>
            <w:r>
              <w:rPr>
                <w:sz w:val="18"/>
              </w:rPr>
              <w:t xml:space="preserve">Audit logs</w:t>
            </w:r>
          </w:p>
        </w:tc>
        <w:tc>
          <w:tcPr>
            <w:tcW w:type="dxa" w:w="3632"/>
          </w:tcPr>
          <w:p>
            <w:pPr>
              <w:pStyle w:val="Compact"/>
              <w:spacing w:after="20" w:before="20"/>
            </w:pPr>
            <w:r>
              <w:rPr>
                <w:sz w:val="18"/>
              </w:rPr>
              <w:t xml:space="preserve">Exportable logs of user, admin, API and support access</w:t>
            </w:r>
          </w:p>
        </w:tc>
        <w:tc>
          <w:tcPr>
            <w:tcW w:type="dxa" w:w="2766"/>
          </w:tcPr>
          <w:p>
            <w:pPr>
              <w:pStyle w:val="Compact"/>
              <w:spacing w:after="20" w:before="20"/>
            </w:pPr>
            <w:r>
              <w:rPr>
                <w:sz w:val="18"/>
              </w:rPr>
              <w:t xml:space="preserve">Sample log export; SIEM integration options</w:t>
            </w:r>
          </w:p>
        </w:tc>
        <w:tc>
          <w:tcPr>
            <w:tcW w:type="dxa" w:w="1770"/>
          </w:tcPr>
          <w:p>
            <w:pPr>
              <w:pStyle w:val="Compact"/>
              <w:spacing w:after="20" w:before="20"/>
            </w:pPr>
            <w:r>
              <w:rPr>
                <w:sz w:val="18"/>
              </w:rPr>
              <w:t xml:space="preserve">Week 1</w:t>
            </w:r>
          </w:p>
        </w:tc>
      </w:tr>
      <w:tr>
        <w:tc>
          <w:tcPr>
            <w:tcW w:type="dxa" w:w="1623"/>
            <w:shd w:val="clear" w:color="auto" w:fill="FAFAFA"/>
          </w:tcPr>
          <w:p>
            <w:pPr>
              <w:pStyle w:val="Compact"/>
              <w:spacing w:after="20" w:before="20"/>
            </w:pPr>
            <w:r>
              <w:rPr>
                <w:sz w:val="18"/>
              </w:rPr>
              <w:t xml:space="preserve">Retention and deletion</w:t>
            </w:r>
          </w:p>
        </w:tc>
        <w:tc>
          <w:tcPr>
            <w:tcW w:type="dxa" w:w="3632"/>
            <w:shd w:val="clear" w:color="auto" w:fill="FAFAFA"/>
          </w:tcPr>
          <w:p>
            <w:pPr>
              <w:pStyle w:val="Compact"/>
              <w:spacing w:after="20" w:before="20"/>
            </w:pPr>
            <w:r>
              <w:rPr>
                <w:sz w:val="18"/>
              </w:rPr>
              <w:t xml:space="preserve">Pilot data retained only for the POC term; deletion on request and at exit with certificate</w:t>
            </w:r>
          </w:p>
        </w:tc>
        <w:tc>
          <w:tcPr>
            <w:tcW w:type="dxa" w:w="2766"/>
            <w:shd w:val="clear" w:color="auto" w:fill="FAFAFA"/>
          </w:tcPr>
          <w:p>
            <w:pPr>
              <w:pStyle w:val="Compact"/>
              <w:spacing w:after="20" w:before="20"/>
            </w:pPr>
            <w:r>
              <w:rPr>
                <w:sz w:val="18"/>
              </w:rPr>
              <w:t xml:space="preserve">Retention configuration; deletion certificate</w:t>
            </w:r>
          </w:p>
        </w:tc>
        <w:tc>
          <w:tcPr>
            <w:tcW w:type="dxa" w:w="1770"/>
            <w:shd w:val="clear" w:color="auto" w:fill="FAFAFA"/>
          </w:tcPr>
          <w:p>
            <w:pPr>
              <w:pStyle w:val="Compact"/>
              <w:spacing w:after="20" w:before="20"/>
            </w:pPr>
            <w:r>
              <w:rPr>
                <w:sz w:val="18"/>
              </w:rPr>
              <w:t xml:space="preserve">Exit</w:t>
            </w:r>
          </w:p>
        </w:tc>
      </w:tr>
      <w:tr>
        <w:tc>
          <w:tcPr>
            <w:tcW w:type="dxa" w:w="1623"/>
          </w:tcPr>
          <w:p>
            <w:pPr>
              <w:pStyle w:val="Compact"/>
              <w:spacing w:after="20" w:before="20"/>
            </w:pPr>
            <w:r>
              <w:rPr>
                <w:sz w:val="18"/>
              </w:rPr>
              <w:t xml:space="preserve">Model weight ownership and export</w:t>
            </w:r>
          </w:p>
        </w:tc>
        <w:tc>
          <w:tcPr>
            <w:tcW w:type="dxa" w:w="3632"/>
          </w:tcPr>
          <w:p>
            <w:pPr>
              <w:pStyle w:val="Compact"/>
              <w:spacing w:after="20" w:before="20"/>
            </w:pPr>
            <w:r>
              <w:rPr>
                <w:sz w:val="18"/>
              </w:rPr>
              <w:t xml:space="preserve">Verizon owns trained weights, harness and derived artefacts; open-format export</w:t>
            </w:r>
          </w:p>
        </w:tc>
        <w:tc>
          <w:tcPr>
            <w:tcW w:type="dxa" w:w="2766"/>
          </w:tcPr>
          <w:p>
            <w:pPr>
              <w:pStyle w:val="Compact"/>
              <w:spacing w:after="20" w:before="20"/>
            </w:pPr>
            <w:r>
              <w:rPr>
                <w:sz w:val="18"/>
              </w:rPr>
              <w:t xml:space="preserve">Contract clause; export demonstrated (TA-08)</w:t>
            </w:r>
          </w:p>
        </w:tc>
        <w:tc>
          <w:tcPr>
            <w:tcW w:type="dxa" w:w="1770"/>
          </w:tcPr>
          <w:p>
            <w:pPr>
              <w:pStyle w:val="Compact"/>
              <w:spacing w:after="20" w:before="20"/>
            </w:pPr>
            <w:r>
              <w:rPr>
                <w:sz w:val="18"/>
              </w:rPr>
              <w:t xml:space="preserve">Before Phase 4</w:t>
            </w:r>
          </w:p>
        </w:tc>
      </w:tr>
      <w:tr>
        <w:tc>
          <w:tcPr>
            <w:tcW w:type="dxa" w:w="1623"/>
            <w:shd w:val="clear" w:color="auto" w:fill="FAFAFA"/>
          </w:tcPr>
          <w:p>
            <w:pPr>
              <w:pStyle w:val="Compact"/>
              <w:spacing w:after="20" w:before="20"/>
            </w:pPr>
            <w:r>
              <w:rPr>
                <w:sz w:val="18"/>
              </w:rPr>
              <w:t xml:space="preserve">Source-code escrow and exit plan</w:t>
            </w:r>
          </w:p>
        </w:tc>
        <w:tc>
          <w:tcPr>
            <w:tcW w:type="dxa" w:w="3632"/>
            <w:shd w:val="clear" w:color="auto" w:fill="FAFAFA"/>
          </w:tcPr>
          <w:p>
            <w:pPr>
              <w:pStyle w:val="Compact"/>
              <w:spacing w:after="20" w:before="20"/>
            </w:pPr>
            <w:r>
              <w:rPr>
                <w:sz w:val="18"/>
              </w:rPr>
              <w:t xml:space="preserve">Escrow for production; documented exit plan and transition support</w:t>
            </w:r>
          </w:p>
        </w:tc>
        <w:tc>
          <w:tcPr>
            <w:tcW w:type="dxa" w:w="2766"/>
            <w:shd w:val="clear" w:color="auto" w:fill="FAFAFA"/>
          </w:tcPr>
          <w:p>
            <w:pPr>
              <w:pStyle w:val="Compact"/>
              <w:spacing w:after="20" w:before="20"/>
            </w:pPr>
            <w:r>
              <w:rPr>
                <w:sz w:val="18"/>
              </w:rPr>
              <w:t xml:space="preserve">Escrow terms; exit runbook</w:t>
            </w:r>
          </w:p>
        </w:tc>
        <w:tc>
          <w:tcPr>
            <w:tcW w:type="dxa" w:w="1770"/>
            <w:shd w:val="clear" w:color="auto" w:fill="FAFAFA"/>
          </w:tcPr>
          <w:p>
            <w:pPr>
              <w:pStyle w:val="Compact"/>
              <w:spacing w:after="20" w:before="20"/>
            </w:pPr>
            <w:r>
              <w:rPr>
                <w:sz w:val="18"/>
              </w:rPr>
              <w:t xml:space="preserve">Before production contract</w:t>
            </w:r>
          </w:p>
        </w:tc>
      </w:tr>
    </w:tbl>
    <w:bookmarkEnd w:id="31"/>
    <w:bookmarkEnd w:id="32"/>
    <w:bookmarkStart w:id="36" w:name="poc-scope-and-use-cases"/>
    <w:p>
      <w:pPr>
        <w:pStyle w:val="Heading1"/>
      </w:pPr>
      <w:r>
        <w:t xml:space="preserve">4. POC scope and use cases</w:t>
      </w:r>
    </w:p>
    <w:bookmarkStart w:id="33" w:name="candidate-use-cases-to-be-confirmed"/>
    <w:p>
      <w:pPr>
        <w:pStyle w:val="Heading2"/>
      </w:pPr>
      <w:r>
        <w:t xml:space="preserve">4.1 Candidate use cases (to be confirmed)</w:t>
      </w:r>
    </w:p>
    <w:p>
      <w:pPr>
        <w:pStyle w:val="FirstParagraph"/>
      </w:pPr>
      <w:r>
        <w:t xml:space="preserve">The POC targets one use case end to end, with an optional second for generalisation. Both candidates are</w:t>
      </w:r>
      <w:r>
        <w:t xml:space="preserve"> </w:t>
      </w:r>
      <w:r>
        <w:rPr>
          <w:b/>
          <w:bCs/>
        </w:rPr>
        <w:t xml:space="preserve">internal</w:t>
      </w:r>
      <w:r>
        <w:t xml:space="preserve"> </w:t>
      </w:r>
      <w:r>
        <w:t xml:space="preserve">and are listed for confirmation by the business owners.</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818"/>
        <w:gridCol w:w="3758"/>
        <w:gridCol w:w="4214"/>
      </w:tblGrid>
      <w:tr>
        <w:trPr>
          <w:tblHeader w:val="on"/>
          <w:tblHeader w:val="true"/>
        </w:trPr>
        <w:tc>
          <w:tcPr>
            <w:tcW w:type="dxa" w:w="1819"/>
            <w:shd w:val="clear" w:color="auto" w:fill="1F1F1F"/>
          </w:tcPr>
          <w:p>
            <w:pPr>
              <w:pStyle w:val="Compact"/>
              <w:spacing w:after="20" w:before="20"/>
            </w:pPr>
            <w:r>
              <w:rPr>
                <w:b/>
                <w:color w:val="FFFFFF"/>
                <w:sz w:val="18"/>
              </w:rPr>
              <w:t xml:space="preserve">Attribute</w:t>
            </w:r>
          </w:p>
        </w:tc>
        <w:tc>
          <w:tcPr>
            <w:tcW w:type="dxa" w:w="3759"/>
            <w:shd w:val="clear" w:color="auto" w:fill="1F1F1F"/>
          </w:tcPr>
          <w:p>
            <w:pPr>
              <w:pStyle w:val="Compact"/>
              <w:spacing w:after="20" w:before="20"/>
            </w:pPr>
            <w:r>
              <w:rPr>
                <w:b/>
                <w:color w:val="FFFFFF"/>
                <w:sz w:val="18"/>
              </w:rPr>
              <w:t xml:space="preserve">Candidate 1: IT helpdesk / employee productivity</w:t>
            </w:r>
          </w:p>
        </w:tc>
        <w:tc>
          <w:tcPr>
            <w:tcW w:type="dxa" w:w="4214"/>
            <w:shd w:val="clear" w:color="auto" w:fill="1F1F1F"/>
          </w:tcPr>
          <w:p>
            <w:pPr>
              <w:pStyle w:val="Compact"/>
              <w:spacing w:after="20" w:before="20"/>
            </w:pPr>
            <w:r>
              <w:rPr>
                <w:b/>
                <w:color w:val="FFFFFF"/>
                <w:sz w:val="18"/>
              </w:rPr>
              <w:t xml:space="preserve">Candidate 2: Frontline rep assist</w:t>
            </w:r>
          </w:p>
        </w:tc>
      </w:tr>
      <w:tr>
        <w:tc>
          <w:tcPr>
            <w:tcW w:type="dxa" w:w="1819"/>
          </w:tcPr>
          <w:p>
            <w:pPr>
              <w:pStyle w:val="Compact"/>
              <w:spacing w:after="20" w:before="20"/>
            </w:pPr>
            <w:r>
              <w:rPr>
                <w:sz w:val="18"/>
              </w:rPr>
              <w:t xml:space="preserve">Status</w:t>
            </w:r>
          </w:p>
        </w:tc>
        <w:tc>
          <w:tcPr>
            <w:tcW w:type="dxa" w:w="3759"/>
          </w:tcPr>
          <w:p>
            <w:pPr>
              <w:pStyle w:val="Compact"/>
              <w:spacing w:after="20" w:before="20"/>
            </w:pPr>
            <w:r>
              <w:rPr>
                <w:b/>
                <w:bCs/>
                <w:sz w:val="18"/>
              </w:rPr>
              <w:t xml:space="preserve">Candidate, to confirm</w:t>
            </w:r>
            <w:r>
              <w:rPr>
                <w:sz w:val="18"/>
              </w:rPr>
              <w:t xml:space="preserve"> </w:t>
            </w:r>
            <w:r>
              <w:rPr>
                <w:sz w:val="18"/>
              </w:rPr>
              <w:t xml:space="preserve">with [use-case owner]</w:t>
            </w:r>
          </w:p>
        </w:tc>
        <w:tc>
          <w:tcPr>
            <w:tcW w:type="dxa" w:w="4214"/>
          </w:tcPr>
          <w:p>
            <w:pPr>
              <w:pStyle w:val="Compact"/>
              <w:spacing w:after="20" w:before="20"/>
            </w:pPr>
            <w:r>
              <w:rPr>
                <w:b/>
                <w:bCs/>
                <w:sz w:val="18"/>
              </w:rPr>
              <w:t xml:space="preserve">Candidate, to confirm</w:t>
            </w:r>
            <w:r>
              <w:rPr>
                <w:sz w:val="18"/>
              </w:rPr>
              <w:t xml:space="preserve"> </w:t>
            </w:r>
            <w:r>
              <w:rPr>
                <w:sz w:val="18"/>
              </w:rPr>
              <w:t xml:space="preserve">with [use-case owner]</w:t>
            </w:r>
          </w:p>
        </w:tc>
      </w:tr>
      <w:tr>
        <w:tc>
          <w:tcPr>
            <w:tcW w:type="dxa" w:w="1819"/>
            <w:shd w:val="clear" w:color="auto" w:fill="FAFAFA"/>
          </w:tcPr>
          <w:p>
            <w:pPr>
              <w:pStyle w:val="Compact"/>
              <w:spacing w:after="20" w:before="20"/>
            </w:pPr>
            <w:r>
              <w:rPr>
                <w:sz w:val="18"/>
              </w:rPr>
              <w:t xml:space="preserve">Why it fits</w:t>
            </w:r>
          </w:p>
        </w:tc>
        <w:tc>
          <w:tcPr>
            <w:tcW w:type="dxa" w:w="3759"/>
            <w:shd w:val="clear" w:color="auto" w:fill="FAFAFA"/>
          </w:tcPr>
          <w:p>
            <w:pPr>
              <w:pStyle w:val="Compact"/>
              <w:spacing w:after="20" w:before="20"/>
            </w:pPr>
            <w:r>
              <w:rPr>
                <w:sz w:val="18"/>
              </w:rPr>
              <w:t xml:space="preserve">Clear resolution labels; ITSM and knowledge tools are mockable; low CPNI exposure</w:t>
            </w:r>
          </w:p>
        </w:tc>
        <w:tc>
          <w:tcPr>
            <w:tcW w:type="dxa" w:w="4214"/>
            <w:shd w:val="clear" w:color="auto" w:fill="FAFAFA"/>
          </w:tcPr>
          <w:p>
            <w:pPr>
              <w:pStyle w:val="Compact"/>
              <w:spacing w:after="20" w:before="20"/>
            </w:pPr>
            <w:r>
              <w:rPr>
                <w:sz w:val="18"/>
              </w:rPr>
              <w:t xml:space="preserve">Retrieval and knowledge tools are mockable; measurable answer acceptance and handling time</w:t>
            </w:r>
          </w:p>
        </w:tc>
      </w:tr>
      <w:tr>
        <w:tc>
          <w:tcPr>
            <w:tcW w:type="dxa" w:w="1819"/>
          </w:tcPr>
          <w:p>
            <w:pPr>
              <w:pStyle w:val="Compact"/>
              <w:spacing w:after="20" w:before="20"/>
            </w:pPr>
            <w:r>
              <w:rPr>
                <w:sz w:val="18"/>
              </w:rPr>
              <w:t xml:space="preserve">Reward signals</w:t>
            </w:r>
          </w:p>
        </w:tc>
        <w:tc>
          <w:tcPr>
            <w:tcW w:type="dxa" w:w="3759"/>
          </w:tcPr>
          <w:p>
            <w:pPr>
              <w:pStyle w:val="Compact"/>
              <w:spacing w:after="20" w:before="20"/>
            </w:pPr>
            <w:r>
              <w:rPr>
                <w:sz w:val="18"/>
              </w:rPr>
              <w:t xml:space="preserve">[ticket resolved / deflected], [reopen rate], [CSAT if captured]</w:t>
            </w:r>
          </w:p>
        </w:tc>
        <w:tc>
          <w:tcPr>
            <w:tcW w:type="dxa" w:w="4214"/>
          </w:tcPr>
          <w:p>
            <w:pPr>
              <w:pStyle w:val="Compact"/>
              <w:spacing w:after="20" w:before="20"/>
            </w:pPr>
            <w:r>
              <w:rPr>
                <w:sz w:val="18"/>
              </w:rPr>
              <w:t xml:space="preserve">[answer accepted], [handling-time proxy], [escalation rate]</w:t>
            </w:r>
          </w:p>
        </w:tc>
      </w:tr>
      <w:tr>
        <w:tc>
          <w:tcPr>
            <w:tcW w:type="dxa" w:w="1819"/>
            <w:shd w:val="clear" w:color="auto" w:fill="FAFAFA"/>
          </w:tcPr>
          <w:p>
            <w:pPr>
              <w:pStyle w:val="Compact"/>
              <w:spacing w:after="20" w:before="20"/>
            </w:pPr>
            <w:r>
              <w:rPr>
                <w:sz w:val="18"/>
              </w:rPr>
              <w:t xml:space="preserve">Data sensitivity</w:t>
            </w:r>
          </w:p>
        </w:tc>
        <w:tc>
          <w:tcPr>
            <w:tcW w:type="dxa" w:w="3759"/>
            <w:shd w:val="clear" w:color="auto" w:fill="FAFAFA"/>
          </w:tcPr>
          <w:p>
            <w:pPr>
              <w:pStyle w:val="Compact"/>
              <w:spacing w:after="20" w:before="20"/>
            </w:pPr>
            <w:r>
              <w:rPr>
                <w:sz w:val="18"/>
              </w:rPr>
              <w:t xml:space="preserve">Employee PII; low CPNI</w:t>
            </w:r>
          </w:p>
        </w:tc>
        <w:tc>
          <w:tcPr>
            <w:tcW w:type="dxa" w:w="4214"/>
            <w:shd w:val="clear" w:color="auto" w:fill="FAFAFA"/>
          </w:tcPr>
          <w:p>
            <w:pPr>
              <w:pStyle w:val="Compact"/>
              <w:spacing w:after="20" w:before="20"/>
            </w:pPr>
            <w:r>
              <w:rPr>
                <w:sz w:val="18"/>
              </w:rPr>
              <w:t xml:space="preserve">Medium: conversation snippets may contain CPNI</w:t>
            </w:r>
          </w:p>
        </w:tc>
      </w:tr>
      <w:tr>
        <w:tc>
          <w:tcPr>
            <w:tcW w:type="dxa" w:w="1819"/>
          </w:tcPr>
          <w:p>
            <w:pPr>
              <w:pStyle w:val="Compact"/>
              <w:spacing w:after="20" w:before="20"/>
            </w:pPr>
            <w:r>
              <w:rPr>
                <w:sz w:val="18"/>
              </w:rPr>
              <w:t xml:space="preserve">Trace availability</w:t>
            </w:r>
          </w:p>
        </w:tc>
        <w:tc>
          <w:tcPr>
            <w:tcW w:type="dxa" w:w="3759"/>
          </w:tcPr>
          <w:p>
            <w:pPr>
              <w:pStyle w:val="Compact"/>
              <w:spacing w:after="20" w:before="20"/>
            </w:pPr>
            <w:r>
              <w:rPr>
                <w:sz w:val="18"/>
              </w:rPr>
              <w:t xml:space="preserve">[N sessions in 3-month window]</w:t>
            </w:r>
          </w:p>
        </w:tc>
        <w:tc>
          <w:tcPr>
            <w:tcW w:type="dxa" w:w="4214"/>
          </w:tcPr>
          <w:p>
            <w:pPr>
              <w:pStyle w:val="Compact"/>
              <w:spacing w:after="20" w:before="20"/>
            </w:pPr>
            <w:r>
              <w:rPr>
                <w:sz w:val="18"/>
              </w:rPr>
              <w:t xml:space="preserve">[N sessions in 3-month window]</w:t>
            </w:r>
          </w:p>
        </w:tc>
      </w:tr>
      <w:tr>
        <w:tc>
          <w:tcPr>
            <w:tcW w:type="dxa" w:w="1819"/>
            <w:shd w:val="clear" w:color="auto" w:fill="FAFAFA"/>
          </w:tcPr>
          <w:p>
            <w:pPr>
              <w:pStyle w:val="Compact"/>
              <w:spacing w:after="20" w:before="20"/>
            </w:pPr>
            <w:r>
              <w:rPr>
                <w:sz w:val="18"/>
              </w:rPr>
              <w:t xml:space="preserve">Recommendation</w:t>
            </w:r>
          </w:p>
        </w:tc>
        <w:tc>
          <w:tcPr>
            <w:tcW w:type="dxa" w:w="3759"/>
            <w:shd w:val="clear" w:color="auto" w:fill="FAFAFA"/>
          </w:tcPr>
          <w:p>
            <w:pPr>
              <w:pStyle w:val="Compact"/>
              <w:spacing w:after="20" w:before="20"/>
            </w:pPr>
            <w:r>
              <w:rPr>
                <w:b/>
                <w:bCs/>
                <w:sz w:val="18"/>
              </w:rPr>
              <w:t xml:space="preserve">Primary</w:t>
            </w:r>
          </w:p>
        </w:tc>
        <w:tc>
          <w:tcPr>
            <w:tcW w:type="dxa" w:w="4214"/>
            <w:shd w:val="clear" w:color="auto" w:fill="FAFAFA"/>
          </w:tcPr>
          <w:p>
            <w:pPr>
              <w:pStyle w:val="Compact"/>
              <w:spacing w:after="20" w:before="20"/>
            </w:pPr>
            <w:r>
              <w:rPr>
                <w:sz w:val="18"/>
              </w:rPr>
              <w:t xml:space="preserve">Secondary, only after redaction is proven on Candidate 1</w:t>
            </w:r>
          </w:p>
        </w:tc>
      </w:tr>
    </w:tbl>
    <w:bookmarkEnd w:id="33"/>
    <w:bookmarkStart w:id="34" w:name="why-customer-facing-work-waits"/>
    <w:p>
      <w:pPr>
        <w:pStyle w:val="Heading2"/>
      </w:pPr>
      <w:r>
        <w:t xml:space="preserve">4.2 Why customer-facing work waits</w:t>
      </w:r>
    </w:p>
    <w:p>
      <w:pPr>
        <w:pStyle w:val="FirstParagraph"/>
      </w:pPr>
      <w:r>
        <w:t xml:space="preserve">Customer-facing assistants carry CPNI and customer PII in prompts, completions and tool payloads, and act on billing, account and order systems. The public SDK ships full prompts, completions and images and applies no masking on its current path. Customer-facing use cases are therefore</w:t>
      </w:r>
      <w:r>
        <w:t xml:space="preserve"> </w:t>
      </w:r>
      <w:r>
        <w:rPr>
          <w:b/>
          <w:bCs/>
        </w:rPr>
        <w:t xml:space="preserve">out of scope</w:t>
      </w:r>
      <w:r>
        <w:t xml:space="preserve"> </w:t>
      </w:r>
      <w:r>
        <w:t xml:space="preserve">until (a) CPNI handling is approved by Privacy/Legal, (b) the production deployment model (Section 3.3) is in place, (c) redaction is proven at scale, and (d) the DPA and residency terms are settled.</w:t>
      </w:r>
    </w:p>
    <w:bookmarkEnd w:id="34"/>
    <w:bookmarkStart w:id="35" w:name="in-scope-out-of-scope"/>
    <w:p>
      <w:pPr>
        <w:pStyle w:val="Heading2"/>
      </w:pPr>
      <w:r>
        <w:t xml:space="preserve">4.3 In scope / out of scope</w:t>
      </w:r>
    </w:p>
    <w:p>
      <w:pPr>
        <w:pStyle w:val="Compact"/>
        <w:numPr>
          <w:ilvl w:val="0"/>
          <w:numId w:val="1011"/>
        </w:numPr>
      </w:pPr>
      <w:r>
        <w:rPr>
          <w:b/>
          <w:bCs/>
        </w:rPr>
        <w:t xml:space="preserve">In scope:</w:t>
      </w:r>
      <w:r>
        <w:t xml:space="preserve"> </w:t>
      </w:r>
      <w:r>
        <w:t xml:space="preserve">historical trace ingest; live capture through the Collector/Kairos for the chosen use case; simulation, replay and branching; harness optimisation; memory; fine-tuning of one custom model; export; shadow/offline serving behind Kairos; security review for the POC tier.</w:t>
      </w:r>
    </w:p>
    <w:p>
      <w:pPr>
        <w:pStyle w:val="Compact"/>
        <w:numPr>
          <w:ilvl w:val="0"/>
          <w:numId w:val="1011"/>
        </w:numPr>
      </w:pPr>
      <w:r>
        <w:rPr>
          <w:b/>
          <w:bCs/>
        </w:rPr>
        <w:t xml:space="preserve">Out of scope:</w:t>
      </w:r>
      <w:r>
        <w:t xml:space="preserve"> </w:t>
      </w:r>
      <w:r>
        <w:t xml:space="preserve">customer-facing traffic; production rollout to end users; changes to agent application code; changes to Kairos routing policy beyond adding a new route; Lucidic runtime on the inference path.</w:t>
      </w:r>
    </w:p>
    <w:bookmarkEnd w:id="35"/>
    <w:bookmarkEnd w:id="36"/>
    <w:bookmarkStart w:id="49" w:name="poc-test-areas"/>
    <w:p>
      <w:pPr>
        <w:pStyle w:val="Heading1"/>
      </w:pPr>
      <w:r>
        <w:t xml:space="preserve">5. POC test areas</w:t>
      </w:r>
    </w:p>
    <w:p>
      <w:pPr>
        <w:pStyle w:val="FirstParagraph"/>
      </w:pPr>
      <w:r>
        <w:t xml:space="preserve">Each test area has an owner, explicit success criteria, and required evidence. Baselines are measured in Phase 2 on the same held-out set and evaluation harness used for every later comparison.</w:t>
      </w:r>
      <w:r>
        <w:t xml:space="preserve"> </w:t>
      </w:r>
      <w:r>
        <w:t xml:space="preserve">“Held-out”</w:t>
      </w:r>
      <w:r>
        <w:t xml:space="preserve"> </w:t>
      </w:r>
      <w:r>
        <w:t xml:space="preserve">means sessions never used for simulation building, optimisation or training.</w:t>
      </w:r>
    </w:p>
    <w:bookmarkStart w:id="37" w:name="ta-01.-integration-via-kairos"/>
    <w:p>
      <w:pPr>
        <w:pStyle w:val="Heading3"/>
      </w:pPr>
      <w:r>
        <w:t xml:space="preserve">TA-01. Integration via Kairos</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856"/>
        <w:gridCol w:w="7935"/>
      </w:tblGrid>
      <w:tr>
        <w:trPr>
          <w:tblHeader w:val="on"/>
          <w:tblHeader w:val="true"/>
        </w:trPr>
        <w:tc>
          <w:tcPr>
            <w:tcW w:type="dxa" w:w="1857"/>
            <w:shd w:val="clear" w:color="auto" w:fill="1F1F1F"/>
          </w:tcPr>
          <w:p>
            <w:pPr>
              <w:pStyle w:val="Compact"/>
              <w:spacing w:after="20" w:before="20"/>
            </w:pPr>
            <w:r>
              <w:rPr>
                <w:b/>
                <w:color w:val="FFFFFF"/>
                <w:sz w:val="18"/>
              </w:rPr>
              <w:t xml:space="preserve">Aspect</w:t>
            </w:r>
          </w:p>
        </w:tc>
        <w:tc>
          <w:tcPr>
            <w:tcW w:type="dxa" w:w="7935"/>
            <w:shd w:val="clear" w:color="auto" w:fill="1F1F1F"/>
          </w:tcPr>
          <w:p>
            <w:pPr>
              <w:pStyle w:val="Compact"/>
              <w:spacing w:after="20" w:before="20"/>
            </w:pPr>
            <w:r>
              <w:rPr>
                <w:b/>
                <w:color w:val="FFFFFF"/>
                <w:sz w:val="18"/>
              </w:rPr>
              <w:t xml:space="preserve">Detail</w:t>
            </w:r>
          </w:p>
        </w:tc>
      </w:tr>
      <w:tr>
        <w:tc>
          <w:tcPr>
            <w:tcW w:type="dxa" w:w="1857"/>
            <w:shd w:val="clear" w:color="auto" w:fill="F2F2F2"/>
          </w:tcPr>
          <w:p>
            <w:pPr>
              <w:pStyle w:val="Compact"/>
              <w:spacing w:after="20" w:before="20"/>
            </w:pPr>
            <w:r>
              <w:rPr>
                <w:b/>
                <w:sz w:val="18"/>
              </w:rPr>
              <w:t xml:space="preserve">What we test</w:t>
            </w:r>
          </w:p>
        </w:tc>
        <w:tc>
          <w:tcPr>
            <w:tcW w:type="dxa" w:w="7935"/>
          </w:tcPr>
          <w:p>
            <w:pPr>
              <w:pStyle w:val="Compact"/>
              <w:spacing w:after="20" w:before="20"/>
            </w:pPr>
            <w:r>
              <w:rPr>
                <w:sz w:val="18"/>
              </w:rPr>
              <w:t xml:space="preserve">Live capture through Kairos and the Collector (Options A/B/C) with no agent code change; session grouping; routing metadata; gateway overhead and fail-open behaviour</w:t>
            </w:r>
          </w:p>
        </w:tc>
      </w:tr>
      <w:tr>
        <w:tc>
          <w:tcPr>
            <w:tcW w:type="dxa" w:w="1857"/>
            <w:shd w:val="clear" w:color="auto" w:fill="F2F2F2"/>
          </w:tcPr>
          <w:p>
            <w:pPr>
              <w:pStyle w:val="Compact"/>
              <w:spacing w:after="20" w:before="20"/>
            </w:pPr>
            <w:r>
              <w:rPr>
                <w:b/>
                <w:sz w:val="18"/>
              </w:rPr>
              <w:t xml:space="preserve">Success criteria</w:t>
            </w:r>
          </w:p>
        </w:tc>
        <w:tc>
          <w:tcPr>
            <w:tcW w:type="dxa" w:w="7935"/>
            <w:shd w:val="clear" w:color="auto" w:fill="FAFAFA"/>
          </w:tcPr>
          <w:p>
            <w:pPr>
              <w:pStyle w:val="Compact"/>
              <w:spacing w:after="20" w:before="20"/>
            </w:pPr>
            <w:r>
              <w:rPr>
                <w:sz w:val="18"/>
              </w:rPr>
              <w:t xml:space="preserve">0 app code changes; ≥ [99]% of in-scope model calls captured as Lucidic events with correct session grouping; added p95 gateway latency ≤ [X ms]; Lucidic outage causes 0 failed user requests</w:t>
            </w:r>
          </w:p>
        </w:tc>
      </w:tr>
      <w:tr>
        <w:tc>
          <w:tcPr>
            <w:tcW w:type="dxa" w:w="1857"/>
            <w:shd w:val="clear" w:color="auto" w:fill="F2F2F2"/>
          </w:tcPr>
          <w:p>
            <w:pPr>
              <w:pStyle w:val="Compact"/>
              <w:spacing w:after="20" w:before="20"/>
            </w:pPr>
            <w:r>
              <w:rPr>
                <w:b/>
                <w:sz w:val="18"/>
              </w:rPr>
              <w:t xml:space="preserve">Evidence</w:t>
            </w:r>
          </w:p>
        </w:tc>
        <w:tc>
          <w:tcPr>
            <w:tcW w:type="dxa" w:w="7935"/>
          </w:tcPr>
          <w:p>
            <w:pPr>
              <w:pStyle w:val="Compact"/>
              <w:spacing w:after="20" w:before="20"/>
            </w:pPr>
            <w:r>
              <w:rPr>
                <w:sz w:val="18"/>
              </w:rPr>
              <w:t xml:space="preserve">Change log (config only); reconciliation report (Kairos call count vs Lucidic events); latency benchmark; fault-injection test result</w:t>
            </w:r>
          </w:p>
        </w:tc>
      </w:tr>
      <w:tr>
        <w:tc>
          <w:tcPr>
            <w:tcW w:type="dxa" w:w="1857"/>
            <w:shd w:val="clear" w:color="auto" w:fill="F2F2F2"/>
          </w:tcPr>
          <w:p>
            <w:pPr>
              <w:pStyle w:val="Compact"/>
              <w:spacing w:after="20" w:before="20"/>
            </w:pPr>
            <w:r>
              <w:rPr>
                <w:b/>
                <w:sz w:val="18"/>
              </w:rPr>
              <w:t xml:space="preserve">Owner</w:t>
            </w:r>
          </w:p>
        </w:tc>
        <w:tc>
          <w:tcPr>
            <w:tcW w:type="dxa" w:w="7935"/>
            <w:shd w:val="clear" w:color="auto" w:fill="FAFAFA"/>
          </w:tcPr>
          <w:p>
            <w:pPr>
              <w:pStyle w:val="Compact"/>
              <w:spacing w:after="20" w:before="20"/>
            </w:pPr>
            <w:r>
              <w:rPr>
                <w:sz w:val="18"/>
              </w:rPr>
              <w:t xml:space="preserve">[Kairos owner] / [Lucidic engineer]</w:t>
            </w:r>
          </w:p>
        </w:tc>
      </w:tr>
    </w:tbl>
    <w:bookmarkEnd w:id="37"/>
    <w:bookmarkStart w:id="38" w:name="ta-02.-historical-trace-ingest"/>
    <w:p>
      <w:pPr>
        <w:pStyle w:val="Heading3"/>
      </w:pPr>
      <w:r>
        <w:t xml:space="preserve">TA-02. Historical trace ingest</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002"/>
        <w:gridCol w:w="7789"/>
      </w:tblGrid>
      <w:tr>
        <w:trPr>
          <w:tblHeader w:val="on"/>
          <w:tblHeader w:val="true"/>
        </w:trPr>
        <w:tc>
          <w:tcPr>
            <w:tcW w:type="dxa" w:w="2003"/>
            <w:shd w:val="clear" w:color="auto" w:fill="1F1F1F"/>
          </w:tcPr>
          <w:p>
            <w:pPr>
              <w:pStyle w:val="Compact"/>
              <w:spacing w:after="20" w:before="20"/>
            </w:pPr>
            <w:r>
              <w:rPr>
                <w:b/>
                <w:color w:val="FFFFFF"/>
                <w:sz w:val="18"/>
              </w:rPr>
              <w:t xml:space="preserve">Aspect</w:t>
            </w:r>
          </w:p>
        </w:tc>
        <w:tc>
          <w:tcPr>
            <w:tcW w:type="dxa" w:w="7789"/>
            <w:shd w:val="clear" w:color="auto" w:fill="1F1F1F"/>
          </w:tcPr>
          <w:p>
            <w:pPr>
              <w:pStyle w:val="Compact"/>
              <w:spacing w:after="20" w:before="20"/>
            </w:pPr>
            <w:r>
              <w:rPr>
                <w:b/>
                <w:color w:val="FFFFFF"/>
                <w:sz w:val="18"/>
              </w:rPr>
              <w:t xml:space="preserve">Detail</w:t>
            </w:r>
          </w:p>
        </w:tc>
      </w:tr>
      <w:tr>
        <w:tc>
          <w:tcPr>
            <w:tcW w:type="dxa" w:w="2003"/>
            <w:shd w:val="clear" w:color="auto" w:fill="F2F2F2"/>
          </w:tcPr>
          <w:p>
            <w:pPr>
              <w:pStyle w:val="Compact"/>
              <w:spacing w:after="20" w:before="20"/>
            </w:pPr>
            <w:r>
              <w:rPr>
                <w:b/>
                <w:sz w:val="18"/>
              </w:rPr>
              <w:t xml:space="preserve">What we test</w:t>
            </w:r>
          </w:p>
        </w:tc>
        <w:tc>
          <w:tcPr>
            <w:tcW w:type="dxa" w:w="7789"/>
          </w:tcPr>
          <w:p>
            <w:pPr>
              <w:pStyle w:val="Compact"/>
              <w:spacing w:after="20" w:before="20"/>
            </w:pPr>
            <w:r>
              <w:rPr>
                <w:sz w:val="18"/>
              </w:rPr>
              <w:t xml:space="preserve">Bulk import of about three months of Galileo-format OTel traces via adapter or bulk/OTLP endpoint</w:t>
            </w:r>
          </w:p>
        </w:tc>
      </w:tr>
      <w:tr>
        <w:tc>
          <w:tcPr>
            <w:tcW w:type="dxa" w:w="2003"/>
            <w:shd w:val="clear" w:color="auto" w:fill="F2F2F2"/>
          </w:tcPr>
          <w:p>
            <w:pPr>
              <w:pStyle w:val="Compact"/>
              <w:spacing w:after="20" w:before="20"/>
            </w:pPr>
            <w:r>
              <w:rPr>
                <w:b/>
                <w:sz w:val="18"/>
              </w:rPr>
              <w:t xml:space="preserve">Success criteria</w:t>
            </w:r>
          </w:p>
        </w:tc>
        <w:tc>
          <w:tcPr>
            <w:tcW w:type="dxa" w:w="7789"/>
            <w:shd w:val="clear" w:color="auto" w:fill="FAFAFA"/>
          </w:tcPr>
          <w:p>
            <w:pPr>
              <w:pStyle w:val="Compact"/>
              <w:spacing w:after="20" w:before="20"/>
            </w:pPr>
            <w:r>
              <w:rPr>
                <w:sz w:val="18"/>
              </w:rPr>
              <w:t xml:space="preserve">≥ [99]% of spans mapped; 0 silently dropped spans (every drop logged with reason); parent/child and tool linkage preserved; 0 un-redacted CPNI/PII in the vendor tenant; import of the full slice in ≤ [X hours]</w:t>
            </w:r>
          </w:p>
        </w:tc>
      </w:tr>
      <w:tr>
        <w:tc>
          <w:tcPr>
            <w:tcW w:type="dxa" w:w="2003"/>
            <w:shd w:val="clear" w:color="auto" w:fill="F2F2F2"/>
          </w:tcPr>
          <w:p>
            <w:pPr>
              <w:pStyle w:val="Compact"/>
              <w:spacing w:after="20" w:before="20"/>
            </w:pPr>
            <w:r>
              <w:rPr>
                <w:b/>
                <w:sz w:val="18"/>
              </w:rPr>
              <w:t xml:space="preserve">Evidence</w:t>
            </w:r>
          </w:p>
        </w:tc>
        <w:tc>
          <w:tcPr>
            <w:tcW w:type="dxa" w:w="7789"/>
          </w:tcPr>
          <w:p>
            <w:pPr>
              <w:pStyle w:val="Compact"/>
              <w:spacing w:after="20" w:before="20"/>
            </w:pPr>
            <w:r>
              <w:rPr>
                <w:sz w:val="18"/>
              </w:rPr>
              <w:t xml:space="preserve">Mapping specification; reconciliation counts by span type; drop log; redaction scan report on vendor-side data sample</w:t>
            </w:r>
          </w:p>
        </w:tc>
      </w:tr>
      <w:tr>
        <w:tc>
          <w:tcPr>
            <w:tcW w:type="dxa" w:w="2003"/>
            <w:shd w:val="clear" w:color="auto" w:fill="F2F2F2"/>
          </w:tcPr>
          <w:p>
            <w:pPr>
              <w:pStyle w:val="Compact"/>
              <w:spacing w:after="20" w:before="20"/>
            </w:pPr>
            <w:r>
              <w:rPr>
                <w:b/>
                <w:sz w:val="18"/>
              </w:rPr>
              <w:t xml:space="preserve">Owner</w:t>
            </w:r>
          </w:p>
        </w:tc>
        <w:tc>
          <w:tcPr>
            <w:tcW w:type="dxa" w:w="7789"/>
            <w:shd w:val="clear" w:color="auto" w:fill="FAFAFA"/>
          </w:tcPr>
          <w:p>
            <w:pPr>
              <w:pStyle w:val="Compact"/>
              <w:spacing w:after="20" w:before="20"/>
            </w:pPr>
            <w:r>
              <w:rPr>
                <w:sz w:val="18"/>
              </w:rPr>
              <w:t xml:space="preserve">[Data engineering owner]</w:t>
            </w:r>
          </w:p>
        </w:tc>
      </w:tr>
    </w:tbl>
    <w:bookmarkEnd w:id="38"/>
    <w:bookmarkStart w:id="39" w:name="ta-03.-simulation-fidelity"/>
    <w:p>
      <w:pPr>
        <w:pStyle w:val="Heading3"/>
      </w:pPr>
      <w:r>
        <w:t xml:space="preserve">TA-03. Simulation fidelity</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009"/>
        <w:gridCol w:w="7782"/>
      </w:tblGrid>
      <w:tr>
        <w:trPr>
          <w:tblHeader w:val="on"/>
          <w:tblHeader w:val="true"/>
        </w:trPr>
        <w:tc>
          <w:tcPr>
            <w:tcW w:type="dxa" w:w="2009"/>
            <w:shd w:val="clear" w:color="auto" w:fill="1F1F1F"/>
          </w:tcPr>
          <w:p>
            <w:pPr>
              <w:pStyle w:val="Compact"/>
              <w:spacing w:after="20" w:before="20"/>
            </w:pPr>
            <w:r>
              <w:rPr>
                <w:b/>
                <w:color w:val="FFFFFF"/>
                <w:sz w:val="18"/>
              </w:rPr>
              <w:t xml:space="preserve">Aspect</w:t>
            </w:r>
          </w:p>
        </w:tc>
        <w:tc>
          <w:tcPr>
            <w:tcW w:type="dxa" w:w="7783"/>
            <w:shd w:val="clear" w:color="auto" w:fill="1F1F1F"/>
          </w:tcPr>
          <w:p>
            <w:pPr>
              <w:pStyle w:val="Compact"/>
              <w:spacing w:after="20" w:before="20"/>
            </w:pPr>
            <w:r>
              <w:rPr>
                <w:b/>
                <w:color w:val="FFFFFF"/>
                <w:sz w:val="18"/>
              </w:rPr>
              <w:t xml:space="preserve">Detail</w:t>
            </w:r>
          </w:p>
        </w:tc>
      </w:tr>
      <w:tr>
        <w:tc>
          <w:tcPr>
            <w:tcW w:type="dxa" w:w="2009"/>
            <w:shd w:val="clear" w:color="auto" w:fill="F2F2F2"/>
          </w:tcPr>
          <w:p>
            <w:pPr>
              <w:pStyle w:val="Compact"/>
              <w:spacing w:after="20" w:before="20"/>
            </w:pPr>
            <w:r>
              <w:rPr>
                <w:b/>
                <w:sz w:val="18"/>
              </w:rPr>
              <w:t xml:space="preserve">What we test</w:t>
            </w:r>
          </w:p>
        </w:tc>
        <w:tc>
          <w:tcPr>
            <w:tcW w:type="dxa" w:w="7783"/>
          </w:tcPr>
          <w:p>
            <w:pPr>
              <w:pStyle w:val="Compact"/>
              <w:spacing w:after="20" w:before="20"/>
            </w:pPr>
            <w:r>
              <w:rPr>
                <w:sz w:val="18"/>
              </w:rPr>
              <w:t xml:space="preserve">Environments built from traces with trace-based tool mocking; agreement between simulated and production outcomes</w:t>
            </w:r>
          </w:p>
        </w:tc>
      </w:tr>
      <w:tr>
        <w:tc>
          <w:tcPr>
            <w:tcW w:type="dxa" w:w="2009"/>
            <w:shd w:val="clear" w:color="auto" w:fill="F2F2F2"/>
          </w:tcPr>
          <w:p>
            <w:pPr>
              <w:pStyle w:val="Compact"/>
              <w:spacing w:after="20" w:before="20"/>
            </w:pPr>
            <w:r>
              <w:rPr>
                <w:b/>
                <w:sz w:val="18"/>
              </w:rPr>
              <w:t xml:space="preserve">Success criteria</w:t>
            </w:r>
          </w:p>
        </w:tc>
        <w:tc>
          <w:tcPr>
            <w:tcW w:type="dxa" w:w="7783"/>
            <w:shd w:val="clear" w:color="auto" w:fill="FAFAFA"/>
          </w:tcPr>
          <w:p>
            <w:pPr>
              <w:pStyle w:val="Compact"/>
              <w:spacing w:after="20" w:before="20"/>
            </w:pPr>
            <w:r>
              <w:rPr>
                <w:sz w:val="18"/>
              </w:rPr>
              <w:t xml:space="preserve">Replayed baseline task success within ±[5] pp of production on the held-out set; tool-mock coverage ≥ [90]% of tool calls; SME blind review rates ≥ [80]% of sampled simulated sessions as realistic</w:t>
            </w:r>
          </w:p>
        </w:tc>
      </w:tr>
      <w:tr>
        <w:tc>
          <w:tcPr>
            <w:tcW w:type="dxa" w:w="2009"/>
            <w:shd w:val="clear" w:color="auto" w:fill="F2F2F2"/>
          </w:tcPr>
          <w:p>
            <w:pPr>
              <w:pStyle w:val="Compact"/>
              <w:spacing w:after="20" w:before="20"/>
            </w:pPr>
            <w:r>
              <w:rPr>
                <w:b/>
                <w:sz w:val="18"/>
              </w:rPr>
              <w:t xml:space="preserve">Evidence</w:t>
            </w:r>
          </w:p>
        </w:tc>
        <w:tc>
          <w:tcPr>
            <w:tcW w:type="dxa" w:w="7783"/>
          </w:tcPr>
          <w:p>
            <w:pPr>
              <w:pStyle w:val="Compact"/>
              <w:spacing w:after="20" w:before="20"/>
            </w:pPr>
            <w:r>
              <w:rPr>
                <w:sz w:val="18"/>
              </w:rPr>
              <w:t xml:space="preserve">Sim-vs-real comparison report; mock coverage report; SME review sheet; list of unmockable tools and handling</w:t>
            </w:r>
          </w:p>
        </w:tc>
      </w:tr>
      <w:tr>
        <w:tc>
          <w:tcPr>
            <w:tcW w:type="dxa" w:w="2009"/>
            <w:shd w:val="clear" w:color="auto" w:fill="F2F2F2"/>
          </w:tcPr>
          <w:p>
            <w:pPr>
              <w:pStyle w:val="Compact"/>
              <w:spacing w:after="20" w:before="20"/>
            </w:pPr>
            <w:r>
              <w:rPr>
                <w:b/>
                <w:sz w:val="18"/>
              </w:rPr>
              <w:t xml:space="preserve">Owner</w:t>
            </w:r>
          </w:p>
        </w:tc>
        <w:tc>
          <w:tcPr>
            <w:tcW w:type="dxa" w:w="7783"/>
            <w:shd w:val="clear" w:color="auto" w:fill="FAFAFA"/>
          </w:tcPr>
          <w:p>
            <w:pPr>
              <w:pStyle w:val="Compact"/>
              <w:spacing w:after="20" w:before="20"/>
            </w:pPr>
            <w:r>
              <w:rPr>
                <w:sz w:val="18"/>
              </w:rPr>
              <w:t xml:space="preserve">[ML/eval lead] / [Lucidic]</w:t>
            </w:r>
          </w:p>
        </w:tc>
      </w:tr>
    </w:tbl>
    <w:bookmarkEnd w:id="39"/>
    <w:bookmarkStart w:id="40" w:name="ta-04.-replay-and-branching"/>
    <w:p>
      <w:pPr>
        <w:pStyle w:val="Heading3"/>
      </w:pPr>
      <w:r>
        <w:t xml:space="preserve">TA-04. Replay and branching</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273"/>
        <w:gridCol w:w="7518"/>
      </w:tblGrid>
      <w:tr>
        <w:trPr>
          <w:tblHeader w:val="on"/>
          <w:tblHeader w:val="true"/>
        </w:trPr>
        <w:tc>
          <w:tcPr>
            <w:tcW w:type="dxa" w:w="2274"/>
            <w:shd w:val="clear" w:color="auto" w:fill="1F1F1F"/>
          </w:tcPr>
          <w:p>
            <w:pPr>
              <w:pStyle w:val="Compact"/>
              <w:spacing w:after="20" w:before="20"/>
            </w:pPr>
            <w:r>
              <w:rPr>
                <w:b/>
                <w:color w:val="FFFFFF"/>
                <w:sz w:val="18"/>
              </w:rPr>
              <w:t xml:space="preserve">Aspect</w:t>
            </w:r>
          </w:p>
        </w:tc>
        <w:tc>
          <w:tcPr>
            <w:tcW w:type="dxa" w:w="7518"/>
            <w:shd w:val="clear" w:color="auto" w:fill="1F1F1F"/>
          </w:tcPr>
          <w:p>
            <w:pPr>
              <w:pStyle w:val="Compact"/>
              <w:spacing w:after="20" w:before="20"/>
            </w:pPr>
            <w:r>
              <w:rPr>
                <w:b/>
                <w:color w:val="FFFFFF"/>
                <w:sz w:val="18"/>
              </w:rPr>
              <w:t xml:space="preserve">Detail</w:t>
            </w:r>
          </w:p>
        </w:tc>
      </w:tr>
      <w:tr>
        <w:tc>
          <w:tcPr>
            <w:tcW w:type="dxa" w:w="2274"/>
            <w:shd w:val="clear" w:color="auto" w:fill="F2F2F2"/>
          </w:tcPr>
          <w:p>
            <w:pPr>
              <w:pStyle w:val="Compact"/>
              <w:spacing w:after="20" w:before="20"/>
            </w:pPr>
            <w:r>
              <w:rPr>
                <w:b/>
                <w:sz w:val="18"/>
              </w:rPr>
              <w:t xml:space="preserve">What we test</w:t>
            </w:r>
          </w:p>
        </w:tc>
        <w:tc>
          <w:tcPr>
            <w:tcW w:type="dxa" w:w="7518"/>
          </w:tcPr>
          <w:p>
            <w:pPr>
              <w:pStyle w:val="Compact"/>
              <w:spacing w:after="20" w:before="20"/>
            </w:pPr>
            <w:r>
              <w:rPr>
                <w:sz w:val="18"/>
              </w:rPr>
              <w:t xml:space="preserve">Replay any production session; branch from any step with a changed harness or model; determinism and repeatability</w:t>
            </w:r>
          </w:p>
        </w:tc>
      </w:tr>
      <w:tr>
        <w:tc>
          <w:tcPr>
            <w:tcW w:type="dxa" w:w="2274"/>
            <w:shd w:val="clear" w:color="auto" w:fill="F2F2F2"/>
          </w:tcPr>
          <w:p>
            <w:pPr>
              <w:pStyle w:val="Compact"/>
              <w:spacing w:after="20" w:before="20"/>
            </w:pPr>
            <w:r>
              <w:rPr>
                <w:b/>
                <w:sz w:val="18"/>
              </w:rPr>
              <w:t xml:space="preserve">Success criteria</w:t>
            </w:r>
          </w:p>
        </w:tc>
        <w:tc>
          <w:tcPr>
            <w:tcW w:type="dxa" w:w="7518"/>
            <w:shd w:val="clear" w:color="auto" w:fill="FAFAFA"/>
          </w:tcPr>
          <w:p>
            <w:pPr>
              <w:pStyle w:val="Compact"/>
              <w:spacing w:after="20" w:before="20"/>
            </w:pPr>
            <w:r>
              <w:rPr>
                <w:sz w:val="18"/>
              </w:rPr>
              <w:t xml:space="preserve">Branch from step N works for ≥ [95]% of sampled sessions; repeated runs give stable metrics (variance ≤ [X]); route pinned and recorded</w:t>
            </w:r>
          </w:p>
        </w:tc>
      </w:tr>
      <w:tr>
        <w:tc>
          <w:tcPr>
            <w:tcW w:type="dxa" w:w="2274"/>
            <w:shd w:val="clear" w:color="auto" w:fill="F2F2F2"/>
          </w:tcPr>
          <w:p>
            <w:pPr>
              <w:pStyle w:val="Compact"/>
              <w:spacing w:after="20" w:before="20"/>
            </w:pPr>
            <w:r>
              <w:rPr>
                <w:b/>
                <w:sz w:val="18"/>
              </w:rPr>
              <w:t xml:space="preserve">Evidence</w:t>
            </w:r>
          </w:p>
        </w:tc>
        <w:tc>
          <w:tcPr>
            <w:tcW w:type="dxa" w:w="7518"/>
          </w:tcPr>
          <w:p>
            <w:pPr>
              <w:pStyle w:val="Compact"/>
              <w:spacing w:after="20" w:before="20"/>
            </w:pPr>
            <w:r>
              <w:rPr>
                <w:sz w:val="18"/>
              </w:rPr>
              <w:t xml:space="preserve">Demonstration on [N] sessions chosen by Verizon; run logs; variance analysis</w:t>
            </w:r>
          </w:p>
        </w:tc>
      </w:tr>
      <w:tr>
        <w:tc>
          <w:tcPr>
            <w:tcW w:type="dxa" w:w="2274"/>
            <w:shd w:val="clear" w:color="auto" w:fill="F2F2F2"/>
          </w:tcPr>
          <w:p>
            <w:pPr>
              <w:pStyle w:val="Compact"/>
              <w:spacing w:after="20" w:before="20"/>
            </w:pPr>
            <w:r>
              <w:rPr>
                <w:b/>
                <w:sz w:val="18"/>
              </w:rPr>
              <w:t xml:space="preserve">Owner</w:t>
            </w:r>
          </w:p>
        </w:tc>
        <w:tc>
          <w:tcPr>
            <w:tcW w:type="dxa" w:w="7518"/>
            <w:shd w:val="clear" w:color="auto" w:fill="FAFAFA"/>
          </w:tcPr>
          <w:p>
            <w:pPr>
              <w:pStyle w:val="Compact"/>
              <w:spacing w:after="20" w:before="20"/>
            </w:pPr>
            <w:r>
              <w:rPr>
                <w:sz w:val="18"/>
              </w:rPr>
              <w:t xml:space="preserve">[ML/eval lead]</w:t>
            </w:r>
          </w:p>
        </w:tc>
      </w:tr>
    </w:tbl>
    <w:bookmarkEnd w:id="40"/>
    <w:bookmarkStart w:id="41" w:name="ta-05.-harness-optimisation-lift"/>
    <w:p>
      <w:pPr>
        <w:pStyle w:val="Heading3"/>
      </w:pPr>
      <w:r>
        <w:t xml:space="preserve">TA-05. Harness optimisation lift</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992"/>
        <w:gridCol w:w="7799"/>
      </w:tblGrid>
      <w:tr>
        <w:trPr>
          <w:tblHeader w:val="on"/>
          <w:tblHeader w:val="true"/>
        </w:trPr>
        <w:tc>
          <w:tcPr>
            <w:tcW w:type="dxa" w:w="1992"/>
            <w:shd w:val="clear" w:color="auto" w:fill="1F1F1F"/>
          </w:tcPr>
          <w:p>
            <w:pPr>
              <w:pStyle w:val="Compact"/>
              <w:spacing w:after="20" w:before="20"/>
            </w:pPr>
            <w:r>
              <w:rPr>
                <w:b/>
                <w:color w:val="FFFFFF"/>
                <w:sz w:val="18"/>
              </w:rPr>
              <w:t xml:space="preserve">Aspect</w:t>
            </w:r>
          </w:p>
        </w:tc>
        <w:tc>
          <w:tcPr>
            <w:tcW w:type="dxa" w:w="7800"/>
            <w:shd w:val="clear" w:color="auto" w:fill="1F1F1F"/>
          </w:tcPr>
          <w:p>
            <w:pPr>
              <w:pStyle w:val="Compact"/>
              <w:spacing w:after="20" w:before="20"/>
            </w:pPr>
            <w:r>
              <w:rPr>
                <w:b/>
                <w:color w:val="FFFFFF"/>
                <w:sz w:val="18"/>
              </w:rPr>
              <w:t xml:space="preserve">Detail</w:t>
            </w:r>
          </w:p>
        </w:tc>
      </w:tr>
      <w:tr>
        <w:tc>
          <w:tcPr>
            <w:tcW w:type="dxa" w:w="1992"/>
            <w:shd w:val="clear" w:color="auto" w:fill="F2F2F2"/>
          </w:tcPr>
          <w:p>
            <w:pPr>
              <w:pStyle w:val="Compact"/>
              <w:spacing w:after="20" w:before="20"/>
            </w:pPr>
            <w:r>
              <w:rPr>
                <w:b/>
                <w:sz w:val="18"/>
              </w:rPr>
              <w:t xml:space="preserve">What we test</w:t>
            </w:r>
          </w:p>
        </w:tc>
        <w:tc>
          <w:tcPr>
            <w:tcW w:type="dxa" w:w="7800"/>
          </w:tcPr>
          <w:p>
            <w:pPr>
              <w:pStyle w:val="Compact"/>
              <w:spacing w:after="20" w:before="20"/>
            </w:pPr>
            <w:r>
              <w:rPr>
                <w:sz w:val="18"/>
              </w:rPr>
              <w:t xml:space="preserve">Optimisation (for example EvoSim) over prompts, tool descriptions, context, policies and guardrails, holding the model fixed</w:t>
            </w:r>
          </w:p>
        </w:tc>
      </w:tr>
      <w:tr>
        <w:tc>
          <w:tcPr>
            <w:tcW w:type="dxa" w:w="1992"/>
            <w:shd w:val="clear" w:color="auto" w:fill="F2F2F2"/>
          </w:tcPr>
          <w:p>
            <w:pPr>
              <w:pStyle w:val="Compact"/>
              <w:spacing w:after="20" w:before="20"/>
            </w:pPr>
            <w:r>
              <w:rPr>
                <w:b/>
                <w:sz w:val="18"/>
              </w:rPr>
              <w:t xml:space="preserve">Success criteria</w:t>
            </w:r>
          </w:p>
        </w:tc>
        <w:tc>
          <w:tcPr>
            <w:tcW w:type="dxa" w:w="7800"/>
            <w:shd w:val="clear" w:color="auto" w:fill="FAFAFA"/>
          </w:tcPr>
          <w:p>
            <w:pPr>
              <w:pStyle w:val="Compact"/>
              <w:spacing w:after="20" w:before="20"/>
            </w:pPr>
            <w:r>
              <w:rPr>
                <w:sz w:val="18"/>
              </w:rPr>
              <w:t xml:space="preserve">≥ +[X] pp task success on held-out set vs baseline, with no regression &gt; [Y] pp on safety/policy evals; statistically significant at [95]% confidence; harness exported as readable config</w:t>
            </w:r>
          </w:p>
        </w:tc>
      </w:tr>
      <w:tr>
        <w:tc>
          <w:tcPr>
            <w:tcW w:type="dxa" w:w="1992"/>
            <w:shd w:val="clear" w:color="auto" w:fill="F2F2F2"/>
          </w:tcPr>
          <w:p>
            <w:pPr>
              <w:pStyle w:val="Compact"/>
              <w:spacing w:after="20" w:before="20"/>
            </w:pPr>
            <w:r>
              <w:rPr>
                <w:b/>
                <w:sz w:val="18"/>
              </w:rPr>
              <w:t xml:space="preserve">Evidence</w:t>
            </w:r>
          </w:p>
        </w:tc>
        <w:tc>
          <w:tcPr>
            <w:tcW w:type="dxa" w:w="7800"/>
          </w:tcPr>
          <w:p>
            <w:pPr>
              <w:pStyle w:val="Compact"/>
              <w:spacing w:after="20" w:before="20"/>
            </w:pPr>
            <w:r>
              <w:rPr>
                <w:sz w:val="18"/>
              </w:rPr>
              <w:t xml:space="preserve">Before/after eval report with confidence intervals; diff of the harness; list of tuned parameters and search budget</w:t>
            </w:r>
          </w:p>
        </w:tc>
      </w:tr>
      <w:tr>
        <w:tc>
          <w:tcPr>
            <w:tcW w:type="dxa" w:w="1992"/>
            <w:shd w:val="clear" w:color="auto" w:fill="F2F2F2"/>
          </w:tcPr>
          <w:p>
            <w:pPr>
              <w:pStyle w:val="Compact"/>
              <w:spacing w:after="20" w:before="20"/>
            </w:pPr>
            <w:r>
              <w:rPr>
                <w:b/>
                <w:sz w:val="18"/>
              </w:rPr>
              <w:t xml:space="preserve">Owner</w:t>
            </w:r>
          </w:p>
        </w:tc>
        <w:tc>
          <w:tcPr>
            <w:tcW w:type="dxa" w:w="7800"/>
            <w:shd w:val="clear" w:color="auto" w:fill="FAFAFA"/>
          </w:tcPr>
          <w:p>
            <w:pPr>
              <w:pStyle w:val="Compact"/>
              <w:spacing w:after="20" w:before="20"/>
            </w:pPr>
            <w:r>
              <w:rPr>
                <w:sz w:val="18"/>
              </w:rPr>
              <w:t xml:space="preserve">[ML/eval lead] / [Lucidic]</w:t>
            </w:r>
          </w:p>
        </w:tc>
      </w:tr>
    </w:tbl>
    <w:bookmarkEnd w:id="41"/>
    <w:bookmarkStart w:id="42" w:name="ta-06.-memory"/>
    <w:p>
      <w:pPr>
        <w:pStyle w:val="Heading3"/>
      </w:pPr>
      <w:r>
        <w:t xml:space="preserve">TA-06. Memory</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127"/>
        <w:gridCol w:w="7664"/>
      </w:tblGrid>
      <w:tr>
        <w:trPr>
          <w:tblHeader w:val="on"/>
          <w:tblHeader w:val="true"/>
        </w:trPr>
        <w:tc>
          <w:tcPr>
            <w:tcW w:type="dxa" w:w="2127"/>
            <w:shd w:val="clear" w:color="auto" w:fill="1F1F1F"/>
          </w:tcPr>
          <w:p>
            <w:pPr>
              <w:pStyle w:val="Compact"/>
              <w:spacing w:after="20" w:before="20"/>
            </w:pPr>
            <w:r>
              <w:rPr>
                <w:b/>
                <w:color w:val="FFFFFF"/>
                <w:sz w:val="18"/>
              </w:rPr>
              <w:t xml:space="preserve">Aspect</w:t>
            </w:r>
          </w:p>
        </w:tc>
        <w:tc>
          <w:tcPr>
            <w:tcW w:type="dxa" w:w="7665"/>
            <w:shd w:val="clear" w:color="auto" w:fill="1F1F1F"/>
          </w:tcPr>
          <w:p>
            <w:pPr>
              <w:pStyle w:val="Compact"/>
              <w:spacing w:after="20" w:before="20"/>
            </w:pPr>
            <w:r>
              <w:rPr>
                <w:b/>
                <w:color w:val="FFFFFF"/>
                <w:sz w:val="18"/>
              </w:rPr>
              <w:t xml:space="preserve">Detail</w:t>
            </w:r>
          </w:p>
        </w:tc>
      </w:tr>
      <w:tr>
        <w:tc>
          <w:tcPr>
            <w:tcW w:type="dxa" w:w="2127"/>
            <w:shd w:val="clear" w:color="auto" w:fill="F2F2F2"/>
          </w:tcPr>
          <w:p>
            <w:pPr>
              <w:pStyle w:val="Compact"/>
              <w:spacing w:after="20" w:before="20"/>
            </w:pPr>
            <w:r>
              <w:rPr>
                <w:b/>
                <w:sz w:val="18"/>
              </w:rPr>
              <w:t xml:space="preserve">What we test</w:t>
            </w:r>
          </w:p>
        </w:tc>
        <w:tc>
          <w:tcPr>
            <w:tcW w:type="dxa" w:w="7665"/>
          </w:tcPr>
          <w:p>
            <w:pPr>
              <w:pStyle w:val="Compact"/>
              <w:spacing w:after="20" w:before="20"/>
            </w:pPr>
            <w:r>
              <w:rPr>
                <w:sz w:val="18"/>
              </w:rPr>
              <w:t xml:space="preserve">How memory is learned from traces, stored, retrieved and served; incremental lift over the optimised harness</w:t>
            </w:r>
          </w:p>
        </w:tc>
      </w:tr>
      <w:tr>
        <w:tc>
          <w:tcPr>
            <w:tcW w:type="dxa" w:w="2127"/>
            <w:shd w:val="clear" w:color="auto" w:fill="F2F2F2"/>
          </w:tcPr>
          <w:p>
            <w:pPr>
              <w:pStyle w:val="Compact"/>
              <w:spacing w:after="20" w:before="20"/>
            </w:pPr>
            <w:r>
              <w:rPr>
                <w:b/>
                <w:sz w:val="18"/>
              </w:rPr>
              <w:t xml:space="preserve">Success criteria</w:t>
            </w:r>
          </w:p>
        </w:tc>
        <w:tc>
          <w:tcPr>
            <w:tcW w:type="dxa" w:w="7665"/>
            <w:shd w:val="clear" w:color="auto" w:fill="FAFAFA"/>
          </w:tcPr>
          <w:p>
            <w:pPr>
              <w:pStyle w:val="Compact"/>
              <w:spacing w:after="20" w:before="20"/>
            </w:pPr>
            <w:r>
              <w:rPr>
                <w:sz w:val="18"/>
              </w:rPr>
              <w:t xml:space="preserve">Additional ≥ +[X] pp over TA-05; memory contents inspectable and deletable; no PII persisted in memory; runs inside the Verizon boundary at inference (production requirement)</w:t>
            </w:r>
          </w:p>
        </w:tc>
      </w:tr>
      <w:tr>
        <w:tc>
          <w:tcPr>
            <w:tcW w:type="dxa" w:w="2127"/>
            <w:shd w:val="clear" w:color="auto" w:fill="F2F2F2"/>
          </w:tcPr>
          <w:p>
            <w:pPr>
              <w:pStyle w:val="Compact"/>
              <w:spacing w:after="20" w:before="20"/>
            </w:pPr>
            <w:r>
              <w:rPr>
                <w:b/>
                <w:sz w:val="18"/>
              </w:rPr>
              <w:t xml:space="preserve">Evidence</w:t>
            </w:r>
          </w:p>
        </w:tc>
        <w:tc>
          <w:tcPr>
            <w:tcW w:type="dxa" w:w="7665"/>
          </w:tcPr>
          <w:p>
            <w:pPr>
              <w:pStyle w:val="Compact"/>
              <w:spacing w:after="20" w:before="20"/>
            </w:pPr>
            <w:r>
              <w:rPr>
                <w:sz w:val="18"/>
              </w:rPr>
              <w:t xml:space="preserve">Ablation (harness only vs harness + memory); memory content export; PII scan; deployment diagram</w:t>
            </w:r>
          </w:p>
        </w:tc>
      </w:tr>
      <w:tr>
        <w:tc>
          <w:tcPr>
            <w:tcW w:type="dxa" w:w="2127"/>
            <w:shd w:val="clear" w:color="auto" w:fill="F2F2F2"/>
          </w:tcPr>
          <w:p>
            <w:pPr>
              <w:pStyle w:val="Compact"/>
              <w:spacing w:after="20" w:before="20"/>
            </w:pPr>
            <w:r>
              <w:rPr>
                <w:b/>
                <w:sz w:val="18"/>
              </w:rPr>
              <w:t xml:space="preserve">Owner</w:t>
            </w:r>
          </w:p>
        </w:tc>
        <w:tc>
          <w:tcPr>
            <w:tcW w:type="dxa" w:w="7665"/>
            <w:shd w:val="clear" w:color="auto" w:fill="FAFAFA"/>
          </w:tcPr>
          <w:p>
            <w:pPr>
              <w:pStyle w:val="Compact"/>
              <w:spacing w:after="20" w:before="20"/>
            </w:pPr>
            <w:r>
              <w:rPr>
                <w:sz w:val="18"/>
              </w:rPr>
              <w:t xml:space="preserve">[ML/eval lead]</w:t>
            </w:r>
          </w:p>
        </w:tc>
      </w:tr>
    </w:tbl>
    <w:bookmarkEnd w:id="42"/>
    <w:bookmarkStart w:id="43" w:name="ta-07.-fine-tuning-to-a-custom-model"/>
    <w:p>
      <w:pPr>
        <w:pStyle w:val="Heading3"/>
      </w:pPr>
      <w:r>
        <w:t xml:space="preserve">TA-07. Fine-tuning to a custom model</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095"/>
        <w:gridCol w:w="7696"/>
      </w:tblGrid>
      <w:tr>
        <w:trPr>
          <w:tblHeader w:val="on"/>
          <w:tblHeader w:val="true"/>
        </w:trPr>
        <w:tc>
          <w:tcPr>
            <w:tcW w:type="dxa" w:w="2095"/>
            <w:shd w:val="clear" w:color="auto" w:fill="1F1F1F"/>
          </w:tcPr>
          <w:p>
            <w:pPr>
              <w:pStyle w:val="Compact"/>
              <w:spacing w:after="20" w:before="20"/>
            </w:pPr>
            <w:r>
              <w:rPr>
                <w:b/>
                <w:color w:val="FFFFFF"/>
                <w:sz w:val="18"/>
              </w:rPr>
              <w:t xml:space="preserve">Aspect</w:t>
            </w:r>
          </w:p>
        </w:tc>
        <w:tc>
          <w:tcPr>
            <w:tcW w:type="dxa" w:w="7697"/>
            <w:shd w:val="clear" w:color="auto" w:fill="1F1F1F"/>
          </w:tcPr>
          <w:p>
            <w:pPr>
              <w:pStyle w:val="Compact"/>
              <w:spacing w:after="20" w:before="20"/>
            </w:pPr>
            <w:r>
              <w:rPr>
                <w:b/>
                <w:color w:val="FFFFFF"/>
                <w:sz w:val="18"/>
              </w:rPr>
              <w:t xml:space="preserve">Detail</w:t>
            </w:r>
          </w:p>
        </w:tc>
      </w:tr>
      <w:tr>
        <w:tc>
          <w:tcPr>
            <w:tcW w:type="dxa" w:w="2095"/>
            <w:shd w:val="clear" w:color="auto" w:fill="F2F2F2"/>
          </w:tcPr>
          <w:p>
            <w:pPr>
              <w:pStyle w:val="Compact"/>
              <w:spacing w:after="20" w:before="20"/>
            </w:pPr>
            <w:r>
              <w:rPr>
                <w:b/>
                <w:sz w:val="18"/>
              </w:rPr>
              <w:t xml:space="preserve">What we test</w:t>
            </w:r>
          </w:p>
        </w:tc>
        <w:tc>
          <w:tcPr>
            <w:tcW w:type="dxa" w:w="7697"/>
          </w:tcPr>
          <w:p>
            <w:pPr>
              <w:pStyle w:val="Compact"/>
              <w:spacing w:after="20" w:before="20"/>
            </w:pPr>
            <w:r>
              <w:rPr>
                <w:sz w:val="18"/>
              </w:rPr>
              <w:t xml:space="preserve">SFT/RL of a custom model from Verizon traces, co-trained with the harness; base-model choice and licence</w:t>
            </w:r>
          </w:p>
        </w:tc>
      </w:tr>
      <w:tr>
        <w:tc>
          <w:tcPr>
            <w:tcW w:type="dxa" w:w="2095"/>
            <w:shd w:val="clear" w:color="auto" w:fill="F2F2F2"/>
          </w:tcPr>
          <w:p>
            <w:pPr>
              <w:pStyle w:val="Compact"/>
              <w:spacing w:after="20" w:before="20"/>
            </w:pPr>
            <w:r>
              <w:rPr>
                <w:b/>
                <w:sz w:val="18"/>
              </w:rPr>
              <w:t xml:space="preserve">Success criteria</w:t>
            </w:r>
          </w:p>
        </w:tc>
        <w:tc>
          <w:tcPr>
            <w:tcW w:type="dxa" w:w="7697"/>
            <w:shd w:val="clear" w:color="auto" w:fill="FAFAFA"/>
          </w:tcPr>
          <w:p>
            <w:pPr>
              <w:pStyle w:val="Compact"/>
              <w:spacing w:after="20" w:before="20"/>
            </w:pPr>
            <w:r>
              <w:rPr>
                <w:sz w:val="18"/>
              </w:rPr>
              <w:t xml:space="preserve">Quality ≥ current production model on held-out set (within [X] pp or better); cost per task ≤ [Y]% of baseline; base-model licence approved by Legal; training location approved</w:t>
            </w:r>
          </w:p>
        </w:tc>
      </w:tr>
      <w:tr>
        <w:tc>
          <w:tcPr>
            <w:tcW w:type="dxa" w:w="2095"/>
            <w:shd w:val="clear" w:color="auto" w:fill="F2F2F2"/>
          </w:tcPr>
          <w:p>
            <w:pPr>
              <w:pStyle w:val="Compact"/>
              <w:spacing w:after="20" w:before="20"/>
            </w:pPr>
            <w:r>
              <w:rPr>
                <w:b/>
                <w:sz w:val="18"/>
              </w:rPr>
              <w:t xml:space="preserve">Evidence</w:t>
            </w:r>
          </w:p>
        </w:tc>
        <w:tc>
          <w:tcPr>
            <w:tcW w:type="dxa" w:w="7697"/>
          </w:tcPr>
          <w:p>
            <w:pPr>
              <w:pStyle w:val="Compact"/>
              <w:spacing w:after="20" w:before="20"/>
            </w:pPr>
            <w:r>
              <w:rPr>
                <w:sz w:val="18"/>
              </w:rPr>
              <w:t xml:space="preserve">Training report (base model, data, method, compute location); eval report; model card; licence review</w:t>
            </w:r>
          </w:p>
        </w:tc>
      </w:tr>
      <w:tr>
        <w:tc>
          <w:tcPr>
            <w:tcW w:type="dxa" w:w="2095"/>
            <w:shd w:val="clear" w:color="auto" w:fill="F2F2F2"/>
          </w:tcPr>
          <w:p>
            <w:pPr>
              <w:pStyle w:val="Compact"/>
              <w:spacing w:after="20" w:before="20"/>
            </w:pPr>
            <w:r>
              <w:rPr>
                <w:b/>
                <w:sz w:val="18"/>
              </w:rPr>
              <w:t xml:space="preserve">Owner</w:t>
            </w:r>
          </w:p>
        </w:tc>
        <w:tc>
          <w:tcPr>
            <w:tcW w:type="dxa" w:w="7697"/>
            <w:shd w:val="clear" w:color="auto" w:fill="FAFAFA"/>
          </w:tcPr>
          <w:p>
            <w:pPr>
              <w:pStyle w:val="Compact"/>
              <w:spacing w:after="20" w:before="20"/>
            </w:pPr>
            <w:r>
              <w:rPr>
                <w:sz w:val="18"/>
              </w:rPr>
              <w:t xml:space="preserve">[ML/eval lead] / [Legal]</w:t>
            </w:r>
          </w:p>
        </w:tc>
      </w:tr>
    </w:tbl>
    <w:bookmarkEnd w:id="43"/>
    <w:bookmarkStart w:id="44" w:name="Xd4f1ddaa4e49c4fb7c41c1b4737e97603737800"/>
    <w:p>
      <w:pPr>
        <w:pStyle w:val="Heading3"/>
      </w:pPr>
      <w:r>
        <w:t xml:space="preserve">TA-08. Weight and harness export; serving behind Kairos</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908"/>
        <w:gridCol w:w="7883"/>
      </w:tblGrid>
      <w:tr>
        <w:trPr>
          <w:tblHeader w:val="on"/>
          <w:tblHeader w:val="true"/>
        </w:trPr>
        <w:tc>
          <w:tcPr>
            <w:tcW w:type="dxa" w:w="1908"/>
            <w:shd w:val="clear" w:color="auto" w:fill="1F1F1F"/>
          </w:tcPr>
          <w:p>
            <w:pPr>
              <w:pStyle w:val="Compact"/>
              <w:spacing w:after="20" w:before="20"/>
            </w:pPr>
            <w:r>
              <w:rPr>
                <w:b/>
                <w:color w:val="FFFFFF"/>
                <w:sz w:val="18"/>
              </w:rPr>
              <w:t xml:space="preserve">Aspect</w:t>
            </w:r>
          </w:p>
        </w:tc>
        <w:tc>
          <w:tcPr>
            <w:tcW w:type="dxa" w:w="7884"/>
            <w:shd w:val="clear" w:color="auto" w:fill="1F1F1F"/>
          </w:tcPr>
          <w:p>
            <w:pPr>
              <w:pStyle w:val="Compact"/>
              <w:spacing w:after="20" w:before="20"/>
            </w:pPr>
            <w:r>
              <w:rPr>
                <w:b/>
                <w:color w:val="FFFFFF"/>
                <w:sz w:val="18"/>
              </w:rPr>
              <w:t xml:space="preserve">Detail</w:t>
            </w:r>
          </w:p>
        </w:tc>
      </w:tr>
      <w:tr>
        <w:tc>
          <w:tcPr>
            <w:tcW w:type="dxa" w:w="1908"/>
            <w:shd w:val="clear" w:color="auto" w:fill="F2F2F2"/>
          </w:tcPr>
          <w:p>
            <w:pPr>
              <w:pStyle w:val="Compact"/>
              <w:spacing w:after="20" w:before="20"/>
            </w:pPr>
            <w:r>
              <w:rPr>
                <w:b/>
                <w:sz w:val="18"/>
              </w:rPr>
              <w:t xml:space="preserve">What we test</w:t>
            </w:r>
          </w:p>
        </w:tc>
        <w:tc>
          <w:tcPr>
            <w:tcW w:type="dxa" w:w="7884"/>
          </w:tcPr>
          <w:p>
            <w:pPr>
              <w:pStyle w:val="Compact"/>
              <w:spacing w:after="20" w:before="20"/>
            </w:pPr>
            <w:r>
              <w:rPr>
                <w:sz w:val="18"/>
              </w:rPr>
              <w:t xml:space="preserve">Export of weights and harness in open formats; serving on Verizon infrastructure as a Kairos LiteLLM route; no Lucidic runtime calls</w:t>
            </w:r>
          </w:p>
        </w:tc>
      </w:tr>
      <w:tr>
        <w:tc>
          <w:tcPr>
            <w:tcW w:type="dxa" w:w="1908"/>
            <w:shd w:val="clear" w:color="auto" w:fill="F2F2F2"/>
          </w:tcPr>
          <w:p>
            <w:pPr>
              <w:pStyle w:val="Compact"/>
              <w:spacing w:after="20" w:before="20"/>
            </w:pPr>
            <w:r>
              <w:rPr>
                <w:b/>
                <w:sz w:val="18"/>
              </w:rPr>
              <w:t xml:space="preserve">Success criteria</w:t>
            </w:r>
          </w:p>
        </w:tc>
        <w:tc>
          <w:tcPr>
            <w:tcW w:type="dxa" w:w="7884"/>
            <w:shd w:val="clear" w:color="auto" w:fill="FAFAFA"/>
          </w:tcPr>
          <w:p>
            <w:pPr>
              <w:pStyle w:val="Compact"/>
              <w:spacing w:after="20" w:before="20"/>
            </w:pPr>
            <w:r>
              <w:rPr>
                <w:sz w:val="18"/>
              </w:rPr>
              <w:t xml:space="preserve">Weights load in a standard runtime (for example vLLM); exported model reproduces the vendor-reported eval within ±[2] pp; 0 calls to Lucidic hosts during inference (egress logs); route supports shadow and rollback</w:t>
            </w:r>
          </w:p>
        </w:tc>
      </w:tr>
      <w:tr>
        <w:tc>
          <w:tcPr>
            <w:tcW w:type="dxa" w:w="1908"/>
            <w:shd w:val="clear" w:color="auto" w:fill="F2F2F2"/>
          </w:tcPr>
          <w:p>
            <w:pPr>
              <w:pStyle w:val="Compact"/>
              <w:spacing w:after="20" w:before="20"/>
            </w:pPr>
            <w:r>
              <w:rPr>
                <w:b/>
                <w:sz w:val="18"/>
              </w:rPr>
              <w:t xml:space="preserve">Evidence</w:t>
            </w:r>
          </w:p>
        </w:tc>
        <w:tc>
          <w:tcPr>
            <w:tcW w:type="dxa" w:w="7884"/>
          </w:tcPr>
          <w:p>
            <w:pPr>
              <w:pStyle w:val="Compact"/>
              <w:spacing w:after="20" w:before="20"/>
            </w:pPr>
            <w:r>
              <w:rPr>
                <w:sz w:val="18"/>
              </w:rPr>
              <w:t xml:space="preserve">Export package manifest and checksums; serving config; reproduced eval; egress log extract; shadow-traffic report</w:t>
            </w:r>
          </w:p>
        </w:tc>
      </w:tr>
      <w:tr>
        <w:tc>
          <w:tcPr>
            <w:tcW w:type="dxa" w:w="1908"/>
            <w:shd w:val="clear" w:color="auto" w:fill="F2F2F2"/>
          </w:tcPr>
          <w:p>
            <w:pPr>
              <w:pStyle w:val="Compact"/>
              <w:spacing w:after="20" w:before="20"/>
            </w:pPr>
            <w:r>
              <w:rPr>
                <w:b/>
                <w:sz w:val="18"/>
              </w:rPr>
              <w:t xml:space="preserve">Owner</w:t>
            </w:r>
          </w:p>
        </w:tc>
        <w:tc>
          <w:tcPr>
            <w:tcW w:type="dxa" w:w="7884"/>
            <w:shd w:val="clear" w:color="auto" w:fill="FAFAFA"/>
          </w:tcPr>
          <w:p>
            <w:pPr>
              <w:pStyle w:val="Compact"/>
              <w:spacing w:after="20" w:before="20"/>
            </w:pPr>
            <w:r>
              <w:rPr>
                <w:sz w:val="18"/>
              </w:rPr>
              <w:t xml:space="preserve">[Kairos owner] / [ML platform owner]</w:t>
            </w:r>
          </w:p>
        </w:tc>
      </w:tr>
    </w:tbl>
    <w:bookmarkEnd w:id="44"/>
    <w:bookmarkStart w:id="45" w:name="ta-09.-latency-and-cost"/>
    <w:p>
      <w:pPr>
        <w:pStyle w:val="Heading3"/>
      </w:pPr>
      <w:r>
        <w:t xml:space="preserve">TA-09. Latency and cost</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295"/>
        <w:gridCol w:w="7496"/>
      </w:tblGrid>
      <w:tr>
        <w:trPr>
          <w:tblHeader w:val="on"/>
          <w:tblHeader w:val="true"/>
        </w:trPr>
        <w:tc>
          <w:tcPr>
            <w:tcW w:type="dxa" w:w="2295"/>
            <w:shd w:val="clear" w:color="auto" w:fill="1F1F1F"/>
          </w:tcPr>
          <w:p>
            <w:pPr>
              <w:pStyle w:val="Compact"/>
              <w:spacing w:after="20" w:before="20"/>
            </w:pPr>
            <w:r>
              <w:rPr>
                <w:b/>
                <w:color w:val="FFFFFF"/>
                <w:sz w:val="18"/>
              </w:rPr>
              <w:t xml:space="preserve">Aspect</w:t>
            </w:r>
          </w:p>
        </w:tc>
        <w:tc>
          <w:tcPr>
            <w:tcW w:type="dxa" w:w="7497"/>
            <w:shd w:val="clear" w:color="auto" w:fill="1F1F1F"/>
          </w:tcPr>
          <w:p>
            <w:pPr>
              <w:pStyle w:val="Compact"/>
              <w:spacing w:after="20" w:before="20"/>
            </w:pPr>
            <w:r>
              <w:rPr>
                <w:b/>
                <w:color w:val="FFFFFF"/>
                <w:sz w:val="18"/>
              </w:rPr>
              <w:t xml:space="preserve">Detail</w:t>
            </w:r>
          </w:p>
        </w:tc>
      </w:tr>
      <w:tr>
        <w:tc>
          <w:tcPr>
            <w:tcW w:type="dxa" w:w="2295"/>
            <w:shd w:val="clear" w:color="auto" w:fill="F2F2F2"/>
          </w:tcPr>
          <w:p>
            <w:pPr>
              <w:pStyle w:val="Compact"/>
              <w:spacing w:after="20" w:before="20"/>
            </w:pPr>
            <w:r>
              <w:rPr>
                <w:b/>
                <w:sz w:val="18"/>
              </w:rPr>
              <w:t xml:space="preserve">What we test</w:t>
            </w:r>
          </w:p>
        </w:tc>
        <w:tc>
          <w:tcPr>
            <w:tcW w:type="dxa" w:w="7497"/>
          </w:tcPr>
          <w:p>
            <w:pPr>
              <w:pStyle w:val="Compact"/>
              <w:spacing w:after="20" w:before="20"/>
            </w:pPr>
            <w:r>
              <w:rPr>
                <w:sz w:val="18"/>
              </w:rPr>
              <w:t xml:space="preserve">End-to-end latency and unit cost of the custom model and optimised harness vs baseline, measured by Kairos</w:t>
            </w:r>
          </w:p>
        </w:tc>
      </w:tr>
      <w:tr>
        <w:tc>
          <w:tcPr>
            <w:tcW w:type="dxa" w:w="2295"/>
            <w:shd w:val="clear" w:color="auto" w:fill="F2F2F2"/>
          </w:tcPr>
          <w:p>
            <w:pPr>
              <w:pStyle w:val="Compact"/>
              <w:spacing w:after="20" w:before="20"/>
            </w:pPr>
            <w:r>
              <w:rPr>
                <w:b/>
                <w:sz w:val="18"/>
              </w:rPr>
              <w:t xml:space="preserve">Success criteria</w:t>
            </w:r>
          </w:p>
        </w:tc>
        <w:tc>
          <w:tcPr>
            <w:tcW w:type="dxa" w:w="7497"/>
            <w:shd w:val="clear" w:color="auto" w:fill="FAFAFA"/>
          </w:tcPr>
          <w:p>
            <w:pPr>
              <w:pStyle w:val="Compact"/>
              <w:spacing w:after="20" w:before="20"/>
            </w:pPr>
            <w:r>
              <w:rPr>
                <w:sz w:val="18"/>
              </w:rPr>
              <w:t xml:space="preserve">p50/p95 latency ≤ [targets]; cost per resolved task ≤ [Y]% of baseline; total cost of ownership (serving + licence + training refresh) within [budget]</w:t>
            </w:r>
          </w:p>
        </w:tc>
      </w:tr>
      <w:tr>
        <w:tc>
          <w:tcPr>
            <w:tcW w:type="dxa" w:w="2295"/>
            <w:shd w:val="clear" w:color="auto" w:fill="F2F2F2"/>
          </w:tcPr>
          <w:p>
            <w:pPr>
              <w:pStyle w:val="Compact"/>
              <w:spacing w:after="20" w:before="20"/>
            </w:pPr>
            <w:r>
              <w:rPr>
                <w:b/>
                <w:sz w:val="18"/>
              </w:rPr>
              <w:t xml:space="preserve">Evidence</w:t>
            </w:r>
          </w:p>
        </w:tc>
        <w:tc>
          <w:tcPr>
            <w:tcW w:type="dxa" w:w="7497"/>
          </w:tcPr>
          <w:p>
            <w:pPr>
              <w:pStyle w:val="Compact"/>
              <w:spacing w:after="20" w:before="20"/>
            </w:pPr>
            <w:r>
              <w:rPr>
                <w:sz w:val="18"/>
              </w:rPr>
              <w:t xml:space="preserve">Kairos latency and cost reports; TCO model</w:t>
            </w:r>
          </w:p>
        </w:tc>
      </w:tr>
      <w:tr>
        <w:tc>
          <w:tcPr>
            <w:tcW w:type="dxa" w:w="2295"/>
            <w:shd w:val="clear" w:color="auto" w:fill="F2F2F2"/>
          </w:tcPr>
          <w:p>
            <w:pPr>
              <w:pStyle w:val="Compact"/>
              <w:spacing w:after="20" w:before="20"/>
            </w:pPr>
            <w:r>
              <w:rPr>
                <w:b/>
                <w:sz w:val="18"/>
              </w:rPr>
              <w:t xml:space="preserve">Owner</w:t>
            </w:r>
          </w:p>
        </w:tc>
        <w:tc>
          <w:tcPr>
            <w:tcW w:type="dxa" w:w="7497"/>
            <w:shd w:val="clear" w:color="auto" w:fill="FAFAFA"/>
          </w:tcPr>
          <w:p>
            <w:pPr>
              <w:pStyle w:val="Compact"/>
              <w:spacing w:after="20" w:before="20"/>
            </w:pPr>
            <w:r>
              <w:rPr>
                <w:sz w:val="18"/>
              </w:rPr>
              <w:t xml:space="preserve">[Kairos owner] / [Finance partner]</w:t>
            </w:r>
          </w:p>
        </w:tc>
      </w:tr>
    </w:tbl>
    <w:bookmarkEnd w:id="45"/>
    <w:bookmarkStart w:id="46" w:name="ta-10.-security-and-compliance"/>
    <w:p>
      <w:pPr>
        <w:pStyle w:val="Heading3"/>
      </w:pPr>
      <w:r>
        <w:t xml:space="preserve">TA-10. Security and compliance</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152"/>
        <w:gridCol w:w="7639"/>
      </w:tblGrid>
      <w:tr>
        <w:trPr>
          <w:tblHeader w:val="on"/>
          <w:tblHeader w:val="true"/>
        </w:trPr>
        <w:tc>
          <w:tcPr>
            <w:tcW w:type="dxa" w:w="2153"/>
            <w:shd w:val="clear" w:color="auto" w:fill="1F1F1F"/>
          </w:tcPr>
          <w:p>
            <w:pPr>
              <w:pStyle w:val="Compact"/>
              <w:spacing w:after="20" w:before="20"/>
            </w:pPr>
            <w:r>
              <w:rPr>
                <w:b/>
                <w:color w:val="FFFFFF"/>
                <w:sz w:val="18"/>
              </w:rPr>
              <w:t xml:space="preserve">Aspect</w:t>
            </w:r>
          </w:p>
        </w:tc>
        <w:tc>
          <w:tcPr>
            <w:tcW w:type="dxa" w:w="7639"/>
            <w:shd w:val="clear" w:color="auto" w:fill="1F1F1F"/>
          </w:tcPr>
          <w:p>
            <w:pPr>
              <w:pStyle w:val="Compact"/>
              <w:spacing w:after="20" w:before="20"/>
            </w:pPr>
            <w:r>
              <w:rPr>
                <w:b/>
                <w:color w:val="FFFFFF"/>
                <w:sz w:val="18"/>
              </w:rPr>
              <w:t xml:space="preserve">Detail</w:t>
            </w:r>
          </w:p>
        </w:tc>
      </w:tr>
      <w:tr>
        <w:tc>
          <w:tcPr>
            <w:tcW w:type="dxa" w:w="2153"/>
            <w:shd w:val="clear" w:color="auto" w:fill="F2F2F2"/>
          </w:tcPr>
          <w:p>
            <w:pPr>
              <w:pStyle w:val="Compact"/>
              <w:spacing w:after="20" w:before="20"/>
            </w:pPr>
            <w:r>
              <w:rPr>
                <w:b/>
                <w:sz w:val="18"/>
              </w:rPr>
              <w:t xml:space="preserve">What we test</w:t>
            </w:r>
          </w:p>
        </w:tc>
        <w:tc>
          <w:tcPr>
            <w:tcW w:type="dxa" w:w="7639"/>
          </w:tcPr>
          <w:p>
            <w:pPr>
              <w:pStyle w:val="Compact"/>
              <w:spacing w:after="20" w:before="20"/>
            </w:pPr>
            <w:r>
              <w:rPr>
                <w:sz w:val="18"/>
              </w:rPr>
              <w:t xml:space="preserve">Governance controls in Section 3.4 for the POC tier; redaction effectiveness; access control; auditability</w:t>
            </w:r>
          </w:p>
        </w:tc>
      </w:tr>
      <w:tr>
        <w:tc>
          <w:tcPr>
            <w:tcW w:type="dxa" w:w="2153"/>
            <w:shd w:val="clear" w:color="auto" w:fill="F2F2F2"/>
          </w:tcPr>
          <w:p>
            <w:pPr>
              <w:pStyle w:val="Compact"/>
              <w:spacing w:after="20" w:before="20"/>
            </w:pPr>
            <w:r>
              <w:rPr>
                <w:b/>
                <w:sz w:val="18"/>
              </w:rPr>
              <w:t xml:space="preserve">Success criteria</w:t>
            </w:r>
          </w:p>
        </w:tc>
        <w:tc>
          <w:tcPr>
            <w:tcW w:type="dxa" w:w="7639"/>
            <w:shd w:val="clear" w:color="auto" w:fill="FAFAFA"/>
          </w:tcPr>
          <w:p>
            <w:pPr>
              <w:pStyle w:val="Compact"/>
              <w:spacing w:after="20" w:before="20"/>
            </w:pPr>
            <w:r>
              <w:rPr>
                <w:sz w:val="18"/>
              </w:rPr>
              <w:t xml:space="preserve">TPRM approved for POC tier; redaction recall ≥ [99.x]% on a labelled test set; SSO and RBAC in place; audit logs exported; deletion certificate at exit</w:t>
            </w:r>
          </w:p>
        </w:tc>
      </w:tr>
      <w:tr>
        <w:tc>
          <w:tcPr>
            <w:tcW w:type="dxa" w:w="2153"/>
            <w:shd w:val="clear" w:color="auto" w:fill="F2F2F2"/>
          </w:tcPr>
          <w:p>
            <w:pPr>
              <w:pStyle w:val="Compact"/>
              <w:spacing w:after="20" w:before="20"/>
            </w:pPr>
            <w:r>
              <w:rPr>
                <w:b/>
                <w:sz w:val="18"/>
              </w:rPr>
              <w:t xml:space="preserve">Evidence</w:t>
            </w:r>
          </w:p>
        </w:tc>
        <w:tc>
          <w:tcPr>
            <w:tcW w:type="dxa" w:w="7639"/>
          </w:tcPr>
          <w:p>
            <w:pPr>
              <w:pStyle w:val="Compact"/>
              <w:spacing w:after="20" w:before="20"/>
            </w:pPr>
            <w:r>
              <w:rPr>
                <w:sz w:val="18"/>
              </w:rPr>
              <w:t xml:space="preserve">TPRM decision; redaction test report; access review; audit log sample; deletion certificate</w:t>
            </w:r>
          </w:p>
        </w:tc>
      </w:tr>
      <w:tr>
        <w:tc>
          <w:tcPr>
            <w:tcW w:type="dxa" w:w="2153"/>
            <w:shd w:val="clear" w:color="auto" w:fill="F2F2F2"/>
          </w:tcPr>
          <w:p>
            <w:pPr>
              <w:pStyle w:val="Compact"/>
              <w:spacing w:after="20" w:before="20"/>
            </w:pPr>
            <w:r>
              <w:rPr>
                <w:b/>
                <w:sz w:val="18"/>
              </w:rPr>
              <w:t xml:space="preserve">Owner</w:t>
            </w:r>
          </w:p>
        </w:tc>
        <w:tc>
          <w:tcPr>
            <w:tcW w:type="dxa" w:w="7639"/>
            <w:shd w:val="clear" w:color="auto" w:fill="FAFAFA"/>
          </w:tcPr>
          <w:p>
            <w:pPr>
              <w:pStyle w:val="Compact"/>
              <w:spacing w:after="20" w:before="20"/>
            </w:pPr>
            <w:r>
              <w:rPr>
                <w:sz w:val="18"/>
              </w:rPr>
              <w:t xml:space="preserve">[Security owner] / [Privacy owner]</w:t>
            </w:r>
          </w:p>
        </w:tc>
      </w:tr>
    </w:tbl>
    <w:bookmarkEnd w:id="46"/>
    <w:bookmarkStart w:id="47" w:name="ta-11.-operability-and-support"/>
    <w:p>
      <w:pPr>
        <w:pStyle w:val="Heading3"/>
      </w:pPr>
      <w:r>
        <w:t xml:space="preserve">TA-11. Operability and support</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139"/>
        <w:gridCol w:w="7652"/>
      </w:tblGrid>
      <w:tr>
        <w:trPr>
          <w:tblHeader w:val="on"/>
          <w:tblHeader w:val="true"/>
        </w:trPr>
        <w:tc>
          <w:tcPr>
            <w:tcW w:type="dxa" w:w="2140"/>
            <w:shd w:val="clear" w:color="auto" w:fill="1F1F1F"/>
          </w:tcPr>
          <w:p>
            <w:pPr>
              <w:pStyle w:val="Compact"/>
              <w:spacing w:after="20" w:before="20"/>
            </w:pPr>
            <w:r>
              <w:rPr>
                <w:b/>
                <w:color w:val="FFFFFF"/>
                <w:sz w:val="18"/>
              </w:rPr>
              <w:t xml:space="preserve">Aspect</w:t>
            </w:r>
          </w:p>
        </w:tc>
        <w:tc>
          <w:tcPr>
            <w:tcW w:type="dxa" w:w="7652"/>
            <w:shd w:val="clear" w:color="auto" w:fill="1F1F1F"/>
          </w:tcPr>
          <w:p>
            <w:pPr>
              <w:pStyle w:val="Compact"/>
              <w:spacing w:after="20" w:before="20"/>
            </w:pPr>
            <w:r>
              <w:rPr>
                <w:b/>
                <w:color w:val="FFFFFF"/>
                <w:sz w:val="18"/>
              </w:rPr>
              <w:t xml:space="preserve">Detail</w:t>
            </w:r>
          </w:p>
        </w:tc>
      </w:tr>
      <w:tr>
        <w:tc>
          <w:tcPr>
            <w:tcW w:type="dxa" w:w="2140"/>
            <w:shd w:val="clear" w:color="auto" w:fill="F2F2F2"/>
          </w:tcPr>
          <w:p>
            <w:pPr>
              <w:pStyle w:val="Compact"/>
              <w:spacing w:after="20" w:before="20"/>
            </w:pPr>
            <w:r>
              <w:rPr>
                <w:b/>
                <w:sz w:val="18"/>
              </w:rPr>
              <w:t xml:space="preserve">What we test</w:t>
            </w:r>
          </w:p>
        </w:tc>
        <w:tc>
          <w:tcPr>
            <w:tcW w:type="dxa" w:w="7652"/>
          </w:tcPr>
          <w:p>
            <w:pPr>
              <w:pStyle w:val="Compact"/>
              <w:spacing w:after="20" w:before="20"/>
            </w:pPr>
            <w:r>
              <w:rPr>
                <w:sz w:val="18"/>
              </w:rPr>
              <w:t xml:space="preserve">Day-to-day operation: onboarding effort, documentation, monitoring, incident handling, support responsiveness</w:t>
            </w:r>
          </w:p>
        </w:tc>
      </w:tr>
      <w:tr>
        <w:tc>
          <w:tcPr>
            <w:tcW w:type="dxa" w:w="2140"/>
            <w:shd w:val="clear" w:color="auto" w:fill="F2F2F2"/>
          </w:tcPr>
          <w:p>
            <w:pPr>
              <w:pStyle w:val="Compact"/>
              <w:spacing w:after="20" w:before="20"/>
            </w:pPr>
            <w:r>
              <w:rPr>
                <w:b/>
                <w:sz w:val="18"/>
              </w:rPr>
              <w:t xml:space="preserve">Success criteria</w:t>
            </w:r>
          </w:p>
        </w:tc>
        <w:tc>
          <w:tcPr>
            <w:tcW w:type="dxa" w:w="7652"/>
            <w:shd w:val="clear" w:color="auto" w:fill="FAFAFA"/>
          </w:tcPr>
          <w:p>
            <w:pPr>
              <w:pStyle w:val="Compact"/>
              <w:spacing w:after="20" w:before="20"/>
            </w:pPr>
            <w:r>
              <w:rPr>
                <w:sz w:val="18"/>
              </w:rPr>
              <w:t xml:space="preserve">Support response ≤ [X business hours] for P1/P2; documented runbooks for ingest, training and export; Verizon team can run an optimisation cycle with ≤ [X] vendor touchpoints; effort within [person-days]</w:t>
            </w:r>
          </w:p>
        </w:tc>
      </w:tr>
      <w:tr>
        <w:tc>
          <w:tcPr>
            <w:tcW w:type="dxa" w:w="2140"/>
            <w:shd w:val="clear" w:color="auto" w:fill="F2F2F2"/>
          </w:tcPr>
          <w:p>
            <w:pPr>
              <w:pStyle w:val="Compact"/>
              <w:spacing w:after="20" w:before="20"/>
            </w:pPr>
            <w:r>
              <w:rPr>
                <w:b/>
                <w:sz w:val="18"/>
              </w:rPr>
              <w:t xml:space="preserve">Evidence</w:t>
            </w:r>
          </w:p>
        </w:tc>
        <w:tc>
          <w:tcPr>
            <w:tcW w:type="dxa" w:w="7652"/>
          </w:tcPr>
          <w:p>
            <w:pPr>
              <w:pStyle w:val="Compact"/>
              <w:spacing w:after="20" w:before="20"/>
            </w:pPr>
            <w:r>
              <w:rPr>
                <w:sz w:val="18"/>
              </w:rPr>
              <w:t xml:space="preserve">Support ticket log; runbook drafts; effort tracker; team survey</w:t>
            </w:r>
          </w:p>
        </w:tc>
      </w:tr>
      <w:tr>
        <w:tc>
          <w:tcPr>
            <w:tcW w:type="dxa" w:w="2140"/>
            <w:shd w:val="clear" w:color="auto" w:fill="F2F2F2"/>
          </w:tcPr>
          <w:p>
            <w:pPr>
              <w:pStyle w:val="Compact"/>
              <w:spacing w:after="20" w:before="20"/>
            </w:pPr>
            <w:r>
              <w:rPr>
                <w:b/>
                <w:sz w:val="18"/>
              </w:rPr>
              <w:t xml:space="preserve">Owner</w:t>
            </w:r>
          </w:p>
        </w:tc>
        <w:tc>
          <w:tcPr>
            <w:tcW w:type="dxa" w:w="7652"/>
            <w:shd w:val="clear" w:color="auto" w:fill="FAFAFA"/>
          </w:tcPr>
          <w:p>
            <w:pPr>
              <w:pStyle w:val="Compact"/>
              <w:spacing w:after="20" w:before="20"/>
            </w:pPr>
            <w:r>
              <w:rPr>
                <w:sz w:val="18"/>
              </w:rPr>
              <w:t xml:space="preserve">[Pilot lead]</w:t>
            </w:r>
          </w:p>
        </w:tc>
      </w:tr>
    </w:tbl>
    <w:bookmarkEnd w:id="47"/>
    <w:bookmarkStart w:id="48" w:name="ta-12.-vendor-maturity"/>
    <w:p>
      <w:pPr>
        <w:pStyle w:val="Heading3"/>
      </w:pPr>
      <w:r>
        <w:t xml:space="preserve">TA-12. Vendor maturity</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276"/>
        <w:gridCol w:w="7515"/>
      </w:tblGrid>
      <w:tr>
        <w:trPr>
          <w:tblHeader w:val="on"/>
          <w:tblHeader w:val="true"/>
        </w:trPr>
        <w:tc>
          <w:tcPr>
            <w:tcW w:type="dxa" w:w="2277"/>
            <w:shd w:val="clear" w:color="auto" w:fill="1F1F1F"/>
          </w:tcPr>
          <w:p>
            <w:pPr>
              <w:pStyle w:val="Compact"/>
              <w:spacing w:after="20" w:before="20"/>
            </w:pPr>
            <w:r>
              <w:rPr>
                <w:b/>
                <w:color w:val="FFFFFF"/>
                <w:sz w:val="18"/>
              </w:rPr>
              <w:t xml:space="preserve">Aspect</w:t>
            </w:r>
          </w:p>
        </w:tc>
        <w:tc>
          <w:tcPr>
            <w:tcW w:type="dxa" w:w="7515"/>
            <w:shd w:val="clear" w:color="auto" w:fill="1F1F1F"/>
          </w:tcPr>
          <w:p>
            <w:pPr>
              <w:pStyle w:val="Compact"/>
              <w:spacing w:after="20" w:before="20"/>
            </w:pPr>
            <w:r>
              <w:rPr>
                <w:b/>
                <w:color w:val="FFFFFF"/>
                <w:sz w:val="18"/>
              </w:rPr>
              <w:t xml:space="preserve">Detail</w:t>
            </w:r>
          </w:p>
        </w:tc>
      </w:tr>
      <w:tr>
        <w:tc>
          <w:tcPr>
            <w:tcW w:type="dxa" w:w="2277"/>
            <w:shd w:val="clear" w:color="auto" w:fill="F2F2F2"/>
          </w:tcPr>
          <w:p>
            <w:pPr>
              <w:pStyle w:val="Compact"/>
              <w:spacing w:after="20" w:before="20"/>
            </w:pPr>
            <w:r>
              <w:rPr>
                <w:b/>
                <w:sz w:val="18"/>
              </w:rPr>
              <w:t xml:space="preserve">What we test</w:t>
            </w:r>
          </w:p>
        </w:tc>
        <w:tc>
          <w:tcPr>
            <w:tcW w:type="dxa" w:w="7515"/>
          </w:tcPr>
          <w:p>
            <w:pPr>
              <w:pStyle w:val="Compact"/>
              <w:spacing w:after="20" w:before="20"/>
            </w:pPr>
            <w:r>
              <w:rPr>
                <w:sz w:val="18"/>
              </w:rPr>
              <w:t xml:space="preserve">Viability and continuity: team, funding, roadmap, references, security programme, contract terms</w:t>
            </w:r>
          </w:p>
        </w:tc>
      </w:tr>
      <w:tr>
        <w:tc>
          <w:tcPr>
            <w:tcW w:type="dxa" w:w="2277"/>
            <w:shd w:val="clear" w:color="auto" w:fill="F2F2F2"/>
          </w:tcPr>
          <w:p>
            <w:pPr>
              <w:pStyle w:val="Compact"/>
              <w:spacing w:after="20" w:before="20"/>
            </w:pPr>
            <w:r>
              <w:rPr>
                <w:b/>
                <w:sz w:val="18"/>
              </w:rPr>
              <w:t xml:space="preserve">Success criteria</w:t>
            </w:r>
          </w:p>
        </w:tc>
        <w:tc>
          <w:tcPr>
            <w:tcW w:type="dxa" w:w="7515"/>
            <w:shd w:val="clear" w:color="auto" w:fill="FAFAFA"/>
          </w:tcPr>
          <w:p>
            <w:pPr>
              <w:pStyle w:val="Compact"/>
              <w:spacing w:after="20" w:before="20"/>
            </w:pPr>
            <w:r>
              <w:rPr>
                <w:sz w:val="18"/>
              </w:rPr>
              <w:t xml:space="preserve">Credible roadmap for OTLP, VPC and export items; references available [Y/N]; escrow and exit plan acceptable; financial and continuity review passed by Procurement</w:t>
            </w:r>
          </w:p>
        </w:tc>
      </w:tr>
      <w:tr>
        <w:tc>
          <w:tcPr>
            <w:tcW w:type="dxa" w:w="2277"/>
            <w:shd w:val="clear" w:color="auto" w:fill="F2F2F2"/>
          </w:tcPr>
          <w:p>
            <w:pPr>
              <w:pStyle w:val="Compact"/>
              <w:spacing w:after="20" w:before="20"/>
            </w:pPr>
            <w:r>
              <w:rPr>
                <w:b/>
                <w:sz w:val="18"/>
              </w:rPr>
              <w:t xml:space="preserve">Evidence</w:t>
            </w:r>
          </w:p>
        </w:tc>
        <w:tc>
          <w:tcPr>
            <w:tcW w:type="dxa" w:w="7515"/>
          </w:tcPr>
          <w:p>
            <w:pPr>
              <w:pStyle w:val="Compact"/>
              <w:spacing w:after="20" w:before="20"/>
            </w:pPr>
            <w:r>
              <w:rPr>
                <w:sz w:val="18"/>
              </w:rPr>
              <w:t xml:space="preserve">Roadmap letter; references; escrow terms; Procurement review</w:t>
            </w:r>
          </w:p>
        </w:tc>
      </w:tr>
      <w:tr>
        <w:tc>
          <w:tcPr>
            <w:tcW w:type="dxa" w:w="2277"/>
            <w:shd w:val="clear" w:color="auto" w:fill="F2F2F2"/>
          </w:tcPr>
          <w:p>
            <w:pPr>
              <w:pStyle w:val="Compact"/>
              <w:spacing w:after="20" w:before="20"/>
            </w:pPr>
            <w:r>
              <w:rPr>
                <w:b/>
                <w:sz w:val="18"/>
              </w:rPr>
              <w:t xml:space="preserve">Owner</w:t>
            </w:r>
          </w:p>
        </w:tc>
        <w:tc>
          <w:tcPr>
            <w:tcW w:type="dxa" w:w="7515"/>
            <w:shd w:val="clear" w:color="auto" w:fill="FAFAFA"/>
          </w:tcPr>
          <w:p>
            <w:pPr>
              <w:pStyle w:val="Compact"/>
              <w:spacing w:after="20" w:before="20"/>
            </w:pPr>
            <w:r>
              <w:rPr>
                <w:sz w:val="18"/>
              </w:rPr>
              <w:t xml:space="preserve">[Procurement owner]</w:t>
            </w:r>
          </w:p>
        </w:tc>
      </w:tr>
    </w:tbl>
    <w:bookmarkEnd w:id="48"/>
    <w:bookmarkEnd w:id="49"/>
    <w:bookmarkStart w:id="52" w:name="mutual-expectations"/>
    <w:p>
      <w:pPr>
        <w:pStyle w:val="Heading1"/>
      </w:pPr>
      <w:r>
        <w:t xml:space="preserve">6. Mutual expectations</w:t>
      </w:r>
    </w:p>
    <w:bookmarkStart w:id="50" w:name="what-lucidic-can-expect-from-verizon"/>
    <w:p>
      <w:pPr>
        <w:pStyle w:val="Heading2"/>
      </w:pPr>
      <w:r>
        <w:t xml:space="preserve">6.1 What Lucidic can expect from Verizon</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874"/>
        <w:gridCol w:w="5550"/>
        <w:gridCol w:w="2366"/>
      </w:tblGrid>
      <w:tr>
        <w:trPr>
          <w:tblHeader w:val="on"/>
          <w:tblHeader w:val="true"/>
        </w:trPr>
        <w:tc>
          <w:tcPr>
            <w:tcW w:type="dxa" w:w="1875"/>
            <w:shd w:val="clear" w:color="auto" w:fill="1F1F1F"/>
          </w:tcPr>
          <w:p>
            <w:pPr>
              <w:pStyle w:val="Compact"/>
              <w:spacing w:after="20" w:before="20"/>
            </w:pPr>
            <w:r>
              <w:rPr>
                <w:b/>
                <w:color w:val="FFFFFF"/>
                <w:sz w:val="18"/>
              </w:rPr>
              <w:t xml:space="preserve">Area</w:t>
            </w:r>
          </w:p>
        </w:tc>
        <w:tc>
          <w:tcPr>
            <w:tcW w:type="dxa" w:w="5551"/>
            <w:shd w:val="clear" w:color="auto" w:fill="1F1F1F"/>
          </w:tcPr>
          <w:p>
            <w:pPr>
              <w:pStyle w:val="Compact"/>
              <w:spacing w:after="20" w:before="20"/>
            </w:pPr>
            <w:r>
              <w:rPr>
                <w:b/>
                <w:color w:val="FFFFFF"/>
                <w:sz w:val="18"/>
              </w:rPr>
              <w:t xml:space="preserve">Verizon provides</w:t>
            </w:r>
          </w:p>
        </w:tc>
        <w:tc>
          <w:tcPr>
            <w:tcW w:type="dxa" w:w="2367"/>
            <w:shd w:val="clear" w:color="auto" w:fill="1F1F1F"/>
          </w:tcPr>
          <w:p>
            <w:pPr>
              <w:pStyle w:val="Compact"/>
              <w:spacing w:after="20" w:before="20"/>
            </w:pPr>
            <w:r>
              <w:rPr>
                <w:b/>
                <w:color w:val="FFFFFF"/>
                <w:sz w:val="18"/>
              </w:rPr>
              <w:t xml:space="preserve">Timing</w:t>
            </w:r>
          </w:p>
        </w:tc>
      </w:tr>
      <w:tr>
        <w:tc>
          <w:tcPr>
            <w:tcW w:type="dxa" w:w="1875"/>
          </w:tcPr>
          <w:p>
            <w:pPr>
              <w:pStyle w:val="Compact"/>
              <w:spacing w:after="20" w:before="20"/>
            </w:pPr>
            <w:r>
              <w:rPr>
                <w:sz w:val="18"/>
              </w:rPr>
              <w:t xml:space="preserve">Data access</w:t>
            </w:r>
          </w:p>
        </w:tc>
        <w:tc>
          <w:tcPr>
            <w:tcW w:type="dxa" w:w="5551"/>
          </w:tcPr>
          <w:p>
            <w:pPr>
              <w:pStyle w:val="Compact"/>
              <w:spacing w:after="20" w:before="20"/>
            </w:pPr>
            <w:r>
              <w:rPr>
                <w:sz w:val="18"/>
              </w:rPr>
              <w:t xml:space="preserve">Redacted export of the three-month trace slice for the chosen use case (~[N] sessions), via adapter or file drop</w:t>
            </w:r>
          </w:p>
        </w:tc>
        <w:tc>
          <w:tcPr>
            <w:tcW w:type="dxa" w:w="2367"/>
          </w:tcPr>
          <w:p>
            <w:pPr>
              <w:pStyle w:val="Compact"/>
              <w:spacing w:after="20" w:before="20"/>
            </w:pPr>
            <w:r>
              <w:rPr>
                <w:sz w:val="18"/>
              </w:rPr>
              <w:t xml:space="preserve">Week 1–2, after Week 0 gates</w:t>
            </w:r>
          </w:p>
        </w:tc>
      </w:tr>
      <w:tr>
        <w:tc>
          <w:tcPr>
            <w:tcW w:type="dxa" w:w="1875"/>
            <w:shd w:val="clear" w:color="auto" w:fill="FAFAFA"/>
          </w:tcPr>
          <w:p>
            <w:pPr>
              <w:pStyle w:val="Compact"/>
              <w:spacing w:after="20" w:before="20"/>
            </w:pPr>
            <w:r>
              <w:rPr>
                <w:sz w:val="18"/>
              </w:rPr>
              <w:t xml:space="preserve">Trace samples</w:t>
            </w:r>
          </w:p>
        </w:tc>
        <w:tc>
          <w:tcPr>
            <w:tcW w:type="dxa" w:w="5551"/>
            <w:shd w:val="clear" w:color="auto" w:fill="FAFAFA"/>
          </w:tcPr>
          <w:p>
            <w:pPr>
              <w:pStyle w:val="Compact"/>
              <w:spacing w:after="20" w:before="20"/>
            </w:pPr>
            <w:r>
              <w:rPr>
                <w:sz w:val="18"/>
              </w:rPr>
              <w:t xml:space="preserve">[N] representative sessions, plus a data dictionary for Galileo span attributes and Kairos metadata</w:t>
            </w:r>
          </w:p>
        </w:tc>
        <w:tc>
          <w:tcPr>
            <w:tcW w:type="dxa" w:w="2367"/>
            <w:shd w:val="clear" w:color="auto" w:fill="FAFAFA"/>
          </w:tcPr>
          <w:p>
            <w:pPr>
              <w:pStyle w:val="Compact"/>
              <w:spacing w:after="20" w:before="20"/>
            </w:pPr>
            <w:r>
              <w:rPr>
                <w:sz w:val="18"/>
              </w:rPr>
              <w:t xml:space="preserve">Week 0 (synthetic or fully redacted)</w:t>
            </w:r>
          </w:p>
        </w:tc>
      </w:tr>
      <w:tr>
        <w:tc>
          <w:tcPr>
            <w:tcW w:type="dxa" w:w="1875"/>
          </w:tcPr>
          <w:p>
            <w:pPr>
              <w:pStyle w:val="Compact"/>
              <w:spacing w:after="20" w:before="20"/>
            </w:pPr>
            <w:r>
              <w:rPr>
                <w:sz w:val="18"/>
              </w:rPr>
              <w:t xml:space="preserve">Tool schemas</w:t>
            </w:r>
          </w:p>
        </w:tc>
        <w:tc>
          <w:tcPr>
            <w:tcW w:type="dxa" w:w="5551"/>
          </w:tcPr>
          <w:p>
            <w:pPr>
              <w:pStyle w:val="Compact"/>
              <w:spacing w:after="20" w:before="20"/>
            </w:pPr>
            <w:r>
              <w:rPr>
                <w:sz w:val="18"/>
              </w:rPr>
              <w:t xml:space="preserve">JSON Schema/OpenAPI for in-scope tools, with example inputs and outputs</w:t>
            </w:r>
          </w:p>
        </w:tc>
        <w:tc>
          <w:tcPr>
            <w:tcW w:type="dxa" w:w="2367"/>
          </w:tcPr>
          <w:p>
            <w:pPr>
              <w:pStyle w:val="Compact"/>
              <w:spacing w:after="20" w:before="20"/>
            </w:pPr>
            <w:r>
              <w:rPr>
                <w:sz w:val="18"/>
              </w:rPr>
              <w:t xml:space="preserve">Week 1</w:t>
            </w:r>
          </w:p>
        </w:tc>
      </w:tr>
      <w:tr>
        <w:tc>
          <w:tcPr>
            <w:tcW w:type="dxa" w:w="1875"/>
            <w:shd w:val="clear" w:color="auto" w:fill="FAFAFA"/>
          </w:tcPr>
          <w:p>
            <w:pPr>
              <w:pStyle w:val="Compact"/>
              <w:spacing w:after="20" w:before="20"/>
            </w:pPr>
            <w:r>
              <w:rPr>
                <w:sz w:val="18"/>
              </w:rPr>
              <w:t xml:space="preserve">Reward / eval definitions</w:t>
            </w:r>
          </w:p>
        </w:tc>
        <w:tc>
          <w:tcPr>
            <w:tcW w:type="dxa" w:w="5551"/>
            <w:shd w:val="clear" w:color="auto" w:fill="FAFAFA"/>
          </w:tcPr>
          <w:p>
            <w:pPr>
              <w:pStyle w:val="Compact"/>
              <w:spacing w:after="20" w:before="20"/>
            </w:pPr>
            <w:r>
              <w:rPr>
                <w:sz w:val="18"/>
              </w:rPr>
              <w:t xml:space="preserve">Outcome labels, success definition, rubric, safety/policy checks, held-out set definition</w:t>
            </w:r>
          </w:p>
        </w:tc>
        <w:tc>
          <w:tcPr>
            <w:tcW w:type="dxa" w:w="2367"/>
            <w:shd w:val="clear" w:color="auto" w:fill="FAFAFA"/>
          </w:tcPr>
          <w:p>
            <w:pPr>
              <w:pStyle w:val="Compact"/>
              <w:spacing w:after="20" w:before="20"/>
            </w:pPr>
            <w:r>
              <w:rPr>
                <w:sz w:val="18"/>
              </w:rPr>
              <w:t xml:space="preserve">Draft Week 1, frozen end of Week 2</w:t>
            </w:r>
          </w:p>
        </w:tc>
      </w:tr>
      <w:tr>
        <w:tc>
          <w:tcPr>
            <w:tcW w:type="dxa" w:w="1875"/>
          </w:tcPr>
          <w:p>
            <w:pPr>
              <w:pStyle w:val="Compact"/>
              <w:spacing w:after="20" w:before="20"/>
            </w:pPr>
            <w:r>
              <w:rPr>
                <w:sz w:val="18"/>
              </w:rPr>
              <w:t xml:space="preserve">SMEs</w:t>
            </w:r>
          </w:p>
        </w:tc>
        <w:tc>
          <w:tcPr>
            <w:tcW w:type="dxa" w:w="5551"/>
          </w:tcPr>
          <w:p>
            <w:pPr>
              <w:pStyle w:val="Compact"/>
              <w:spacing w:after="20" w:before="20"/>
            </w:pPr>
            <w:r>
              <w:rPr>
                <w:sz w:val="18"/>
              </w:rPr>
              <w:t xml:space="preserve">[N] hours/week from use-case SMEs for rubric design and simulation review</w:t>
            </w:r>
          </w:p>
        </w:tc>
        <w:tc>
          <w:tcPr>
            <w:tcW w:type="dxa" w:w="2367"/>
          </w:tcPr>
          <w:p>
            <w:pPr>
              <w:pStyle w:val="Compact"/>
              <w:spacing w:after="20" w:before="20"/>
            </w:pPr>
            <w:r>
              <w:rPr>
                <w:sz w:val="18"/>
              </w:rPr>
              <w:t xml:space="preserve">Weeks 1–8</w:t>
            </w:r>
          </w:p>
        </w:tc>
      </w:tr>
      <w:tr>
        <w:tc>
          <w:tcPr>
            <w:tcW w:type="dxa" w:w="1875"/>
            <w:shd w:val="clear" w:color="auto" w:fill="FAFAFA"/>
          </w:tcPr>
          <w:p>
            <w:pPr>
              <w:pStyle w:val="Compact"/>
              <w:spacing w:after="20" w:before="20"/>
            </w:pPr>
            <w:r>
              <w:rPr>
                <w:sz w:val="18"/>
              </w:rPr>
              <w:t xml:space="preserve">Environments</w:t>
            </w:r>
          </w:p>
        </w:tc>
        <w:tc>
          <w:tcPr>
            <w:tcW w:type="dxa" w:w="5551"/>
            <w:shd w:val="clear" w:color="auto" w:fill="FAFAFA"/>
          </w:tcPr>
          <w:p>
            <w:pPr>
              <w:pStyle w:val="Compact"/>
              <w:spacing w:after="20" w:before="20"/>
            </w:pPr>
            <w:r>
              <w:rPr>
                <w:sz w:val="18"/>
              </w:rPr>
              <w:t xml:space="preserve">Sandbox endpoint for Collector/adapter; serving environment for the custom model behind Kairos</w:t>
            </w:r>
          </w:p>
        </w:tc>
        <w:tc>
          <w:tcPr>
            <w:tcW w:type="dxa" w:w="2367"/>
            <w:shd w:val="clear" w:color="auto" w:fill="FAFAFA"/>
          </w:tcPr>
          <w:p>
            <w:pPr>
              <w:pStyle w:val="Compact"/>
              <w:spacing w:after="20" w:before="20"/>
            </w:pPr>
            <w:r>
              <w:rPr>
                <w:sz w:val="18"/>
              </w:rPr>
              <w:t xml:space="preserve">Week 1 (adapter); Week 5 (serving)</w:t>
            </w:r>
          </w:p>
        </w:tc>
      </w:tr>
      <w:tr>
        <w:tc>
          <w:tcPr>
            <w:tcW w:type="dxa" w:w="1875"/>
          </w:tcPr>
          <w:p>
            <w:pPr>
              <w:pStyle w:val="Compact"/>
              <w:spacing w:after="20" w:before="20"/>
            </w:pPr>
            <w:r>
              <w:rPr>
                <w:sz w:val="18"/>
              </w:rPr>
              <w:t xml:space="preserve">Credentials</w:t>
            </w:r>
          </w:p>
        </w:tc>
        <w:tc>
          <w:tcPr>
            <w:tcW w:type="dxa" w:w="5551"/>
          </w:tcPr>
          <w:p>
            <w:pPr>
              <w:pStyle w:val="Compact"/>
              <w:spacing w:after="20" w:before="20"/>
            </w:pPr>
            <w:r>
              <w:rPr>
                <w:sz w:val="18"/>
              </w:rPr>
              <w:t xml:space="preserve">Scoped service accounts and API keys under Verizon secrets management; SSO for named users</w:t>
            </w:r>
          </w:p>
        </w:tc>
        <w:tc>
          <w:tcPr>
            <w:tcW w:type="dxa" w:w="2367"/>
          </w:tcPr>
          <w:p>
            <w:pPr>
              <w:pStyle w:val="Compact"/>
              <w:spacing w:after="20" w:before="20"/>
            </w:pPr>
            <w:r>
              <w:rPr>
                <w:sz w:val="18"/>
              </w:rPr>
              <w:t xml:space="preserve">Week 0–1</w:t>
            </w:r>
          </w:p>
        </w:tc>
      </w:tr>
      <w:tr>
        <w:tc>
          <w:tcPr>
            <w:tcW w:type="dxa" w:w="1875"/>
            <w:shd w:val="clear" w:color="auto" w:fill="FAFAFA"/>
          </w:tcPr>
          <w:p>
            <w:pPr>
              <w:pStyle w:val="Compact"/>
              <w:spacing w:after="20" w:before="20"/>
            </w:pPr>
            <w:r>
              <w:rPr>
                <w:sz w:val="18"/>
              </w:rPr>
              <w:t xml:space="preserve">Timelines and governance</w:t>
            </w:r>
          </w:p>
        </w:tc>
        <w:tc>
          <w:tcPr>
            <w:tcW w:type="dxa" w:w="5551"/>
            <w:shd w:val="clear" w:color="auto" w:fill="FAFAFA"/>
          </w:tcPr>
          <w:p>
            <w:pPr>
              <w:pStyle w:val="Compact"/>
              <w:spacing w:after="20" w:before="20"/>
            </w:pPr>
            <w:r>
              <w:rPr>
                <w:sz w:val="18"/>
              </w:rPr>
              <w:t xml:space="preserve">Named owners (RACI), weekly status, decisions within agreed SLAs</w:t>
            </w:r>
          </w:p>
        </w:tc>
        <w:tc>
          <w:tcPr>
            <w:tcW w:type="dxa" w:w="2367"/>
            <w:shd w:val="clear" w:color="auto" w:fill="FAFAFA"/>
          </w:tcPr>
          <w:p>
            <w:pPr>
              <w:pStyle w:val="Compact"/>
              <w:spacing w:after="20" w:before="20"/>
            </w:pPr>
            <w:r>
              <w:rPr>
                <w:sz w:val="18"/>
              </w:rPr>
              <w:t xml:space="preserve">Throughout</w:t>
            </w:r>
          </w:p>
        </w:tc>
      </w:tr>
    </w:tbl>
    <w:bookmarkEnd w:id="50"/>
    <w:bookmarkStart w:id="51" w:name="what-verizon-expects-from-lucidic"/>
    <w:p>
      <w:pPr>
        <w:pStyle w:val="Heading2"/>
      </w:pPr>
      <w:r>
        <w:t xml:space="preserve">6.2 What Verizon expects from Lucidic</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093"/>
        <w:gridCol w:w="7698"/>
      </w:tblGrid>
      <w:tr>
        <w:trPr>
          <w:tblHeader w:val="on"/>
          <w:tblHeader w:val="true"/>
        </w:trPr>
        <w:tc>
          <w:tcPr>
            <w:tcW w:type="dxa" w:w="2093"/>
            <w:shd w:val="clear" w:color="auto" w:fill="1F1F1F"/>
          </w:tcPr>
          <w:p>
            <w:pPr>
              <w:pStyle w:val="Compact"/>
              <w:spacing w:after="20" w:before="20"/>
            </w:pPr>
            <w:r>
              <w:rPr>
                <w:b/>
                <w:color w:val="FFFFFF"/>
                <w:sz w:val="18"/>
              </w:rPr>
              <w:t xml:space="preserve">Area</w:t>
            </w:r>
          </w:p>
        </w:tc>
        <w:tc>
          <w:tcPr>
            <w:tcW w:type="dxa" w:w="7699"/>
            <w:shd w:val="clear" w:color="auto" w:fill="1F1F1F"/>
          </w:tcPr>
          <w:p>
            <w:pPr>
              <w:pStyle w:val="Compact"/>
              <w:spacing w:after="20" w:before="20"/>
            </w:pPr>
            <w:r>
              <w:rPr>
                <w:b/>
                <w:color w:val="FFFFFF"/>
                <w:sz w:val="18"/>
              </w:rPr>
              <w:t xml:space="preserve">Lucidic provides</w:t>
            </w:r>
          </w:p>
        </w:tc>
      </w:tr>
      <w:tr>
        <w:tc>
          <w:tcPr>
            <w:tcW w:type="dxa" w:w="2093"/>
            <w:shd w:val="clear" w:color="auto" w:fill="F2F2F2"/>
          </w:tcPr>
          <w:p>
            <w:pPr>
              <w:pStyle w:val="Compact"/>
              <w:spacing w:after="20" w:before="20"/>
            </w:pPr>
            <w:r>
              <w:rPr>
                <w:b/>
                <w:sz w:val="18"/>
              </w:rPr>
              <w:t xml:space="preserve">Team</w:t>
            </w:r>
          </w:p>
        </w:tc>
        <w:tc>
          <w:tcPr>
            <w:tcW w:type="dxa" w:w="7699"/>
          </w:tcPr>
          <w:p>
            <w:pPr>
              <w:pStyle w:val="Compact"/>
              <w:spacing w:after="20" w:before="20"/>
            </w:pPr>
            <w:r>
              <w:rPr>
                <w:sz w:val="18"/>
              </w:rPr>
              <w:t xml:space="preserve">Named engagement lead and engineer(s); weekly working session; escalation contact</w:t>
            </w:r>
          </w:p>
        </w:tc>
      </w:tr>
      <w:tr>
        <w:tc>
          <w:tcPr>
            <w:tcW w:type="dxa" w:w="2093"/>
            <w:shd w:val="clear" w:color="auto" w:fill="F2F2F2"/>
          </w:tcPr>
          <w:p>
            <w:pPr>
              <w:pStyle w:val="Compact"/>
              <w:spacing w:after="20" w:before="20"/>
            </w:pPr>
            <w:r>
              <w:rPr>
                <w:b/>
                <w:sz w:val="18"/>
              </w:rPr>
              <w:t xml:space="preserve">Integration</w:t>
            </w:r>
          </w:p>
        </w:tc>
        <w:tc>
          <w:tcPr>
            <w:tcW w:type="dxa" w:w="7699"/>
            <w:shd w:val="clear" w:color="auto" w:fill="FAFAFA"/>
          </w:tcPr>
          <w:p>
            <w:pPr>
              <w:pStyle w:val="Compact"/>
              <w:spacing w:after="20" w:before="20"/>
            </w:pPr>
            <w:r>
              <w:rPr>
                <w:sz w:val="18"/>
              </w:rPr>
              <w:t xml:space="preserve">Items in Section 2.6, with confirmation or correction of all SDK findings in Section 2.2</w:t>
            </w:r>
          </w:p>
        </w:tc>
      </w:tr>
      <w:tr>
        <w:tc>
          <w:tcPr>
            <w:tcW w:type="dxa" w:w="2093"/>
            <w:shd w:val="clear" w:color="auto" w:fill="F2F2F2"/>
          </w:tcPr>
          <w:p>
            <w:pPr>
              <w:pStyle w:val="Compact"/>
              <w:spacing w:after="20" w:before="20"/>
            </w:pPr>
            <w:r>
              <w:rPr>
                <w:b/>
                <w:sz w:val="18"/>
              </w:rPr>
              <w:t xml:space="preserve">Platform</w:t>
            </w:r>
          </w:p>
        </w:tc>
        <w:tc>
          <w:tcPr>
            <w:tcW w:type="dxa" w:w="7699"/>
          </w:tcPr>
          <w:p>
            <w:pPr>
              <w:pStyle w:val="Compact"/>
              <w:spacing w:after="20" w:before="20"/>
            </w:pPr>
            <w:r>
              <w:rPr>
                <w:sz w:val="18"/>
              </w:rPr>
              <w:t xml:space="preserve">Dedicated tenant on an agreed region and connectivity model; SSO; RBAC; audit logs</w:t>
            </w:r>
          </w:p>
        </w:tc>
      </w:tr>
      <w:tr>
        <w:tc>
          <w:tcPr>
            <w:tcW w:type="dxa" w:w="2093"/>
            <w:shd w:val="clear" w:color="auto" w:fill="F2F2F2"/>
          </w:tcPr>
          <w:p>
            <w:pPr>
              <w:pStyle w:val="Compact"/>
              <w:spacing w:after="20" w:before="20"/>
            </w:pPr>
            <w:r>
              <w:rPr>
                <w:b/>
                <w:sz w:val="18"/>
              </w:rPr>
              <w:t xml:space="preserve">Method transparency</w:t>
            </w:r>
          </w:p>
        </w:tc>
        <w:tc>
          <w:tcPr>
            <w:tcW w:type="dxa" w:w="7699"/>
            <w:shd w:val="clear" w:color="auto" w:fill="FAFAFA"/>
          </w:tcPr>
          <w:p>
            <w:pPr>
              <w:pStyle w:val="Compact"/>
              <w:spacing w:after="20" w:before="20"/>
            </w:pPr>
            <w:r>
              <w:rPr>
                <w:sz w:val="18"/>
              </w:rPr>
              <w:t xml:space="preserve">Documentation of simulation, optimisation (EvoSim/GA/RL/Bayesian) and training methods sufficient for Verizon to reproduce evaluations</w:t>
            </w:r>
          </w:p>
        </w:tc>
      </w:tr>
      <w:tr>
        <w:tc>
          <w:tcPr>
            <w:tcW w:type="dxa" w:w="2093"/>
            <w:shd w:val="clear" w:color="auto" w:fill="F2F2F2"/>
          </w:tcPr>
          <w:p>
            <w:pPr>
              <w:pStyle w:val="Compact"/>
              <w:spacing w:after="20" w:before="20"/>
            </w:pPr>
            <w:r>
              <w:rPr>
                <w:b/>
                <w:sz w:val="18"/>
              </w:rPr>
              <w:t xml:space="preserve">Evaluation</w:t>
            </w:r>
          </w:p>
        </w:tc>
        <w:tc>
          <w:tcPr>
            <w:tcW w:type="dxa" w:w="7699"/>
          </w:tcPr>
          <w:p>
            <w:pPr>
              <w:pStyle w:val="Compact"/>
              <w:spacing w:after="20" w:before="20"/>
            </w:pPr>
            <w:r>
              <w:rPr>
                <w:sz w:val="18"/>
              </w:rPr>
              <w:t xml:space="preserve">Reports against the frozen held-out set; raw per-session results, not only aggregates</w:t>
            </w:r>
          </w:p>
        </w:tc>
      </w:tr>
      <w:tr>
        <w:tc>
          <w:tcPr>
            <w:tcW w:type="dxa" w:w="2093"/>
            <w:shd w:val="clear" w:color="auto" w:fill="F2F2F2"/>
          </w:tcPr>
          <w:p>
            <w:pPr>
              <w:pStyle w:val="Compact"/>
              <w:spacing w:after="20" w:before="20"/>
            </w:pPr>
            <w:r>
              <w:rPr>
                <w:b/>
                <w:sz w:val="18"/>
              </w:rPr>
              <w:t xml:space="preserve">Artefacts</w:t>
            </w:r>
          </w:p>
        </w:tc>
        <w:tc>
          <w:tcPr>
            <w:tcW w:type="dxa" w:w="7699"/>
            <w:shd w:val="clear" w:color="auto" w:fill="FAFAFA"/>
          </w:tcPr>
          <w:p>
            <w:pPr>
              <w:pStyle w:val="Compact"/>
              <w:spacing w:after="20" w:before="20"/>
            </w:pPr>
            <w:r>
              <w:rPr>
                <w:sz w:val="18"/>
              </w:rPr>
              <w:t xml:space="preserve">Exported weights, harness, memory contents, eval sets, configs and model card, delivered to Verizon</w:t>
            </w:r>
          </w:p>
        </w:tc>
      </w:tr>
      <w:tr>
        <w:tc>
          <w:tcPr>
            <w:tcW w:type="dxa" w:w="2093"/>
            <w:shd w:val="clear" w:color="auto" w:fill="F2F2F2"/>
          </w:tcPr>
          <w:p>
            <w:pPr>
              <w:pStyle w:val="Compact"/>
              <w:spacing w:after="20" w:before="20"/>
            </w:pPr>
            <w:r>
              <w:rPr>
                <w:b/>
                <w:sz w:val="18"/>
              </w:rPr>
              <w:t xml:space="preserve">Security</w:t>
            </w:r>
          </w:p>
        </w:tc>
        <w:tc>
          <w:tcPr>
            <w:tcW w:type="dxa" w:w="7699"/>
          </w:tcPr>
          <w:p>
            <w:pPr>
              <w:pStyle w:val="Compact"/>
              <w:spacing w:after="20" w:before="20"/>
            </w:pPr>
            <w:r>
              <w:rPr>
                <w:sz w:val="18"/>
              </w:rPr>
              <w:t xml:space="preserve">Section 3.4 evidence pack; incident notification within [X hours]</w:t>
            </w:r>
          </w:p>
        </w:tc>
      </w:tr>
      <w:tr>
        <w:tc>
          <w:tcPr>
            <w:tcW w:type="dxa" w:w="2093"/>
            <w:shd w:val="clear" w:color="auto" w:fill="F2F2F2"/>
          </w:tcPr>
          <w:p>
            <w:pPr>
              <w:pStyle w:val="Compact"/>
              <w:spacing w:after="20" w:before="20"/>
            </w:pPr>
            <w:r>
              <w:rPr>
                <w:b/>
                <w:sz w:val="18"/>
              </w:rPr>
              <w:t xml:space="preserve">Commercials</w:t>
            </w:r>
          </w:p>
        </w:tc>
        <w:tc>
          <w:tcPr>
            <w:tcW w:type="dxa" w:w="7699"/>
            <w:shd w:val="clear" w:color="auto" w:fill="FAFAFA"/>
          </w:tcPr>
          <w:p>
            <w:pPr>
              <w:pStyle w:val="Compact"/>
              <w:spacing w:after="20" w:before="20"/>
            </w:pPr>
            <w:r>
              <w:rPr>
                <w:sz w:val="18"/>
              </w:rPr>
              <w:t xml:space="preserve">POC pricing, conversion terms, production pricing model and support SLA</w:t>
            </w:r>
          </w:p>
        </w:tc>
      </w:tr>
      <w:tr>
        <w:tc>
          <w:tcPr>
            <w:tcW w:type="dxa" w:w="2093"/>
            <w:shd w:val="clear" w:color="auto" w:fill="F2F2F2"/>
          </w:tcPr>
          <w:p>
            <w:pPr>
              <w:pStyle w:val="Compact"/>
              <w:spacing w:after="20" w:before="20"/>
            </w:pPr>
            <w:r>
              <w:rPr>
                <w:b/>
                <w:sz w:val="18"/>
              </w:rPr>
              <w:t xml:space="preserve">Exit</w:t>
            </w:r>
          </w:p>
        </w:tc>
        <w:tc>
          <w:tcPr>
            <w:tcW w:type="dxa" w:w="7699"/>
          </w:tcPr>
          <w:p>
            <w:pPr>
              <w:pStyle w:val="Compact"/>
              <w:spacing w:after="20" w:before="20"/>
            </w:pPr>
            <w:r>
              <w:rPr>
                <w:sz w:val="18"/>
              </w:rPr>
              <w:t xml:space="preserve">Data deletion with certificate; transition support</w:t>
            </w:r>
          </w:p>
        </w:tc>
      </w:tr>
    </w:tbl>
    <w:bookmarkEnd w:id="51"/>
    <w:bookmarkEnd w:id="52"/>
    <w:bookmarkStart w:id="54" w:name="phased-plan-about-8-weeks"/>
    <w:p>
      <w:pPr>
        <w:pStyle w:val="Heading1"/>
      </w:pPr>
      <w:r>
        <w:t xml:space="preserve">7. Phased plan (about 8 weeks)</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648"/>
        <w:gridCol w:w="1045"/>
        <w:gridCol w:w="4693"/>
        <w:gridCol w:w="2405"/>
      </w:tblGrid>
      <w:tr>
        <w:trPr>
          <w:tblHeader w:val="on"/>
          <w:tblHeader w:val="true"/>
        </w:trPr>
        <w:tc>
          <w:tcPr>
            <w:tcW w:type="dxa" w:w="1649"/>
            <w:shd w:val="clear" w:color="auto" w:fill="1F1F1F"/>
          </w:tcPr>
          <w:p>
            <w:pPr>
              <w:pStyle w:val="Compact"/>
              <w:spacing w:after="20" w:before="20"/>
            </w:pPr>
            <w:r>
              <w:rPr>
                <w:b/>
                <w:color w:val="FFFFFF"/>
                <w:sz w:val="18"/>
              </w:rPr>
              <w:t xml:space="preserve">Phase</w:t>
            </w:r>
          </w:p>
        </w:tc>
        <w:tc>
          <w:tcPr>
            <w:tcW w:type="dxa" w:w="1045"/>
            <w:shd w:val="clear" w:color="auto" w:fill="1F1F1F"/>
          </w:tcPr>
          <w:p>
            <w:pPr>
              <w:pStyle w:val="Compact"/>
              <w:spacing w:after="20" w:before="20"/>
            </w:pPr>
            <w:r>
              <w:rPr>
                <w:b/>
                <w:color w:val="FFFFFF"/>
                <w:sz w:val="18"/>
              </w:rPr>
              <w:t xml:space="preserve">Weeks</w:t>
            </w:r>
          </w:p>
        </w:tc>
        <w:tc>
          <w:tcPr>
            <w:tcW w:type="dxa" w:w="4693"/>
            <w:shd w:val="clear" w:color="auto" w:fill="1F1F1F"/>
          </w:tcPr>
          <w:p>
            <w:pPr>
              <w:pStyle w:val="Compact"/>
              <w:spacing w:after="20" w:before="20"/>
            </w:pPr>
            <w:r>
              <w:rPr>
                <w:b/>
                <w:color w:val="FFFFFF"/>
                <w:sz w:val="18"/>
              </w:rPr>
              <w:t xml:space="preserve">Activities</w:t>
            </w:r>
          </w:p>
        </w:tc>
        <w:tc>
          <w:tcPr>
            <w:tcW w:type="dxa" w:w="2405"/>
            <w:shd w:val="clear" w:color="auto" w:fill="1F1F1F"/>
          </w:tcPr>
          <w:p>
            <w:pPr>
              <w:pStyle w:val="Compact"/>
              <w:spacing w:after="20" w:before="20"/>
            </w:pPr>
            <w:r>
              <w:rPr>
                <w:b/>
                <w:color w:val="FFFFFF"/>
                <w:sz w:val="18"/>
              </w:rPr>
              <w:t xml:space="preserve">Exit gate / deliverables</w:t>
            </w:r>
          </w:p>
        </w:tc>
      </w:tr>
      <w:tr>
        <w:tc>
          <w:tcPr>
            <w:tcW w:type="dxa" w:w="1649"/>
          </w:tcPr>
          <w:p>
            <w:pPr>
              <w:pStyle w:val="Compact"/>
              <w:spacing w:after="20" w:before="20"/>
            </w:pPr>
            <w:r>
              <w:rPr>
                <w:sz w:val="18"/>
              </w:rPr>
              <w:t xml:space="preserve">0. Security and access</w:t>
            </w:r>
          </w:p>
        </w:tc>
        <w:tc>
          <w:tcPr>
            <w:tcW w:type="dxa" w:w="1045"/>
          </w:tcPr>
          <w:p>
            <w:pPr>
              <w:pStyle w:val="Compact"/>
              <w:spacing w:after="20" w:before="20"/>
            </w:pPr>
            <w:r>
              <w:rPr>
                <w:sz w:val="18"/>
              </w:rPr>
              <w:t xml:space="preserve">W0</w:t>
            </w:r>
          </w:p>
        </w:tc>
        <w:tc>
          <w:tcPr>
            <w:tcW w:type="dxa" w:w="4693"/>
          </w:tcPr>
          <w:p>
            <w:pPr>
              <w:pStyle w:val="Compact"/>
              <w:spacing w:after="20" w:before="20"/>
            </w:pPr>
            <w:r>
              <w:rPr>
                <w:sz w:val="18"/>
              </w:rPr>
              <w:t xml:space="preserve">TPRM intake; DPA; residency decision; deployment option chosen; SSO and accounts; redaction rules agreed; synthetic sample shared</w:t>
            </w:r>
          </w:p>
        </w:tc>
        <w:tc>
          <w:tcPr>
            <w:tcW w:type="dxa" w:w="2405"/>
          </w:tcPr>
          <w:p>
            <w:pPr>
              <w:pStyle w:val="Compact"/>
              <w:spacing w:after="20" w:before="20"/>
            </w:pPr>
            <w:r>
              <w:rPr>
                <w:sz w:val="18"/>
              </w:rPr>
              <w:t xml:space="preserve">Data-egress approval; signed DPA; tenant provisioned</w:t>
            </w:r>
          </w:p>
        </w:tc>
      </w:tr>
      <w:tr>
        <w:tc>
          <w:tcPr>
            <w:tcW w:type="dxa" w:w="1649"/>
            <w:shd w:val="clear" w:color="auto" w:fill="FAFAFA"/>
          </w:tcPr>
          <w:p>
            <w:pPr>
              <w:pStyle w:val="Compact"/>
              <w:spacing w:after="20" w:before="20"/>
            </w:pPr>
            <w:r>
              <w:rPr>
                <w:sz w:val="18"/>
              </w:rPr>
              <w:t xml:space="preserve">1. Integration</w:t>
            </w:r>
          </w:p>
        </w:tc>
        <w:tc>
          <w:tcPr>
            <w:tcW w:type="dxa" w:w="1045"/>
            <w:shd w:val="clear" w:color="auto" w:fill="FAFAFA"/>
          </w:tcPr>
          <w:p>
            <w:pPr>
              <w:pStyle w:val="Compact"/>
              <w:spacing w:after="20" w:before="20"/>
            </w:pPr>
            <w:r>
              <w:rPr>
                <w:sz w:val="18"/>
              </w:rPr>
              <w:t xml:space="preserve">W1–W2</w:t>
            </w:r>
          </w:p>
        </w:tc>
        <w:tc>
          <w:tcPr>
            <w:tcW w:type="dxa" w:w="4693"/>
            <w:shd w:val="clear" w:color="auto" w:fill="FAFAFA"/>
          </w:tcPr>
          <w:p>
            <w:pPr>
              <w:pStyle w:val="Compact"/>
              <w:spacing w:after="20" w:before="20"/>
            </w:pPr>
            <w:r>
              <w:rPr>
                <w:sz w:val="18"/>
              </w:rPr>
              <w:t xml:space="preserve">Collector redaction pipeline; adapter (Option C) or OTLP (Option B); historical import; live capture test; tool schemas shared</w:t>
            </w:r>
          </w:p>
        </w:tc>
        <w:tc>
          <w:tcPr>
            <w:tcW w:type="dxa" w:w="2405"/>
            <w:shd w:val="clear" w:color="auto" w:fill="FAFAFA"/>
          </w:tcPr>
          <w:p>
            <w:pPr>
              <w:pStyle w:val="Compact"/>
              <w:spacing w:after="20" w:before="20"/>
            </w:pPr>
            <w:r>
              <w:rPr>
                <w:sz w:val="18"/>
              </w:rPr>
              <w:t xml:space="preserve">TA-01, TA-02, TA-10 (redaction) passed</w:t>
            </w:r>
          </w:p>
        </w:tc>
      </w:tr>
      <w:tr>
        <w:tc>
          <w:tcPr>
            <w:tcW w:type="dxa" w:w="1649"/>
          </w:tcPr>
          <w:p>
            <w:pPr>
              <w:pStyle w:val="Compact"/>
              <w:spacing w:after="20" w:before="20"/>
            </w:pPr>
            <w:r>
              <w:rPr>
                <w:sz w:val="18"/>
              </w:rPr>
              <w:t xml:space="preserve">2. Baseline and simulation</w:t>
            </w:r>
          </w:p>
        </w:tc>
        <w:tc>
          <w:tcPr>
            <w:tcW w:type="dxa" w:w="1045"/>
          </w:tcPr>
          <w:p>
            <w:pPr>
              <w:pStyle w:val="Compact"/>
              <w:spacing w:after="20" w:before="20"/>
            </w:pPr>
            <w:r>
              <w:rPr>
                <w:sz w:val="18"/>
              </w:rPr>
              <w:t xml:space="preserve">W2–W3</w:t>
            </w:r>
          </w:p>
        </w:tc>
        <w:tc>
          <w:tcPr>
            <w:tcW w:type="dxa" w:w="4693"/>
          </w:tcPr>
          <w:p>
            <w:pPr>
              <w:pStyle w:val="Compact"/>
              <w:spacing w:after="20" w:before="20"/>
            </w:pPr>
            <w:r>
              <w:rPr>
                <w:sz w:val="18"/>
              </w:rPr>
              <w:t xml:space="preserve">Reward/eval definitions frozen; held-out set fixed; environments built; sim-vs-real validation; replay/branch tests</w:t>
            </w:r>
          </w:p>
        </w:tc>
        <w:tc>
          <w:tcPr>
            <w:tcW w:type="dxa" w:w="2405"/>
          </w:tcPr>
          <w:p>
            <w:pPr>
              <w:pStyle w:val="Compact"/>
              <w:spacing w:after="20" w:before="20"/>
            </w:pPr>
            <w:r>
              <w:rPr>
                <w:sz w:val="18"/>
              </w:rPr>
              <w:t xml:space="preserve">Baseline report; TA-03, TA-04</w:t>
            </w:r>
          </w:p>
        </w:tc>
      </w:tr>
      <w:tr>
        <w:tc>
          <w:tcPr>
            <w:tcW w:type="dxa" w:w="1649"/>
            <w:shd w:val="clear" w:color="auto" w:fill="FAFAFA"/>
          </w:tcPr>
          <w:p>
            <w:pPr>
              <w:pStyle w:val="Compact"/>
              <w:spacing w:after="20" w:before="20"/>
            </w:pPr>
            <w:r>
              <w:rPr>
                <w:sz w:val="18"/>
              </w:rPr>
              <w:t xml:space="preserve">3. Harness and memory</w:t>
            </w:r>
          </w:p>
        </w:tc>
        <w:tc>
          <w:tcPr>
            <w:tcW w:type="dxa" w:w="1045"/>
            <w:shd w:val="clear" w:color="auto" w:fill="FAFAFA"/>
          </w:tcPr>
          <w:p>
            <w:pPr>
              <w:pStyle w:val="Compact"/>
              <w:spacing w:after="20" w:before="20"/>
            </w:pPr>
            <w:r>
              <w:rPr>
                <w:sz w:val="18"/>
              </w:rPr>
              <w:t xml:space="preserve">W4–W5</w:t>
            </w:r>
          </w:p>
        </w:tc>
        <w:tc>
          <w:tcPr>
            <w:tcW w:type="dxa" w:w="4693"/>
            <w:shd w:val="clear" w:color="auto" w:fill="FAFAFA"/>
          </w:tcPr>
          <w:p>
            <w:pPr>
              <w:pStyle w:val="Compact"/>
              <w:spacing w:after="20" w:before="20"/>
            </w:pPr>
            <w:r>
              <w:rPr>
                <w:sz w:val="18"/>
              </w:rPr>
              <w:t xml:space="preserve">Harness optimisation runs; memory build and ablation; harness export</w:t>
            </w:r>
          </w:p>
        </w:tc>
        <w:tc>
          <w:tcPr>
            <w:tcW w:type="dxa" w:w="2405"/>
            <w:shd w:val="clear" w:color="auto" w:fill="FAFAFA"/>
          </w:tcPr>
          <w:p>
            <w:pPr>
              <w:pStyle w:val="Compact"/>
              <w:spacing w:after="20" w:before="20"/>
            </w:pPr>
            <w:r>
              <w:rPr>
                <w:sz w:val="18"/>
              </w:rPr>
              <w:t xml:space="preserve">TA-05, TA-06</w:t>
            </w:r>
          </w:p>
        </w:tc>
      </w:tr>
      <w:tr>
        <w:tc>
          <w:tcPr>
            <w:tcW w:type="dxa" w:w="1649"/>
          </w:tcPr>
          <w:p>
            <w:pPr>
              <w:pStyle w:val="Compact"/>
              <w:spacing w:after="20" w:before="20"/>
            </w:pPr>
            <w:r>
              <w:rPr>
                <w:sz w:val="18"/>
              </w:rPr>
              <w:t xml:space="preserve">4. Custom model</w:t>
            </w:r>
          </w:p>
        </w:tc>
        <w:tc>
          <w:tcPr>
            <w:tcW w:type="dxa" w:w="1045"/>
          </w:tcPr>
          <w:p>
            <w:pPr>
              <w:pStyle w:val="Compact"/>
              <w:spacing w:after="20" w:before="20"/>
            </w:pPr>
            <w:r>
              <w:rPr>
                <w:sz w:val="18"/>
              </w:rPr>
              <w:t xml:space="preserve">W6–W7</w:t>
            </w:r>
          </w:p>
        </w:tc>
        <w:tc>
          <w:tcPr>
            <w:tcW w:type="dxa" w:w="4693"/>
          </w:tcPr>
          <w:p>
            <w:pPr>
              <w:pStyle w:val="Compact"/>
              <w:spacing w:after="20" w:before="20"/>
            </w:pPr>
            <w:r>
              <w:rPr>
                <w:sz w:val="18"/>
              </w:rPr>
              <w:t xml:space="preserve">Base model chosen and approved; fine-tune/RL; export; serving behind Kairos; shadow traffic; latency/cost</w:t>
            </w:r>
          </w:p>
        </w:tc>
        <w:tc>
          <w:tcPr>
            <w:tcW w:type="dxa" w:w="2405"/>
          </w:tcPr>
          <w:p>
            <w:pPr>
              <w:pStyle w:val="Compact"/>
              <w:spacing w:after="20" w:before="20"/>
            </w:pPr>
            <w:r>
              <w:rPr>
                <w:sz w:val="18"/>
              </w:rPr>
              <w:t xml:space="preserve">TA-07, TA-08, TA-09</w:t>
            </w:r>
          </w:p>
        </w:tc>
      </w:tr>
      <w:tr>
        <w:tc>
          <w:tcPr>
            <w:tcW w:type="dxa" w:w="1649"/>
            <w:shd w:val="clear" w:color="auto" w:fill="FAFAFA"/>
          </w:tcPr>
          <w:p>
            <w:pPr>
              <w:pStyle w:val="Compact"/>
              <w:spacing w:after="20" w:before="20"/>
            </w:pPr>
            <w:r>
              <w:rPr>
                <w:sz w:val="18"/>
              </w:rPr>
              <w:t xml:space="preserve">5. Readout</w:t>
            </w:r>
          </w:p>
        </w:tc>
        <w:tc>
          <w:tcPr>
            <w:tcW w:type="dxa" w:w="1045"/>
            <w:shd w:val="clear" w:color="auto" w:fill="FAFAFA"/>
          </w:tcPr>
          <w:p>
            <w:pPr>
              <w:pStyle w:val="Compact"/>
              <w:spacing w:after="20" w:before="20"/>
            </w:pPr>
            <w:r>
              <w:rPr>
                <w:sz w:val="18"/>
              </w:rPr>
              <w:t xml:space="preserve">W8</w:t>
            </w:r>
          </w:p>
        </w:tc>
        <w:tc>
          <w:tcPr>
            <w:tcW w:type="dxa" w:w="4693"/>
            <w:shd w:val="clear" w:color="auto" w:fill="FAFAFA"/>
          </w:tcPr>
          <w:p>
            <w:pPr>
              <w:pStyle w:val="Compact"/>
              <w:spacing w:after="20" w:before="20"/>
            </w:pPr>
            <w:r>
              <w:rPr>
                <w:sz w:val="18"/>
              </w:rPr>
              <w:t xml:space="preserve">Scorecard; operability and vendor review; testimonial draft; go/no-go and commercial proposal</w:t>
            </w:r>
          </w:p>
        </w:tc>
        <w:tc>
          <w:tcPr>
            <w:tcW w:type="dxa" w:w="2405"/>
            <w:shd w:val="clear" w:color="auto" w:fill="FAFAFA"/>
          </w:tcPr>
          <w:p>
            <w:pPr>
              <w:pStyle w:val="Compact"/>
              <w:spacing w:after="20" w:before="20"/>
            </w:pPr>
            <w:r>
              <w:rPr>
                <w:sz w:val="18"/>
              </w:rPr>
              <w:t xml:space="preserve">TA-11, TA-12; scorecard; decision memo</w:t>
            </w:r>
          </w:p>
        </w:tc>
      </w:tr>
    </w:tbl>
    <w:bookmarkStart w:id="53" w:name="raci"/>
    <w:p>
      <w:pPr>
        <w:pStyle w:val="Heading2"/>
      </w:pPr>
      <w:r>
        <w:t xml:space="preserve">7.1 RACI</w:t>
      </w:r>
    </w:p>
    <w:p>
      <w:pPr>
        <w:pStyle w:val="FirstParagraph"/>
      </w:pPr>
      <w:r>
        <w:t xml:space="preserve">R = Responsible, A = Accountable, C = Consulted, I = Informed. Named owners per role: [owner] (to be assigned in Week 0). Pilot lead: Varun Saagar [confirm].</w:t>
      </w:r>
      <w:r>
        <w:t xml:space="preserve"> </w:t>
      </w:r>
      <w:r>
        <w:t xml:space="preserve">“SMEs”</w:t>
      </w:r>
      <w:r>
        <w:t xml:space="preserve"> </w:t>
      </w:r>
      <w:r>
        <w:t xml:space="preserve">= use-case owner and SMEs.</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160"/>
        <w:gridCol w:w="693"/>
        <w:gridCol w:w="693"/>
        <w:gridCol w:w="693"/>
        <w:gridCol w:w="693"/>
        <w:gridCol w:w="693"/>
        <w:gridCol w:w="693"/>
        <w:gridCol w:w="693"/>
        <w:gridCol w:w="693"/>
        <w:gridCol w:w="693"/>
        <w:gridCol w:w="693"/>
        <w:gridCol w:w="693"/>
      </w:tblGrid>
      <w:tr>
        <w:trPr>
          <w:tblHeader w:val="on"/>
          <w:tblHeader w:val="true"/>
        </w:trPr>
        <w:tc>
          <w:tcPr>
            <w:tcW w:type="dxa" w:w="2160"/>
            <w:shd w:val="clear" w:color="auto" w:fill="1F1F1F"/>
          </w:tcPr>
          <w:p>
            <w:pPr>
              <w:pStyle w:val="Compact"/>
              <w:spacing w:after="20" w:before="20"/>
            </w:pPr>
            <w:r>
              <w:rPr>
                <w:b/>
                <w:color w:val="FFFFFF"/>
                <w:sz w:val="14"/>
              </w:rPr>
              <w:t xml:space="preserve">Activity</w:t>
            </w:r>
          </w:p>
        </w:tc>
        <w:tc>
          <w:tcPr>
            <w:tcW w:type="dxa" w:w="694"/>
            <w:shd w:val="clear" w:color="auto" w:fill="1F1F1F"/>
          </w:tcPr>
          <w:p>
            <w:pPr>
              <w:pStyle w:val="Compact"/>
              <w:spacing w:after="20" w:before="20"/>
              <w:jc w:val="center"/>
            </w:pPr>
            <w:r>
              <w:rPr>
                <w:b/>
                <w:color w:val="FFFFFF"/>
                <w:sz w:val="14"/>
              </w:rPr>
              <w:t xml:space="preserve">Sponsor</w:t>
            </w:r>
          </w:p>
        </w:tc>
        <w:tc>
          <w:tcPr>
            <w:tcW w:type="dxa" w:w="694"/>
            <w:shd w:val="clear" w:color="auto" w:fill="1F1F1F"/>
          </w:tcPr>
          <w:p>
            <w:pPr>
              <w:pStyle w:val="Compact"/>
              <w:spacing w:after="20" w:before="20"/>
              <w:jc w:val="center"/>
            </w:pPr>
            <w:r>
              <w:rPr>
                <w:b/>
                <w:color w:val="FFFFFF"/>
                <w:sz w:val="14"/>
              </w:rPr>
              <w:t xml:space="preserve">Pilot lead</w:t>
            </w:r>
          </w:p>
        </w:tc>
        <w:tc>
          <w:tcPr>
            <w:tcW w:type="dxa" w:w="694"/>
            <w:shd w:val="clear" w:color="auto" w:fill="1F1F1F"/>
          </w:tcPr>
          <w:p>
            <w:pPr>
              <w:pStyle w:val="Compact"/>
              <w:spacing w:after="20" w:before="20"/>
              <w:jc w:val="center"/>
            </w:pPr>
            <w:r>
              <w:rPr>
                <w:b/>
                <w:color w:val="FFFFFF"/>
                <w:sz w:val="14"/>
              </w:rPr>
              <w:t xml:space="preserve">Kairos</w:t>
            </w:r>
          </w:p>
        </w:tc>
        <w:tc>
          <w:tcPr>
            <w:tcW w:type="dxa" w:w="694"/>
            <w:shd w:val="clear" w:color="auto" w:fill="1F1F1F"/>
          </w:tcPr>
          <w:p>
            <w:pPr>
              <w:pStyle w:val="Compact"/>
              <w:spacing w:after="20" w:before="20"/>
              <w:jc w:val="center"/>
            </w:pPr>
            <w:r>
              <w:rPr>
                <w:b/>
                <w:color w:val="FFFFFF"/>
                <w:sz w:val="14"/>
              </w:rPr>
              <w:t xml:space="preserve">Agent SDK</w:t>
            </w:r>
          </w:p>
        </w:tc>
        <w:tc>
          <w:tcPr>
            <w:tcW w:type="dxa" w:w="694"/>
            <w:shd w:val="clear" w:color="auto" w:fill="1F1F1F"/>
          </w:tcPr>
          <w:p>
            <w:pPr>
              <w:pStyle w:val="Compact"/>
              <w:spacing w:after="20" w:before="20"/>
              <w:jc w:val="center"/>
            </w:pPr>
            <w:r>
              <w:rPr>
                <w:b/>
                <w:color w:val="FFFFFF"/>
                <w:sz w:val="14"/>
              </w:rPr>
              <w:t xml:space="preserve">Data eng</w:t>
            </w:r>
          </w:p>
        </w:tc>
        <w:tc>
          <w:tcPr>
            <w:tcW w:type="dxa" w:w="694"/>
            <w:shd w:val="clear" w:color="auto" w:fill="1F1F1F"/>
          </w:tcPr>
          <w:p>
            <w:pPr>
              <w:pStyle w:val="Compact"/>
              <w:spacing w:after="20" w:before="20"/>
              <w:jc w:val="center"/>
            </w:pPr>
            <w:r>
              <w:rPr>
                <w:b/>
                <w:color w:val="FFFFFF"/>
                <w:sz w:val="14"/>
              </w:rPr>
              <w:t xml:space="preserve">ML/eval</w:t>
            </w:r>
          </w:p>
        </w:tc>
        <w:tc>
          <w:tcPr>
            <w:tcW w:type="dxa" w:w="694"/>
            <w:shd w:val="clear" w:color="auto" w:fill="1F1F1F"/>
          </w:tcPr>
          <w:p>
            <w:pPr>
              <w:pStyle w:val="Compact"/>
              <w:spacing w:after="20" w:before="20"/>
              <w:jc w:val="center"/>
            </w:pPr>
            <w:r>
              <w:rPr>
                <w:b/>
                <w:color w:val="FFFFFF"/>
                <w:sz w:val="14"/>
              </w:rPr>
              <w:t xml:space="preserve">Security</w:t>
            </w:r>
          </w:p>
        </w:tc>
        <w:tc>
          <w:tcPr>
            <w:tcW w:type="dxa" w:w="694"/>
            <w:shd w:val="clear" w:color="auto" w:fill="1F1F1F"/>
          </w:tcPr>
          <w:p>
            <w:pPr>
              <w:pStyle w:val="Compact"/>
              <w:spacing w:after="20" w:before="20"/>
              <w:jc w:val="center"/>
            </w:pPr>
            <w:r>
              <w:rPr>
                <w:b/>
                <w:color w:val="FFFFFF"/>
                <w:sz w:val="14"/>
              </w:rPr>
              <w:t xml:space="preserve">Privacy/ Legal</w:t>
            </w:r>
          </w:p>
        </w:tc>
        <w:tc>
          <w:tcPr>
            <w:tcW w:type="dxa" w:w="694"/>
            <w:shd w:val="clear" w:color="auto" w:fill="1F1F1F"/>
          </w:tcPr>
          <w:p>
            <w:pPr>
              <w:pStyle w:val="Compact"/>
              <w:spacing w:after="20" w:before="20"/>
              <w:jc w:val="center"/>
            </w:pPr>
            <w:r>
              <w:rPr>
                <w:b/>
                <w:color w:val="FFFFFF"/>
                <w:sz w:val="14"/>
              </w:rPr>
              <w:t xml:space="preserve">SMEs</w:t>
            </w:r>
          </w:p>
        </w:tc>
        <w:tc>
          <w:tcPr>
            <w:tcW w:type="dxa" w:w="694"/>
            <w:shd w:val="clear" w:color="auto" w:fill="1F1F1F"/>
          </w:tcPr>
          <w:p>
            <w:pPr>
              <w:pStyle w:val="Compact"/>
              <w:spacing w:after="20" w:before="20"/>
              <w:jc w:val="center"/>
            </w:pPr>
            <w:r>
              <w:rPr>
                <w:b/>
                <w:color w:val="FFFFFF"/>
                <w:sz w:val="14"/>
              </w:rPr>
              <w:t xml:space="preserve">Procure</w:t>
            </w:r>
            <w:r>
              <w:rPr>
                <w:b/>
                <w:color w:val="FFFFFF"/>
                <w:sz w:val="14"/>
              </w:rPr>
              <w:softHyphen/>
            </w:r>
            <w:r>
              <w:rPr>
                <w:b/>
                <w:color w:val="FFFFFF"/>
                <w:sz w:val="14"/>
              </w:rPr>
              <w:t xml:space="preserve">ment</w:t>
            </w:r>
          </w:p>
        </w:tc>
        <w:tc>
          <w:tcPr>
            <w:tcW w:type="dxa" w:w="694"/>
            <w:shd w:val="clear" w:color="auto" w:fill="1F1F1F"/>
          </w:tcPr>
          <w:p>
            <w:pPr>
              <w:pStyle w:val="Compact"/>
              <w:spacing w:after="20" w:before="20"/>
              <w:jc w:val="center"/>
            </w:pPr>
            <w:r>
              <w:rPr>
                <w:b/>
                <w:color w:val="FFFFFF"/>
                <w:sz w:val="14"/>
              </w:rPr>
              <w:t xml:space="preserve">Lucidic</w:t>
            </w:r>
          </w:p>
        </w:tc>
      </w:tr>
      <w:tr>
        <w:tc>
          <w:tcPr>
            <w:tcW w:type="dxa" w:w="2160"/>
          </w:tcPr>
          <w:p>
            <w:pPr>
              <w:pStyle w:val="Compact"/>
              <w:spacing w:after="20" w:before="20"/>
            </w:pPr>
            <w:r>
              <w:rPr>
                <w:sz w:val="16"/>
              </w:rPr>
              <w:t xml:space="preserve">TPRM, DPA, residency</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R</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A</w:t>
            </w:r>
          </w:p>
        </w:tc>
        <w:tc>
          <w:tcPr>
            <w:tcW w:type="dxa" w:w="694"/>
          </w:tcPr>
          <w:p>
            <w:pPr>
              <w:pStyle w:val="Compact"/>
              <w:spacing w:after="20" w:before="20"/>
              <w:jc w:val="center"/>
            </w:pPr>
            <w:r>
              <w:rPr>
                <w:sz w:val="16"/>
              </w:rPr>
              <w:t xml:space="preserve">R</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R</w:t>
            </w:r>
          </w:p>
        </w:tc>
        <w:tc>
          <w:tcPr>
            <w:tcW w:type="dxa" w:w="694"/>
          </w:tcPr>
          <w:p>
            <w:pPr>
              <w:pStyle w:val="Compact"/>
              <w:spacing w:after="20" w:before="20"/>
              <w:jc w:val="center"/>
            </w:pPr>
            <w:r>
              <w:rPr>
                <w:sz w:val="16"/>
              </w:rPr>
              <w:t xml:space="preserve">C</w:t>
            </w:r>
          </w:p>
        </w:tc>
      </w:tr>
      <w:tr>
        <w:tc>
          <w:tcPr>
            <w:tcW w:type="dxa" w:w="2160"/>
            <w:shd w:val="clear" w:color="auto" w:fill="FAFAFA"/>
          </w:tcPr>
          <w:p>
            <w:pPr>
              <w:pStyle w:val="Compact"/>
              <w:spacing w:after="20" w:before="20"/>
            </w:pPr>
            <w:r>
              <w:rPr>
                <w:sz w:val="16"/>
              </w:rPr>
              <w:t xml:space="preserve">Deployment option decision</w:t>
            </w:r>
          </w:p>
        </w:tc>
        <w:tc>
          <w:tcPr>
            <w:tcW w:type="dxa" w:w="694"/>
            <w:shd w:val="clear" w:color="auto" w:fill="FAFAFA"/>
          </w:tcPr>
          <w:p>
            <w:pPr>
              <w:pStyle w:val="Compact"/>
              <w:spacing w:after="20" w:before="20"/>
              <w:jc w:val="center"/>
            </w:pPr>
            <w:r>
              <w:rPr>
                <w:sz w:val="16"/>
              </w:rPr>
              <w:t xml:space="preserve">A</w:t>
            </w:r>
          </w:p>
        </w:tc>
        <w:tc>
          <w:tcPr>
            <w:tcW w:type="dxa" w:w="694"/>
            <w:shd w:val="clear" w:color="auto" w:fill="FAFAFA"/>
          </w:tcPr>
          <w:p>
            <w:pPr>
              <w:pStyle w:val="Compact"/>
              <w:spacing w:after="20" w:before="20"/>
              <w:jc w:val="center"/>
            </w:pPr>
            <w:r>
              <w:rPr>
                <w:sz w:val="16"/>
              </w:rPr>
              <w:t xml:space="preserve">R</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R</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C</w:t>
            </w:r>
          </w:p>
        </w:tc>
      </w:tr>
      <w:tr>
        <w:tc>
          <w:tcPr>
            <w:tcW w:type="dxa" w:w="2160"/>
          </w:tcPr>
          <w:p>
            <w:pPr>
              <w:pStyle w:val="Compact"/>
              <w:spacing w:after="20" w:before="20"/>
            </w:pPr>
            <w:r>
              <w:rPr>
                <w:sz w:val="16"/>
              </w:rPr>
              <w:t xml:space="preserve">Collector redaction</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R</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A</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r>
      <w:tr>
        <w:tc>
          <w:tcPr>
            <w:tcW w:type="dxa" w:w="2160"/>
            <w:shd w:val="clear" w:color="auto" w:fill="FAFAFA"/>
          </w:tcPr>
          <w:p>
            <w:pPr>
              <w:pStyle w:val="Compact"/>
              <w:spacing w:after="20" w:before="20"/>
            </w:pPr>
            <w:r>
              <w:rPr>
                <w:sz w:val="16"/>
              </w:rPr>
              <w:t xml:space="preserve">Adapter / OTLP ingest</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A</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R</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R</w:t>
            </w:r>
          </w:p>
        </w:tc>
      </w:tr>
      <w:tr>
        <w:tc>
          <w:tcPr>
            <w:tcW w:type="dxa" w:w="2160"/>
          </w:tcPr>
          <w:p>
            <w:pPr>
              <w:pStyle w:val="Compact"/>
              <w:spacing w:after="20" w:before="20"/>
            </w:pPr>
            <w:r>
              <w:rPr>
                <w:sz w:val="16"/>
              </w:rPr>
              <w:t xml:space="preserve">Reward and eval definitions</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A</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R</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R</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C</w:t>
            </w:r>
          </w:p>
        </w:tc>
      </w:tr>
      <w:tr>
        <w:tc>
          <w:tcPr>
            <w:tcW w:type="dxa" w:w="2160"/>
            <w:shd w:val="clear" w:color="auto" w:fill="FAFAFA"/>
          </w:tcPr>
          <w:p>
            <w:pPr>
              <w:pStyle w:val="Compact"/>
              <w:spacing w:after="20" w:before="20"/>
            </w:pPr>
            <w:r>
              <w:rPr>
                <w:sz w:val="16"/>
              </w:rPr>
              <w:t xml:space="preserve">Simulation and replay</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A</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R</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R</w:t>
            </w:r>
          </w:p>
        </w:tc>
      </w:tr>
      <w:tr>
        <w:tc>
          <w:tcPr>
            <w:tcW w:type="dxa" w:w="2160"/>
          </w:tcPr>
          <w:p>
            <w:pPr>
              <w:pStyle w:val="Compact"/>
              <w:spacing w:after="20" w:before="20"/>
            </w:pPr>
            <w:r>
              <w:rPr>
                <w:sz w:val="16"/>
              </w:rPr>
              <w:t xml:space="preserve">Harness and memory optimisation</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A</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R</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R</w:t>
            </w:r>
          </w:p>
        </w:tc>
      </w:tr>
      <w:tr>
        <w:tc>
          <w:tcPr>
            <w:tcW w:type="dxa" w:w="2160"/>
            <w:shd w:val="clear" w:color="auto" w:fill="FAFAFA"/>
          </w:tcPr>
          <w:p>
            <w:pPr>
              <w:pStyle w:val="Compact"/>
              <w:spacing w:after="20" w:before="20"/>
            </w:pPr>
            <w:r>
              <w:rPr>
                <w:sz w:val="16"/>
              </w:rPr>
              <w:t xml:space="preserve">Fine-tuning and export</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A</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R</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I</w:t>
            </w:r>
          </w:p>
        </w:tc>
        <w:tc>
          <w:tcPr>
            <w:tcW w:type="dxa" w:w="694"/>
            <w:shd w:val="clear" w:color="auto" w:fill="FAFAFA"/>
          </w:tcPr>
          <w:p>
            <w:pPr>
              <w:pStyle w:val="Compact"/>
              <w:spacing w:after="20" w:before="20"/>
              <w:jc w:val="center"/>
            </w:pPr>
            <w:r>
              <w:rPr>
                <w:sz w:val="16"/>
              </w:rPr>
              <w:t xml:space="preserve">R</w:t>
            </w:r>
          </w:p>
        </w:tc>
      </w:tr>
      <w:tr>
        <w:tc>
          <w:tcPr>
            <w:tcW w:type="dxa" w:w="2160"/>
          </w:tcPr>
          <w:p>
            <w:pPr>
              <w:pStyle w:val="Compact"/>
              <w:spacing w:after="20" w:before="20"/>
            </w:pPr>
            <w:r>
              <w:rPr>
                <w:sz w:val="16"/>
              </w:rPr>
              <w:t xml:space="preserve">Serving behind Kairos</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A</w:t>
            </w:r>
          </w:p>
        </w:tc>
        <w:tc>
          <w:tcPr>
            <w:tcW w:type="dxa" w:w="694"/>
          </w:tcPr>
          <w:p>
            <w:pPr>
              <w:pStyle w:val="Compact"/>
              <w:spacing w:after="20" w:before="20"/>
              <w:jc w:val="center"/>
            </w:pPr>
            <w:r>
              <w:rPr>
                <w:sz w:val="16"/>
              </w:rPr>
              <w:t xml:space="preserve">R</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C</w:t>
            </w:r>
          </w:p>
        </w:tc>
      </w:tr>
      <w:tr>
        <w:tc>
          <w:tcPr>
            <w:tcW w:type="dxa" w:w="2160"/>
            <w:shd w:val="clear" w:color="auto" w:fill="FAFAFA"/>
          </w:tcPr>
          <w:p>
            <w:pPr>
              <w:pStyle w:val="Compact"/>
              <w:spacing w:after="20" w:before="20"/>
            </w:pPr>
            <w:r>
              <w:rPr>
                <w:sz w:val="16"/>
              </w:rPr>
              <w:t xml:space="preserve">Scorecard and readout</w:t>
            </w:r>
          </w:p>
        </w:tc>
        <w:tc>
          <w:tcPr>
            <w:tcW w:type="dxa" w:w="694"/>
            <w:shd w:val="clear" w:color="auto" w:fill="FAFAFA"/>
          </w:tcPr>
          <w:p>
            <w:pPr>
              <w:pStyle w:val="Compact"/>
              <w:spacing w:after="20" w:before="20"/>
              <w:jc w:val="center"/>
            </w:pPr>
            <w:r>
              <w:rPr>
                <w:sz w:val="16"/>
              </w:rPr>
              <w:t xml:space="preserve">A</w:t>
            </w:r>
          </w:p>
        </w:tc>
        <w:tc>
          <w:tcPr>
            <w:tcW w:type="dxa" w:w="694"/>
            <w:shd w:val="clear" w:color="auto" w:fill="FAFAFA"/>
          </w:tcPr>
          <w:p>
            <w:pPr>
              <w:pStyle w:val="Compact"/>
              <w:spacing w:after="20" w:before="20"/>
              <w:jc w:val="center"/>
            </w:pPr>
            <w:r>
              <w:rPr>
                <w:sz w:val="16"/>
              </w:rPr>
              <w:t xml:space="preserve">R</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R</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c>
          <w:tcPr>
            <w:tcW w:type="dxa" w:w="694"/>
            <w:shd w:val="clear" w:color="auto" w:fill="FAFAFA"/>
          </w:tcPr>
          <w:p>
            <w:pPr>
              <w:pStyle w:val="Compact"/>
              <w:spacing w:after="20" w:before="20"/>
              <w:jc w:val="center"/>
            </w:pPr>
            <w:r>
              <w:rPr>
                <w:sz w:val="16"/>
              </w:rPr>
              <w:t xml:space="preserve">C</w:t>
            </w:r>
          </w:p>
        </w:tc>
      </w:tr>
      <w:tr>
        <w:tc>
          <w:tcPr>
            <w:tcW w:type="dxa" w:w="2160"/>
          </w:tcPr>
          <w:p>
            <w:pPr>
              <w:pStyle w:val="Compact"/>
              <w:spacing w:after="20" w:before="20"/>
            </w:pPr>
            <w:r>
              <w:rPr>
                <w:sz w:val="16"/>
              </w:rPr>
              <w:t xml:space="preserve">Commercials</w:t>
            </w:r>
          </w:p>
        </w:tc>
        <w:tc>
          <w:tcPr>
            <w:tcW w:type="dxa" w:w="694"/>
          </w:tcPr>
          <w:p>
            <w:pPr>
              <w:pStyle w:val="Compact"/>
              <w:spacing w:after="20" w:before="20"/>
              <w:jc w:val="center"/>
            </w:pPr>
            <w:r>
              <w:rPr>
                <w:sz w:val="16"/>
              </w:rPr>
              <w:t xml:space="preserve">A</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C</w:t>
            </w:r>
          </w:p>
        </w:tc>
        <w:tc>
          <w:tcPr>
            <w:tcW w:type="dxa" w:w="694"/>
          </w:tcPr>
          <w:p>
            <w:pPr>
              <w:pStyle w:val="Compact"/>
              <w:spacing w:after="20" w:before="20"/>
              <w:jc w:val="center"/>
            </w:pPr>
            <w:r>
              <w:rPr>
                <w:sz w:val="16"/>
              </w:rPr>
              <w:t xml:space="preserve">I</w:t>
            </w:r>
          </w:p>
        </w:tc>
        <w:tc>
          <w:tcPr>
            <w:tcW w:type="dxa" w:w="694"/>
          </w:tcPr>
          <w:p>
            <w:pPr>
              <w:pStyle w:val="Compact"/>
              <w:spacing w:after="20" w:before="20"/>
              <w:jc w:val="center"/>
            </w:pPr>
            <w:r>
              <w:rPr>
                <w:sz w:val="16"/>
              </w:rPr>
              <w:t xml:space="preserve">R</w:t>
            </w:r>
          </w:p>
        </w:tc>
        <w:tc>
          <w:tcPr>
            <w:tcW w:type="dxa" w:w="694"/>
          </w:tcPr>
          <w:p>
            <w:pPr>
              <w:pStyle w:val="Compact"/>
              <w:spacing w:after="20" w:before="20"/>
              <w:jc w:val="center"/>
            </w:pPr>
            <w:r>
              <w:rPr>
                <w:sz w:val="16"/>
              </w:rPr>
              <w:t xml:space="preserve">R</w:t>
            </w:r>
          </w:p>
        </w:tc>
      </w:tr>
    </w:tbl>
    <w:bookmarkEnd w:id="53"/>
    <w:bookmarkEnd w:id="54"/>
    <w:bookmarkStart w:id="58" w:name="testimonial-and-beta-readiness-criteria"/>
    <w:p>
      <w:pPr>
        <w:pStyle w:val="Heading1"/>
      </w:pPr>
      <w:r>
        <w:t xml:space="preserve">8. Testimonial and beta-readiness criteria</w:t>
      </w:r>
    </w:p>
    <w:p>
      <w:pPr>
        <w:pStyle w:val="FirstParagraph"/>
      </w:pPr>
      <w:r>
        <w:t xml:space="preserve">The POC result is offered to other Verizon teams as a beta only when the internal evidence below exists.</w:t>
      </w:r>
      <w:r>
        <w:t xml:space="preserve"> </w:t>
      </w:r>
      <w:r>
        <w:t xml:space="preserve">“Testimonial”</w:t>
      </w:r>
      <w:r>
        <w:t xml:space="preserve"> </w:t>
      </w:r>
      <w:r>
        <w:t xml:space="preserve">means an internal, evidence-backed case study, not marketing material; any external reference by Lucidic requires separate Verizon approval.</w:t>
      </w:r>
    </w:p>
    <w:bookmarkStart w:id="55" w:name="entry-criteria-for-beta"/>
    <w:p>
      <w:pPr>
        <w:pStyle w:val="Heading2"/>
      </w:pPr>
      <w:r>
        <w:t xml:space="preserve">8.1 Entry criteria for beta</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460"/>
        <w:gridCol w:w="7331"/>
      </w:tblGrid>
      <w:tr>
        <w:trPr>
          <w:tblHeader w:val="on"/>
          <w:tblHeader w:val="true"/>
        </w:trPr>
        <w:tc>
          <w:tcPr>
            <w:tcW w:type="dxa" w:w="2460"/>
            <w:shd w:val="clear" w:color="auto" w:fill="1F1F1F"/>
          </w:tcPr>
          <w:p>
            <w:pPr>
              <w:pStyle w:val="Compact"/>
              <w:spacing w:after="20" w:before="20"/>
            </w:pPr>
            <w:r>
              <w:rPr>
                <w:b/>
                <w:color w:val="FFFFFF"/>
                <w:sz w:val="18"/>
              </w:rPr>
              <w:t xml:space="preserve">Criterion</w:t>
            </w:r>
          </w:p>
        </w:tc>
        <w:tc>
          <w:tcPr>
            <w:tcW w:type="dxa" w:w="7332"/>
            <w:shd w:val="clear" w:color="auto" w:fill="1F1F1F"/>
          </w:tcPr>
          <w:p>
            <w:pPr>
              <w:pStyle w:val="Compact"/>
              <w:spacing w:after="20" w:before="20"/>
            </w:pPr>
            <w:r>
              <w:rPr>
                <w:b/>
                <w:color w:val="FFFFFF"/>
                <w:sz w:val="18"/>
              </w:rPr>
              <w:t xml:space="preserve">Threshold</w:t>
            </w:r>
          </w:p>
        </w:tc>
      </w:tr>
      <w:tr>
        <w:tc>
          <w:tcPr>
            <w:tcW w:type="dxa" w:w="2460"/>
            <w:shd w:val="clear" w:color="auto" w:fill="F2F2F2"/>
          </w:tcPr>
          <w:p>
            <w:pPr>
              <w:pStyle w:val="Compact"/>
              <w:spacing w:after="20" w:before="20"/>
            </w:pPr>
            <w:r>
              <w:rPr>
                <w:b/>
                <w:sz w:val="18"/>
              </w:rPr>
              <w:t xml:space="preserve">Scorecard</w:t>
            </w:r>
          </w:p>
        </w:tc>
        <w:tc>
          <w:tcPr>
            <w:tcW w:type="dxa" w:w="7332"/>
          </w:tcPr>
          <w:p>
            <w:pPr>
              <w:pStyle w:val="Compact"/>
              <w:spacing w:after="20" w:before="20"/>
            </w:pPr>
            <w:r>
              <w:rPr>
                <w:sz w:val="18"/>
              </w:rPr>
              <w:t xml:space="preserve">Weighted score ≥ [75]/100 and all gates passed (Section 9)</w:t>
            </w:r>
          </w:p>
        </w:tc>
      </w:tr>
      <w:tr>
        <w:tc>
          <w:tcPr>
            <w:tcW w:type="dxa" w:w="2460"/>
            <w:shd w:val="clear" w:color="auto" w:fill="F2F2F2"/>
          </w:tcPr>
          <w:p>
            <w:pPr>
              <w:pStyle w:val="Compact"/>
              <w:spacing w:after="20" w:before="20"/>
            </w:pPr>
            <w:r>
              <w:rPr>
                <w:b/>
                <w:sz w:val="18"/>
              </w:rPr>
              <w:t xml:space="preserve">Quality lift</w:t>
            </w:r>
          </w:p>
        </w:tc>
        <w:tc>
          <w:tcPr>
            <w:tcW w:type="dxa" w:w="7332"/>
            <w:shd w:val="clear" w:color="auto" w:fill="FAFAFA"/>
          </w:tcPr>
          <w:p>
            <w:pPr>
              <w:pStyle w:val="Compact"/>
              <w:spacing w:after="20" w:before="20"/>
            </w:pPr>
            <w:r>
              <w:rPr>
                <w:sz w:val="18"/>
              </w:rPr>
              <w:t xml:space="preserve">Held-out lift ≥ +[X] pp task success (harness and/or model), sustained in ≥ [2] weeks of shadow traffic</w:t>
            </w:r>
          </w:p>
        </w:tc>
      </w:tr>
      <w:tr>
        <w:tc>
          <w:tcPr>
            <w:tcW w:type="dxa" w:w="2460"/>
            <w:shd w:val="clear" w:color="auto" w:fill="F2F2F2"/>
          </w:tcPr>
          <w:p>
            <w:pPr>
              <w:pStyle w:val="Compact"/>
              <w:spacing w:after="20" w:before="20"/>
            </w:pPr>
            <w:r>
              <w:rPr>
                <w:b/>
                <w:sz w:val="18"/>
              </w:rPr>
              <w:t xml:space="preserve">Cost / latency</w:t>
            </w:r>
          </w:p>
        </w:tc>
        <w:tc>
          <w:tcPr>
            <w:tcW w:type="dxa" w:w="7332"/>
          </w:tcPr>
          <w:p>
            <w:pPr>
              <w:pStyle w:val="Compact"/>
              <w:spacing w:after="20" w:before="20"/>
            </w:pPr>
            <w:r>
              <w:rPr>
                <w:sz w:val="18"/>
              </w:rPr>
              <w:t xml:space="preserve">Cost per resolved task ≤ [Y]% of baseline; p95 latency ≤ [Z ms]</w:t>
            </w:r>
          </w:p>
        </w:tc>
      </w:tr>
      <w:tr>
        <w:tc>
          <w:tcPr>
            <w:tcW w:type="dxa" w:w="2460"/>
            <w:shd w:val="clear" w:color="auto" w:fill="F2F2F2"/>
          </w:tcPr>
          <w:p>
            <w:pPr>
              <w:pStyle w:val="Compact"/>
              <w:spacing w:after="20" w:before="20"/>
            </w:pPr>
            <w:r>
              <w:rPr>
                <w:b/>
                <w:sz w:val="18"/>
              </w:rPr>
              <w:t xml:space="preserve">Zero process change</w:t>
            </w:r>
          </w:p>
        </w:tc>
        <w:tc>
          <w:tcPr>
            <w:tcW w:type="dxa" w:w="7332"/>
            <w:shd w:val="clear" w:color="auto" w:fill="FAFAFA"/>
          </w:tcPr>
          <w:p>
            <w:pPr>
              <w:pStyle w:val="Compact"/>
              <w:spacing w:after="20" w:before="20"/>
            </w:pPr>
            <w:r>
              <w:rPr>
                <w:sz w:val="18"/>
              </w:rPr>
              <w:t xml:space="preserve">Second use case onboarded via config only (or a credible plan, if only one use case ran)</w:t>
            </w:r>
          </w:p>
        </w:tc>
      </w:tr>
      <w:tr>
        <w:tc>
          <w:tcPr>
            <w:tcW w:type="dxa" w:w="2460"/>
            <w:shd w:val="clear" w:color="auto" w:fill="F2F2F2"/>
          </w:tcPr>
          <w:p>
            <w:pPr>
              <w:pStyle w:val="Compact"/>
              <w:spacing w:after="20" w:before="20"/>
            </w:pPr>
            <w:r>
              <w:rPr>
                <w:b/>
                <w:sz w:val="18"/>
              </w:rPr>
              <w:t xml:space="preserve">Portability</w:t>
            </w:r>
          </w:p>
        </w:tc>
        <w:tc>
          <w:tcPr>
            <w:tcW w:type="dxa" w:w="7332"/>
          </w:tcPr>
          <w:p>
            <w:pPr>
              <w:pStyle w:val="Compact"/>
              <w:spacing w:after="20" w:before="20"/>
            </w:pPr>
            <w:r>
              <w:rPr>
                <w:sz w:val="18"/>
              </w:rPr>
              <w:t xml:space="preserve">Custom model and harness served behind Kairos with no Lucidic inference dependency</w:t>
            </w:r>
          </w:p>
        </w:tc>
      </w:tr>
      <w:tr>
        <w:tc>
          <w:tcPr>
            <w:tcW w:type="dxa" w:w="2460"/>
            <w:shd w:val="clear" w:color="auto" w:fill="F2F2F2"/>
          </w:tcPr>
          <w:p>
            <w:pPr>
              <w:pStyle w:val="Compact"/>
              <w:spacing w:after="20" w:before="20"/>
            </w:pPr>
            <w:r>
              <w:rPr>
                <w:b/>
                <w:sz w:val="18"/>
              </w:rPr>
              <w:t xml:space="preserve">Security</w:t>
            </w:r>
          </w:p>
        </w:tc>
        <w:tc>
          <w:tcPr>
            <w:tcW w:type="dxa" w:w="7332"/>
            <w:shd w:val="clear" w:color="auto" w:fill="FAFAFA"/>
          </w:tcPr>
          <w:p>
            <w:pPr>
              <w:pStyle w:val="Compact"/>
              <w:spacing w:after="20" w:before="20"/>
            </w:pPr>
            <w:r>
              <w:rPr>
                <w:sz w:val="18"/>
              </w:rPr>
              <w:t xml:space="preserve">Production deployment model agreed; TPRM production tier approved or on a defined path</w:t>
            </w:r>
          </w:p>
        </w:tc>
      </w:tr>
      <w:tr>
        <w:tc>
          <w:tcPr>
            <w:tcW w:type="dxa" w:w="2460"/>
            <w:shd w:val="clear" w:color="auto" w:fill="F2F2F2"/>
          </w:tcPr>
          <w:p>
            <w:pPr>
              <w:pStyle w:val="Compact"/>
              <w:spacing w:after="20" w:before="20"/>
            </w:pPr>
            <w:r>
              <w:rPr>
                <w:b/>
                <w:sz w:val="18"/>
              </w:rPr>
              <w:t xml:space="preserve">Effort</w:t>
            </w:r>
          </w:p>
        </w:tc>
        <w:tc>
          <w:tcPr>
            <w:tcW w:type="dxa" w:w="7332"/>
          </w:tcPr>
          <w:p>
            <w:pPr>
              <w:pStyle w:val="Compact"/>
              <w:spacing w:after="20" w:before="20"/>
            </w:pPr>
            <w:r>
              <w:rPr>
                <w:sz w:val="18"/>
              </w:rPr>
              <w:t xml:space="preserve">Onboarding a new team ≤ [N] person-days Verizon effort</w:t>
            </w:r>
          </w:p>
        </w:tc>
      </w:tr>
    </w:tbl>
    <w:bookmarkEnd w:id="55"/>
    <w:bookmarkStart w:id="56" w:name="required-artefacts"/>
    <w:p>
      <w:pPr>
        <w:pStyle w:val="Heading2"/>
      </w:pPr>
      <w:r>
        <w:t xml:space="preserve">8.2 Required artefacts</w:t>
      </w:r>
    </w:p>
    <w:p>
      <w:pPr>
        <w:pStyle w:val="Compact"/>
        <w:numPr>
          <w:ilvl w:val="0"/>
          <w:numId w:val="1012"/>
        </w:numPr>
      </w:pPr>
      <w:r>
        <w:rPr>
          <w:b/>
          <w:bCs/>
        </w:rPr>
        <w:t xml:space="preserve">Case study</w:t>
      </w:r>
      <w:r>
        <w:t xml:space="preserve"> </w:t>
      </w:r>
      <w:r>
        <w:t xml:space="preserve">(template below).</w:t>
      </w:r>
    </w:p>
    <w:p>
      <w:pPr>
        <w:pStyle w:val="Compact"/>
        <w:numPr>
          <w:ilvl w:val="0"/>
          <w:numId w:val="1012"/>
        </w:numPr>
      </w:pPr>
      <w:r>
        <w:rPr>
          <w:b/>
          <w:bCs/>
        </w:rPr>
        <w:t xml:space="preserve">Metrics pack:</w:t>
      </w:r>
      <w:r>
        <w:t xml:space="preserve"> </w:t>
      </w:r>
      <w:r>
        <w:t xml:space="preserve">baseline vs optimised results with confidence intervals, per-session data, cost and latency from Kairos.</w:t>
      </w:r>
    </w:p>
    <w:p>
      <w:pPr>
        <w:pStyle w:val="Compact"/>
        <w:numPr>
          <w:ilvl w:val="0"/>
          <w:numId w:val="1012"/>
        </w:numPr>
      </w:pPr>
      <w:r>
        <w:rPr>
          <w:b/>
          <w:bCs/>
        </w:rPr>
        <w:t xml:space="preserve">Runbook:</w:t>
      </w:r>
      <w:r>
        <w:t xml:space="preserve"> </w:t>
      </w:r>
      <w:r>
        <w:t xml:space="preserve">ingest, redaction, simulation, optimisation, training, export, serving, rollback, incident handling, deletion.</w:t>
      </w:r>
    </w:p>
    <w:p>
      <w:pPr>
        <w:pStyle w:val="Compact"/>
        <w:numPr>
          <w:ilvl w:val="0"/>
          <w:numId w:val="1012"/>
        </w:numPr>
      </w:pPr>
      <w:r>
        <w:rPr>
          <w:b/>
          <w:bCs/>
        </w:rPr>
        <w:t xml:space="preserve">Onboarding guide</w:t>
      </w:r>
      <w:r>
        <w:t xml:space="preserve"> </w:t>
      </w:r>
      <w:r>
        <w:t xml:space="preserve">for new teams: prerequisites, data requirements, reward design guidance, tool schema format, Kairos route registration, expected timeline and effort.</w:t>
      </w:r>
    </w:p>
    <w:p>
      <w:pPr>
        <w:pStyle w:val="Compact"/>
        <w:numPr>
          <w:ilvl w:val="0"/>
          <w:numId w:val="1012"/>
        </w:numPr>
      </w:pPr>
      <w:r>
        <w:rPr>
          <w:b/>
          <w:bCs/>
        </w:rPr>
        <w:t xml:space="preserve">Reference architecture</w:t>
      </w:r>
      <w:r>
        <w:t xml:space="preserve"> </w:t>
      </w:r>
      <w:r>
        <w:t xml:space="preserve">and data-flow diagram approved by Security.</w:t>
      </w:r>
    </w:p>
    <w:p>
      <w:pPr>
        <w:pStyle w:val="Compact"/>
        <w:numPr>
          <w:ilvl w:val="0"/>
          <w:numId w:val="1012"/>
        </w:numPr>
      </w:pPr>
      <w:r>
        <w:rPr>
          <w:b/>
          <w:bCs/>
        </w:rPr>
        <w:t xml:space="preserve">Security and compliance pack:</w:t>
      </w:r>
      <w:r>
        <w:t xml:space="preserve"> </w:t>
      </w:r>
      <w:r>
        <w:t xml:space="preserve">TPRM decision, DPA, redaction test, residency decision.</w:t>
      </w:r>
    </w:p>
    <w:p>
      <w:pPr>
        <w:pStyle w:val="Compact"/>
        <w:numPr>
          <w:ilvl w:val="0"/>
          <w:numId w:val="1012"/>
        </w:numPr>
      </w:pPr>
      <w:r>
        <w:rPr>
          <w:b/>
          <w:bCs/>
        </w:rPr>
        <w:t xml:space="preserve">Commercial model:</w:t>
      </w:r>
      <w:r>
        <w:t xml:space="preserve"> </w:t>
      </w:r>
      <w:r>
        <w:t xml:space="preserve">unit pricing and TCO per use case.</w:t>
      </w:r>
    </w:p>
    <w:bookmarkEnd w:id="56"/>
    <w:bookmarkStart w:id="57" w:name="case-study-template"/>
    <w:p>
      <w:pPr>
        <w:pStyle w:val="Heading2"/>
      </w:pPr>
      <w:r>
        <w:t xml:space="preserve">8.3 Case study template</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115"/>
        <w:gridCol w:w="6676"/>
      </w:tblGrid>
      <w:tr>
        <w:trPr>
          <w:tblHeader w:val="on"/>
          <w:tblHeader w:val="true"/>
        </w:trPr>
        <w:tc>
          <w:tcPr>
            <w:tcW w:type="dxa" w:w="3116"/>
            <w:shd w:val="clear" w:color="auto" w:fill="1F1F1F"/>
          </w:tcPr>
          <w:p>
            <w:pPr>
              <w:pStyle w:val="Compact"/>
              <w:spacing w:after="20" w:before="20"/>
            </w:pPr>
            <w:r>
              <w:rPr>
                <w:b/>
                <w:color w:val="FFFFFF"/>
                <w:sz w:val="18"/>
              </w:rPr>
              <w:t xml:space="preserve">Section</w:t>
            </w:r>
          </w:p>
        </w:tc>
        <w:tc>
          <w:tcPr>
            <w:tcW w:type="dxa" w:w="6676"/>
            <w:shd w:val="clear" w:color="auto" w:fill="1F1F1F"/>
          </w:tcPr>
          <w:p>
            <w:pPr>
              <w:pStyle w:val="Compact"/>
              <w:spacing w:after="20" w:before="20"/>
            </w:pPr>
            <w:r>
              <w:rPr>
                <w:b/>
                <w:color w:val="FFFFFF"/>
                <w:sz w:val="18"/>
              </w:rPr>
              <w:t xml:space="preserve">Content</w:t>
            </w:r>
          </w:p>
        </w:tc>
      </w:tr>
      <w:tr>
        <w:tc>
          <w:tcPr>
            <w:tcW w:type="dxa" w:w="3116"/>
            <w:shd w:val="clear" w:color="auto" w:fill="F2F2F2"/>
          </w:tcPr>
          <w:p>
            <w:pPr>
              <w:pStyle w:val="Compact"/>
              <w:spacing w:after="20" w:before="20"/>
            </w:pPr>
            <w:r>
              <w:rPr>
                <w:b/>
                <w:sz w:val="18"/>
              </w:rPr>
              <w:t xml:space="preserve">Use case and team</w:t>
            </w:r>
          </w:p>
        </w:tc>
        <w:tc>
          <w:tcPr>
            <w:tcW w:type="dxa" w:w="6676"/>
          </w:tcPr>
          <w:p>
            <w:pPr>
              <w:pStyle w:val="Compact"/>
              <w:spacing w:after="20" w:before="20"/>
            </w:pPr>
            <w:r>
              <w:rPr>
                <w:sz w:val="18"/>
              </w:rPr>
              <w:t xml:space="preserve">[use case], [team], [users affected]</w:t>
            </w:r>
          </w:p>
        </w:tc>
      </w:tr>
      <w:tr>
        <w:tc>
          <w:tcPr>
            <w:tcW w:type="dxa" w:w="3116"/>
            <w:shd w:val="clear" w:color="auto" w:fill="F2F2F2"/>
          </w:tcPr>
          <w:p>
            <w:pPr>
              <w:pStyle w:val="Compact"/>
              <w:spacing w:after="20" w:before="20"/>
            </w:pPr>
            <w:r>
              <w:rPr>
                <w:b/>
                <w:sz w:val="18"/>
              </w:rPr>
              <w:t xml:space="preserve">Problem and baseline</w:t>
            </w:r>
          </w:p>
        </w:tc>
        <w:tc>
          <w:tcPr>
            <w:tcW w:type="dxa" w:w="6676"/>
            <w:shd w:val="clear" w:color="auto" w:fill="FAFAFA"/>
          </w:tcPr>
          <w:p>
            <w:pPr>
              <w:pStyle w:val="Compact"/>
              <w:spacing w:after="20" w:before="20"/>
            </w:pPr>
            <w:r>
              <w:rPr>
                <w:sz w:val="18"/>
              </w:rPr>
              <w:t xml:space="preserve">Baseline metrics on the held-out set, period, model and route</w:t>
            </w:r>
          </w:p>
        </w:tc>
      </w:tr>
      <w:tr>
        <w:tc>
          <w:tcPr>
            <w:tcW w:type="dxa" w:w="3116"/>
            <w:shd w:val="clear" w:color="auto" w:fill="F2F2F2"/>
          </w:tcPr>
          <w:p>
            <w:pPr>
              <w:pStyle w:val="Compact"/>
              <w:spacing w:after="20" w:before="20"/>
            </w:pPr>
            <w:r>
              <w:rPr>
                <w:b/>
                <w:sz w:val="18"/>
              </w:rPr>
              <w:t xml:space="preserve">Approach</w:t>
            </w:r>
          </w:p>
        </w:tc>
        <w:tc>
          <w:tcPr>
            <w:tcW w:type="dxa" w:w="6676"/>
          </w:tcPr>
          <w:p>
            <w:pPr>
              <w:pStyle w:val="Compact"/>
              <w:spacing w:after="20" w:before="20"/>
            </w:pPr>
            <w:r>
              <w:rPr>
                <w:sz w:val="18"/>
              </w:rPr>
              <w:t xml:space="preserve">Data used (volume, period, redaction), simulation, harness changes, memory, model</w:t>
            </w:r>
          </w:p>
        </w:tc>
      </w:tr>
      <w:tr>
        <w:tc>
          <w:tcPr>
            <w:tcW w:type="dxa" w:w="3116"/>
            <w:shd w:val="clear" w:color="auto" w:fill="F2F2F2"/>
          </w:tcPr>
          <w:p>
            <w:pPr>
              <w:pStyle w:val="Compact"/>
              <w:spacing w:after="20" w:before="20"/>
            </w:pPr>
            <w:r>
              <w:rPr>
                <w:b/>
                <w:sz w:val="18"/>
              </w:rPr>
              <w:t xml:space="preserve">Results</w:t>
            </w:r>
          </w:p>
        </w:tc>
        <w:tc>
          <w:tcPr>
            <w:tcW w:type="dxa" w:w="6676"/>
            <w:shd w:val="clear" w:color="auto" w:fill="FAFAFA"/>
          </w:tcPr>
          <w:p>
            <w:pPr>
              <w:pStyle w:val="Compact"/>
              <w:spacing w:after="20" w:before="20"/>
            </w:pPr>
            <w:r>
              <w:rPr>
                <w:sz w:val="18"/>
              </w:rPr>
              <w:t xml:space="preserve">[task success Δ], [resolution/CSAT Δ], [cost Δ], [latency Δ], with confidence intervals</w:t>
            </w:r>
          </w:p>
        </w:tc>
      </w:tr>
      <w:tr>
        <w:tc>
          <w:tcPr>
            <w:tcW w:type="dxa" w:w="3116"/>
            <w:shd w:val="clear" w:color="auto" w:fill="F2F2F2"/>
          </w:tcPr>
          <w:p>
            <w:pPr>
              <w:pStyle w:val="Compact"/>
              <w:spacing w:after="20" w:before="20"/>
            </w:pPr>
            <w:r>
              <w:rPr>
                <w:b/>
                <w:sz w:val="18"/>
              </w:rPr>
              <w:t xml:space="preserve">What changed in production</w:t>
            </w:r>
          </w:p>
        </w:tc>
        <w:tc>
          <w:tcPr>
            <w:tcW w:type="dxa" w:w="6676"/>
          </w:tcPr>
          <w:p>
            <w:pPr>
              <w:pStyle w:val="Compact"/>
              <w:spacing w:after="20" w:before="20"/>
            </w:pPr>
            <w:r>
              <w:rPr>
                <w:sz w:val="18"/>
              </w:rPr>
              <w:t xml:space="preserve">Kairos route, harness config version, rollout scope</w:t>
            </w:r>
          </w:p>
        </w:tc>
      </w:tr>
      <w:tr>
        <w:tc>
          <w:tcPr>
            <w:tcW w:type="dxa" w:w="3116"/>
            <w:shd w:val="clear" w:color="auto" w:fill="F2F2F2"/>
          </w:tcPr>
          <w:p>
            <w:pPr>
              <w:pStyle w:val="Compact"/>
              <w:spacing w:after="20" w:before="20"/>
            </w:pPr>
            <w:r>
              <w:rPr>
                <w:b/>
                <w:sz w:val="18"/>
              </w:rPr>
              <w:t xml:space="preserve">Effort and timeline</w:t>
            </w:r>
          </w:p>
        </w:tc>
        <w:tc>
          <w:tcPr>
            <w:tcW w:type="dxa" w:w="6676"/>
            <w:shd w:val="clear" w:color="auto" w:fill="FAFAFA"/>
          </w:tcPr>
          <w:p>
            <w:pPr>
              <w:pStyle w:val="Compact"/>
              <w:spacing w:after="20" w:before="20"/>
            </w:pPr>
            <w:r>
              <w:rPr>
                <w:sz w:val="18"/>
              </w:rPr>
              <w:t xml:space="preserve">Verizon person-days, vendor touchpoints, elapsed weeks</w:t>
            </w:r>
          </w:p>
        </w:tc>
      </w:tr>
      <w:tr>
        <w:tc>
          <w:tcPr>
            <w:tcW w:type="dxa" w:w="3116"/>
            <w:shd w:val="clear" w:color="auto" w:fill="F2F2F2"/>
          </w:tcPr>
          <w:p>
            <w:pPr>
              <w:pStyle w:val="Compact"/>
              <w:spacing w:after="20" w:before="20"/>
            </w:pPr>
            <w:r>
              <w:rPr>
                <w:b/>
                <w:sz w:val="18"/>
              </w:rPr>
              <w:t xml:space="preserve">Risks and limitations</w:t>
            </w:r>
          </w:p>
        </w:tc>
        <w:tc>
          <w:tcPr>
            <w:tcW w:type="dxa" w:w="6676"/>
          </w:tcPr>
          <w:p>
            <w:pPr>
              <w:pStyle w:val="Compact"/>
              <w:spacing w:after="20" w:before="20"/>
            </w:pPr>
            <w:r>
              <w:rPr>
                <w:sz w:val="18"/>
              </w:rPr>
              <w:t xml:space="preserve">Fidelity gaps, unmockable tools, known regressions</w:t>
            </w:r>
          </w:p>
        </w:tc>
      </w:tr>
      <w:tr>
        <w:tc>
          <w:tcPr>
            <w:tcW w:type="dxa" w:w="3116"/>
            <w:shd w:val="clear" w:color="auto" w:fill="F2F2F2"/>
          </w:tcPr>
          <w:p>
            <w:pPr>
              <w:pStyle w:val="Compact"/>
              <w:spacing w:after="20" w:before="20"/>
            </w:pPr>
            <w:r>
              <w:rPr>
                <w:b/>
                <w:sz w:val="18"/>
              </w:rPr>
              <w:t xml:space="preserve">Recommendation</w:t>
            </w:r>
          </w:p>
        </w:tc>
        <w:tc>
          <w:tcPr>
            <w:tcW w:type="dxa" w:w="6676"/>
            <w:shd w:val="clear" w:color="auto" w:fill="FAFAFA"/>
          </w:tcPr>
          <w:p>
            <w:pPr>
              <w:pStyle w:val="Compact"/>
              <w:spacing w:after="20" w:before="20"/>
            </w:pPr>
            <w:r>
              <w:rPr>
                <w:sz w:val="18"/>
              </w:rPr>
              <w:t xml:space="preserve">Who should adopt, prerequisites, next use cases</w:t>
            </w:r>
          </w:p>
        </w:tc>
      </w:tr>
      <w:tr>
        <w:tc>
          <w:tcPr>
            <w:tcW w:type="dxa" w:w="3116"/>
            <w:shd w:val="clear" w:color="auto" w:fill="F2F2F2"/>
          </w:tcPr>
          <w:p>
            <w:pPr>
              <w:pStyle w:val="Compact"/>
              <w:spacing w:after="20" w:before="20"/>
            </w:pPr>
            <w:r>
              <w:rPr>
                <w:b/>
                <w:sz w:val="18"/>
              </w:rPr>
              <w:t xml:space="preserve">Approvals</w:t>
            </w:r>
          </w:p>
        </w:tc>
        <w:tc>
          <w:tcPr>
            <w:tcW w:type="dxa" w:w="6676"/>
          </w:tcPr>
          <w:p>
            <w:pPr>
              <w:pStyle w:val="Compact"/>
              <w:spacing w:after="20" w:before="20"/>
            </w:pPr>
            <w:r>
              <w:rPr>
                <w:sz w:val="18"/>
              </w:rPr>
              <w:t xml:space="preserve">Use-case owner, Security, Privacy/Legal, Exec sponsor</w:t>
            </w:r>
          </w:p>
        </w:tc>
      </w:tr>
    </w:tbl>
    <w:bookmarkEnd w:id="57"/>
    <w:bookmarkEnd w:id="58"/>
    <w:bookmarkStart w:id="59" w:name="pilot-scorecard-weighted"/>
    <w:p>
      <w:pPr>
        <w:pStyle w:val="Heading1"/>
      </w:pPr>
      <w:r>
        <w:t xml:space="preserve">9. Pilot scorecard (weighted)</w:t>
      </w:r>
    </w:p>
    <w:p>
      <w:pPr>
        <w:pStyle w:val="FirstParagraph"/>
      </w:pPr>
      <w:r>
        <w:t xml:space="preserve">Each scored area is rated 0–5 against its TA criteria and multiplied by its weight / 5. Gate items are pass/fail: any gate failure means no-go regardless of total score. Proposed decision thresholds:</w:t>
      </w:r>
      <w:r>
        <w:t xml:space="preserve"> </w:t>
      </w:r>
      <w:r>
        <w:rPr>
          <w:b/>
          <w:bCs/>
        </w:rPr>
        <w:t xml:space="preserve">≥ [75] go to production planning; [60–74] extend or re-scope; &lt; [60] stop.</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998"/>
        <w:gridCol w:w="5106"/>
        <w:gridCol w:w="1689"/>
        <w:gridCol w:w="998"/>
        <w:gridCol w:w="998"/>
      </w:tblGrid>
      <w:tr>
        <w:trPr>
          <w:tblHeader w:val="on"/>
          <w:tblHeader w:val="true"/>
        </w:trPr>
        <w:tc>
          <w:tcPr>
            <w:tcW w:type="dxa" w:w="999"/>
            <w:shd w:val="clear" w:color="auto" w:fill="1F1F1F"/>
          </w:tcPr>
          <w:p>
            <w:pPr>
              <w:pStyle w:val="Compact"/>
              <w:spacing w:after="20" w:before="20"/>
            </w:pPr>
            <w:r>
              <w:rPr>
                <w:b/>
                <w:color w:val="FFFFFF"/>
                <w:sz w:val="18"/>
              </w:rPr>
              <w:t xml:space="preserve">#</w:t>
            </w:r>
          </w:p>
        </w:tc>
        <w:tc>
          <w:tcPr>
            <w:tcW w:type="dxa" w:w="5106"/>
            <w:shd w:val="clear" w:color="auto" w:fill="1F1F1F"/>
          </w:tcPr>
          <w:p>
            <w:pPr>
              <w:pStyle w:val="Compact"/>
              <w:spacing w:after="20" w:before="20"/>
            </w:pPr>
            <w:r>
              <w:rPr>
                <w:b/>
                <w:color w:val="FFFFFF"/>
                <w:sz w:val="18"/>
              </w:rPr>
              <w:t xml:space="preserve">Criterion</w:t>
            </w:r>
          </w:p>
        </w:tc>
        <w:tc>
          <w:tcPr>
            <w:tcW w:type="dxa" w:w="1690"/>
            <w:shd w:val="clear" w:color="auto" w:fill="1F1F1F"/>
          </w:tcPr>
          <w:p>
            <w:pPr>
              <w:pStyle w:val="Compact"/>
              <w:spacing w:after="20" w:before="20"/>
            </w:pPr>
            <w:r>
              <w:rPr>
                <w:b/>
                <w:color w:val="FFFFFF"/>
                <w:sz w:val="18"/>
              </w:rPr>
              <w:t xml:space="preserve">Linked TA</w:t>
            </w:r>
          </w:p>
        </w:tc>
        <w:tc>
          <w:tcPr>
            <w:tcW w:type="dxa" w:w="999"/>
            <w:shd w:val="clear" w:color="auto" w:fill="1F1F1F"/>
          </w:tcPr>
          <w:p>
            <w:pPr>
              <w:pStyle w:val="Compact"/>
              <w:spacing w:after="20" w:before="20"/>
            </w:pPr>
            <w:r>
              <w:rPr>
                <w:b/>
                <w:color w:val="FFFFFF"/>
                <w:sz w:val="18"/>
              </w:rPr>
              <w:t xml:space="preserve">Gate</w:t>
            </w:r>
          </w:p>
        </w:tc>
        <w:tc>
          <w:tcPr>
            <w:tcW w:type="dxa" w:w="999"/>
            <w:shd w:val="clear" w:color="auto" w:fill="1F1F1F"/>
          </w:tcPr>
          <w:p>
            <w:pPr>
              <w:pStyle w:val="Compact"/>
              <w:spacing w:after="20" w:before="20"/>
            </w:pPr>
            <w:r>
              <w:rPr>
                <w:b/>
                <w:color w:val="FFFFFF"/>
                <w:sz w:val="18"/>
              </w:rPr>
              <w:t xml:space="preserve">Weight</w:t>
            </w:r>
          </w:p>
        </w:tc>
      </w:tr>
      <w:tr>
        <w:tc>
          <w:tcPr>
            <w:tcW w:type="dxa" w:w="999"/>
          </w:tcPr>
          <w:p>
            <w:pPr>
              <w:pStyle w:val="Compact"/>
              <w:spacing w:after="20" w:before="20"/>
            </w:pPr>
            <w:r>
              <w:rPr>
                <w:sz w:val="18"/>
              </w:rPr>
              <w:t xml:space="preserve">1</w:t>
            </w:r>
          </w:p>
        </w:tc>
        <w:tc>
          <w:tcPr>
            <w:tcW w:type="dxa" w:w="5106"/>
          </w:tcPr>
          <w:p>
            <w:pPr>
              <w:pStyle w:val="Compact"/>
              <w:spacing w:after="20" w:before="20"/>
            </w:pPr>
            <w:r>
              <w:rPr>
                <w:sz w:val="18"/>
              </w:rPr>
              <w:t xml:space="preserve">Zero-code-change integration via Kairos/Collector</w:t>
            </w:r>
          </w:p>
        </w:tc>
        <w:tc>
          <w:tcPr>
            <w:tcW w:type="dxa" w:w="1690"/>
          </w:tcPr>
          <w:p>
            <w:pPr>
              <w:pStyle w:val="Compact"/>
              <w:spacing w:after="20" w:before="20"/>
            </w:pPr>
            <w:r>
              <w:rPr>
                <w:sz w:val="18"/>
              </w:rPr>
              <w:t xml:space="preserve">TA-01</w:t>
            </w:r>
          </w:p>
        </w:tc>
        <w:tc>
          <w:tcPr>
            <w:tcW w:type="dxa" w:w="999"/>
          </w:tcPr>
          <w:p>
            <w:pPr>
              <w:pStyle w:val="Compact"/>
              <w:spacing w:after="20" w:before="20"/>
            </w:pPr>
            <w:r>
              <w:rPr>
                <w:b/>
                <w:bCs/>
                <w:sz w:val="18"/>
              </w:rPr>
              <w:t xml:space="preserve">Gate</w:t>
            </w:r>
          </w:p>
        </w:tc>
        <w:tc>
          <w:tcPr>
            <w:tcW w:type="dxa" w:w="999"/>
          </w:tcPr>
          <w:p>
            <w:pPr>
              <w:pStyle w:val="Compact"/>
              <w:spacing w:after="20" w:before="20"/>
            </w:pPr>
            <w:r>
              <w:rPr>
                <w:sz w:val="18"/>
              </w:rPr>
              <w:t xml:space="preserve">10</w:t>
            </w:r>
          </w:p>
        </w:tc>
      </w:tr>
      <w:tr>
        <w:tc>
          <w:tcPr>
            <w:tcW w:type="dxa" w:w="999"/>
            <w:shd w:val="clear" w:color="auto" w:fill="FAFAFA"/>
          </w:tcPr>
          <w:p>
            <w:pPr>
              <w:pStyle w:val="Compact"/>
              <w:spacing w:after="20" w:before="20"/>
            </w:pPr>
            <w:r>
              <w:rPr>
                <w:sz w:val="18"/>
              </w:rPr>
              <w:t xml:space="preserve">2</w:t>
            </w:r>
          </w:p>
        </w:tc>
        <w:tc>
          <w:tcPr>
            <w:tcW w:type="dxa" w:w="5106"/>
            <w:shd w:val="clear" w:color="auto" w:fill="FAFAFA"/>
          </w:tcPr>
          <w:p>
            <w:pPr>
              <w:pStyle w:val="Compact"/>
              <w:spacing w:after="20" w:before="20"/>
            </w:pPr>
            <w:r>
              <w:rPr>
                <w:sz w:val="18"/>
              </w:rPr>
              <w:t xml:space="preserve">Historical ingest: ≥ [99]% mapped, 0 un-redacted CPNI/PII</w:t>
            </w:r>
          </w:p>
        </w:tc>
        <w:tc>
          <w:tcPr>
            <w:tcW w:type="dxa" w:w="1690"/>
            <w:shd w:val="clear" w:color="auto" w:fill="FAFAFA"/>
          </w:tcPr>
          <w:p>
            <w:pPr>
              <w:pStyle w:val="Compact"/>
              <w:spacing w:after="20" w:before="20"/>
            </w:pPr>
            <w:r>
              <w:rPr>
                <w:sz w:val="18"/>
              </w:rPr>
              <w:t xml:space="preserve">TA-02</w:t>
            </w:r>
          </w:p>
        </w:tc>
        <w:tc>
          <w:tcPr>
            <w:tcW w:type="dxa" w:w="999"/>
            <w:shd w:val="clear" w:color="auto" w:fill="FAFAFA"/>
          </w:tcPr>
          <w:p>
            <w:pPr>
              <w:pStyle w:val="Compact"/>
              <w:spacing w:after="20" w:before="20"/>
            </w:pPr>
            <w:r>
              <w:rPr>
                <w:b/>
                <w:bCs/>
                <w:sz w:val="18"/>
              </w:rPr>
              <w:t xml:space="preserve">Gate</w:t>
            </w:r>
          </w:p>
        </w:tc>
        <w:tc>
          <w:tcPr>
            <w:tcW w:type="dxa" w:w="999"/>
            <w:shd w:val="clear" w:color="auto" w:fill="FAFAFA"/>
          </w:tcPr>
          <w:p>
            <w:pPr>
              <w:pStyle w:val="Compact"/>
              <w:spacing w:after="20" w:before="20"/>
            </w:pPr>
            <w:r>
              <w:rPr>
                <w:sz w:val="18"/>
              </w:rPr>
              <w:t xml:space="preserve">10</w:t>
            </w:r>
          </w:p>
        </w:tc>
      </w:tr>
      <w:tr>
        <w:tc>
          <w:tcPr>
            <w:tcW w:type="dxa" w:w="999"/>
          </w:tcPr>
          <w:p>
            <w:pPr>
              <w:pStyle w:val="Compact"/>
              <w:spacing w:after="20" w:before="20"/>
            </w:pPr>
            <w:r>
              <w:rPr>
                <w:sz w:val="18"/>
              </w:rPr>
              <w:t xml:space="preserve">3</w:t>
            </w:r>
          </w:p>
        </w:tc>
        <w:tc>
          <w:tcPr>
            <w:tcW w:type="dxa" w:w="5106"/>
          </w:tcPr>
          <w:p>
            <w:pPr>
              <w:pStyle w:val="Compact"/>
              <w:spacing w:after="20" w:before="20"/>
            </w:pPr>
            <w:r>
              <w:rPr>
                <w:sz w:val="18"/>
              </w:rPr>
              <w:t xml:space="preserve">Simulation fidelity within ±[5] pp; replay/branching</w:t>
            </w:r>
          </w:p>
        </w:tc>
        <w:tc>
          <w:tcPr>
            <w:tcW w:type="dxa" w:w="1690"/>
          </w:tcPr>
          <w:p>
            <w:pPr>
              <w:pStyle w:val="Compact"/>
              <w:spacing w:after="20" w:before="20"/>
            </w:pPr>
            <w:r>
              <w:rPr>
                <w:sz w:val="18"/>
              </w:rPr>
              <w:t xml:space="preserve">TA-03, TA-04</w:t>
            </w:r>
          </w:p>
        </w:tc>
        <w:tc>
          <w:tcPr>
            <w:tcW w:type="dxa" w:w="999"/>
          </w:tcPr>
          <w:p>
            <w:pPr>
              <w:pStyle w:val="Compact"/>
              <w:spacing w:after="20" w:before="20"/>
            </w:pPr>
          </w:p>
        </w:tc>
        <w:tc>
          <w:tcPr>
            <w:tcW w:type="dxa" w:w="999"/>
          </w:tcPr>
          <w:p>
            <w:pPr>
              <w:pStyle w:val="Compact"/>
              <w:spacing w:after="20" w:before="20"/>
            </w:pPr>
            <w:r>
              <w:rPr>
                <w:sz w:val="18"/>
              </w:rPr>
              <w:t xml:space="preserve">15</w:t>
            </w:r>
          </w:p>
        </w:tc>
      </w:tr>
      <w:tr>
        <w:tc>
          <w:tcPr>
            <w:tcW w:type="dxa" w:w="999"/>
            <w:shd w:val="clear" w:color="auto" w:fill="FAFAFA"/>
          </w:tcPr>
          <w:p>
            <w:pPr>
              <w:pStyle w:val="Compact"/>
              <w:spacing w:after="20" w:before="20"/>
            </w:pPr>
            <w:r>
              <w:rPr>
                <w:sz w:val="18"/>
              </w:rPr>
              <w:t xml:space="preserve">4</w:t>
            </w:r>
          </w:p>
        </w:tc>
        <w:tc>
          <w:tcPr>
            <w:tcW w:type="dxa" w:w="5106"/>
            <w:shd w:val="clear" w:color="auto" w:fill="FAFAFA"/>
          </w:tcPr>
          <w:p>
            <w:pPr>
              <w:pStyle w:val="Compact"/>
              <w:spacing w:after="20" w:before="20"/>
            </w:pPr>
            <w:r>
              <w:rPr>
                <w:sz w:val="18"/>
              </w:rPr>
              <w:t xml:space="preserve">Harness optimisation and memory lift on held-out set</w:t>
            </w:r>
          </w:p>
        </w:tc>
        <w:tc>
          <w:tcPr>
            <w:tcW w:type="dxa" w:w="1690"/>
            <w:shd w:val="clear" w:color="auto" w:fill="FAFAFA"/>
          </w:tcPr>
          <w:p>
            <w:pPr>
              <w:pStyle w:val="Compact"/>
              <w:spacing w:after="20" w:before="20"/>
            </w:pPr>
            <w:r>
              <w:rPr>
                <w:sz w:val="18"/>
              </w:rPr>
              <w:t xml:space="preserve">TA-05, TA-06</w:t>
            </w:r>
          </w:p>
        </w:tc>
        <w:tc>
          <w:tcPr>
            <w:tcW w:type="dxa" w:w="999"/>
            <w:shd w:val="clear" w:color="auto" w:fill="FAFAFA"/>
          </w:tcPr>
          <w:p>
            <w:pPr>
              <w:pStyle w:val="Compact"/>
              <w:spacing w:after="20" w:before="20"/>
            </w:pPr>
          </w:p>
        </w:tc>
        <w:tc>
          <w:tcPr>
            <w:tcW w:type="dxa" w:w="999"/>
            <w:shd w:val="clear" w:color="auto" w:fill="FAFAFA"/>
          </w:tcPr>
          <w:p>
            <w:pPr>
              <w:pStyle w:val="Compact"/>
              <w:spacing w:after="20" w:before="20"/>
            </w:pPr>
            <w:r>
              <w:rPr>
                <w:sz w:val="18"/>
              </w:rPr>
              <w:t xml:space="preserve">20</w:t>
            </w:r>
          </w:p>
        </w:tc>
      </w:tr>
      <w:tr>
        <w:tc>
          <w:tcPr>
            <w:tcW w:type="dxa" w:w="999"/>
          </w:tcPr>
          <w:p>
            <w:pPr>
              <w:pStyle w:val="Compact"/>
              <w:spacing w:after="20" w:before="20"/>
            </w:pPr>
            <w:r>
              <w:rPr>
                <w:sz w:val="18"/>
              </w:rPr>
              <w:t xml:space="preserve">5</w:t>
            </w:r>
          </w:p>
        </w:tc>
        <w:tc>
          <w:tcPr>
            <w:tcW w:type="dxa" w:w="5106"/>
          </w:tcPr>
          <w:p>
            <w:pPr>
              <w:pStyle w:val="Compact"/>
              <w:spacing w:after="20" w:before="20"/>
            </w:pPr>
            <w:r>
              <w:rPr>
                <w:sz w:val="18"/>
              </w:rPr>
              <w:t xml:space="preserve">Custom model quality vs production baseline</w:t>
            </w:r>
          </w:p>
        </w:tc>
        <w:tc>
          <w:tcPr>
            <w:tcW w:type="dxa" w:w="1690"/>
          </w:tcPr>
          <w:p>
            <w:pPr>
              <w:pStyle w:val="Compact"/>
              <w:spacing w:after="20" w:before="20"/>
            </w:pPr>
            <w:r>
              <w:rPr>
                <w:sz w:val="18"/>
              </w:rPr>
              <w:t xml:space="preserve">TA-07</w:t>
            </w:r>
          </w:p>
        </w:tc>
        <w:tc>
          <w:tcPr>
            <w:tcW w:type="dxa" w:w="999"/>
          </w:tcPr>
          <w:p>
            <w:pPr>
              <w:pStyle w:val="Compact"/>
              <w:spacing w:after="20" w:before="20"/>
            </w:pPr>
          </w:p>
        </w:tc>
        <w:tc>
          <w:tcPr>
            <w:tcW w:type="dxa" w:w="999"/>
          </w:tcPr>
          <w:p>
            <w:pPr>
              <w:pStyle w:val="Compact"/>
              <w:spacing w:after="20" w:before="20"/>
            </w:pPr>
            <w:r>
              <w:rPr>
                <w:sz w:val="18"/>
              </w:rPr>
              <w:t xml:space="preserve">15</w:t>
            </w:r>
          </w:p>
        </w:tc>
      </w:tr>
      <w:tr>
        <w:tc>
          <w:tcPr>
            <w:tcW w:type="dxa" w:w="999"/>
            <w:shd w:val="clear" w:color="auto" w:fill="FAFAFA"/>
          </w:tcPr>
          <w:p>
            <w:pPr>
              <w:pStyle w:val="Compact"/>
              <w:spacing w:after="20" w:before="20"/>
            </w:pPr>
            <w:r>
              <w:rPr>
                <w:sz w:val="18"/>
              </w:rPr>
              <w:t xml:space="preserve">6</w:t>
            </w:r>
          </w:p>
        </w:tc>
        <w:tc>
          <w:tcPr>
            <w:tcW w:type="dxa" w:w="5106"/>
            <w:shd w:val="clear" w:color="auto" w:fill="FAFAFA"/>
          </w:tcPr>
          <w:p>
            <w:pPr>
              <w:pStyle w:val="Compact"/>
              <w:spacing w:after="20" w:before="20"/>
            </w:pPr>
            <w:r>
              <w:rPr>
                <w:sz w:val="18"/>
              </w:rPr>
              <w:t xml:space="preserve">Portability: weights and harness served behind Kairos, no Lucidic runtime</w:t>
            </w:r>
          </w:p>
        </w:tc>
        <w:tc>
          <w:tcPr>
            <w:tcW w:type="dxa" w:w="1690"/>
            <w:shd w:val="clear" w:color="auto" w:fill="FAFAFA"/>
          </w:tcPr>
          <w:p>
            <w:pPr>
              <w:pStyle w:val="Compact"/>
              <w:spacing w:after="20" w:before="20"/>
            </w:pPr>
            <w:r>
              <w:rPr>
                <w:sz w:val="18"/>
              </w:rPr>
              <w:t xml:space="preserve">TA-08</w:t>
            </w:r>
          </w:p>
        </w:tc>
        <w:tc>
          <w:tcPr>
            <w:tcW w:type="dxa" w:w="999"/>
            <w:shd w:val="clear" w:color="auto" w:fill="FAFAFA"/>
          </w:tcPr>
          <w:p>
            <w:pPr>
              <w:pStyle w:val="Compact"/>
              <w:spacing w:after="20" w:before="20"/>
            </w:pPr>
            <w:r>
              <w:rPr>
                <w:b/>
                <w:bCs/>
                <w:sz w:val="18"/>
              </w:rPr>
              <w:t xml:space="preserve">Gate</w:t>
            </w:r>
          </w:p>
        </w:tc>
        <w:tc>
          <w:tcPr>
            <w:tcW w:type="dxa" w:w="999"/>
            <w:shd w:val="clear" w:color="auto" w:fill="FAFAFA"/>
          </w:tcPr>
          <w:p>
            <w:pPr>
              <w:pStyle w:val="Compact"/>
              <w:spacing w:after="20" w:before="20"/>
            </w:pPr>
            <w:r>
              <w:rPr>
                <w:sz w:val="18"/>
              </w:rPr>
              <w:t xml:space="preserve">10</w:t>
            </w:r>
          </w:p>
        </w:tc>
      </w:tr>
      <w:tr>
        <w:tc>
          <w:tcPr>
            <w:tcW w:type="dxa" w:w="999"/>
          </w:tcPr>
          <w:p>
            <w:pPr>
              <w:pStyle w:val="Compact"/>
              <w:spacing w:after="20" w:before="20"/>
            </w:pPr>
            <w:r>
              <w:rPr>
                <w:sz w:val="18"/>
              </w:rPr>
              <w:t xml:space="preserve">7</w:t>
            </w:r>
          </w:p>
        </w:tc>
        <w:tc>
          <w:tcPr>
            <w:tcW w:type="dxa" w:w="5106"/>
          </w:tcPr>
          <w:p>
            <w:pPr>
              <w:pStyle w:val="Compact"/>
              <w:spacing w:after="20" w:before="20"/>
            </w:pPr>
            <w:r>
              <w:rPr>
                <w:sz w:val="18"/>
              </w:rPr>
              <w:t xml:space="preserve">Latency and cost vs baseline</w:t>
            </w:r>
          </w:p>
        </w:tc>
        <w:tc>
          <w:tcPr>
            <w:tcW w:type="dxa" w:w="1690"/>
          </w:tcPr>
          <w:p>
            <w:pPr>
              <w:pStyle w:val="Compact"/>
              <w:spacing w:after="20" w:before="20"/>
            </w:pPr>
            <w:r>
              <w:rPr>
                <w:sz w:val="18"/>
              </w:rPr>
              <w:t xml:space="preserve">TA-09</w:t>
            </w:r>
          </w:p>
        </w:tc>
        <w:tc>
          <w:tcPr>
            <w:tcW w:type="dxa" w:w="999"/>
          </w:tcPr>
          <w:p>
            <w:pPr>
              <w:pStyle w:val="Compact"/>
              <w:spacing w:after="20" w:before="20"/>
            </w:pPr>
          </w:p>
        </w:tc>
        <w:tc>
          <w:tcPr>
            <w:tcW w:type="dxa" w:w="999"/>
          </w:tcPr>
          <w:p>
            <w:pPr>
              <w:pStyle w:val="Compact"/>
              <w:spacing w:after="20" w:before="20"/>
            </w:pPr>
            <w:r>
              <w:rPr>
                <w:sz w:val="18"/>
              </w:rPr>
              <w:t xml:space="preserve">10</w:t>
            </w:r>
          </w:p>
        </w:tc>
      </w:tr>
      <w:tr>
        <w:tc>
          <w:tcPr>
            <w:tcW w:type="dxa" w:w="999"/>
            <w:shd w:val="clear" w:color="auto" w:fill="FAFAFA"/>
          </w:tcPr>
          <w:p>
            <w:pPr>
              <w:pStyle w:val="Compact"/>
              <w:spacing w:after="20" w:before="20"/>
            </w:pPr>
            <w:r>
              <w:rPr>
                <w:sz w:val="18"/>
              </w:rPr>
              <w:t xml:space="preserve">8</w:t>
            </w:r>
          </w:p>
        </w:tc>
        <w:tc>
          <w:tcPr>
            <w:tcW w:type="dxa" w:w="5106"/>
            <w:shd w:val="clear" w:color="auto" w:fill="FAFAFA"/>
          </w:tcPr>
          <w:p>
            <w:pPr>
              <w:pStyle w:val="Compact"/>
              <w:spacing w:after="20" w:before="20"/>
            </w:pPr>
            <w:r>
              <w:rPr>
                <w:sz w:val="18"/>
              </w:rPr>
              <w:t xml:space="preserve">Security and compliance (POC tier)</w:t>
            </w:r>
          </w:p>
        </w:tc>
        <w:tc>
          <w:tcPr>
            <w:tcW w:type="dxa" w:w="1690"/>
            <w:shd w:val="clear" w:color="auto" w:fill="FAFAFA"/>
          </w:tcPr>
          <w:p>
            <w:pPr>
              <w:pStyle w:val="Compact"/>
              <w:spacing w:after="20" w:before="20"/>
            </w:pPr>
            <w:r>
              <w:rPr>
                <w:sz w:val="18"/>
              </w:rPr>
              <w:t xml:space="preserve">TA-10</w:t>
            </w:r>
          </w:p>
        </w:tc>
        <w:tc>
          <w:tcPr>
            <w:tcW w:type="dxa" w:w="999"/>
            <w:shd w:val="clear" w:color="auto" w:fill="FAFAFA"/>
          </w:tcPr>
          <w:p>
            <w:pPr>
              <w:pStyle w:val="Compact"/>
              <w:spacing w:after="20" w:before="20"/>
            </w:pPr>
            <w:r>
              <w:rPr>
                <w:b/>
                <w:bCs/>
                <w:sz w:val="18"/>
              </w:rPr>
              <w:t xml:space="preserve">Gate</w:t>
            </w:r>
          </w:p>
        </w:tc>
        <w:tc>
          <w:tcPr>
            <w:tcW w:type="dxa" w:w="999"/>
            <w:shd w:val="clear" w:color="auto" w:fill="FAFAFA"/>
          </w:tcPr>
          <w:p>
            <w:pPr>
              <w:pStyle w:val="Compact"/>
              <w:spacing w:after="20" w:before="20"/>
            </w:pPr>
            <w:r>
              <w:rPr>
                <w:sz w:val="18"/>
              </w:rPr>
              <w:t xml:space="preserve">5</w:t>
            </w:r>
          </w:p>
        </w:tc>
      </w:tr>
      <w:tr>
        <w:tc>
          <w:tcPr>
            <w:tcW w:type="dxa" w:w="999"/>
          </w:tcPr>
          <w:p>
            <w:pPr>
              <w:pStyle w:val="Compact"/>
              <w:spacing w:after="20" w:before="20"/>
            </w:pPr>
            <w:r>
              <w:rPr>
                <w:sz w:val="18"/>
              </w:rPr>
              <w:t xml:space="preserve">9</w:t>
            </w:r>
          </w:p>
        </w:tc>
        <w:tc>
          <w:tcPr>
            <w:tcW w:type="dxa" w:w="5106"/>
          </w:tcPr>
          <w:p>
            <w:pPr>
              <w:pStyle w:val="Compact"/>
              <w:spacing w:after="20" w:before="20"/>
            </w:pPr>
            <w:r>
              <w:rPr>
                <w:sz w:val="18"/>
              </w:rPr>
              <w:t xml:space="preserve">Operability and support</w:t>
            </w:r>
          </w:p>
        </w:tc>
        <w:tc>
          <w:tcPr>
            <w:tcW w:type="dxa" w:w="1690"/>
          </w:tcPr>
          <w:p>
            <w:pPr>
              <w:pStyle w:val="Compact"/>
              <w:spacing w:after="20" w:before="20"/>
            </w:pPr>
            <w:r>
              <w:rPr>
                <w:sz w:val="18"/>
              </w:rPr>
              <w:t xml:space="preserve">TA-11</w:t>
            </w:r>
          </w:p>
        </w:tc>
        <w:tc>
          <w:tcPr>
            <w:tcW w:type="dxa" w:w="999"/>
          </w:tcPr>
          <w:p>
            <w:pPr>
              <w:pStyle w:val="Compact"/>
              <w:spacing w:after="20" w:before="20"/>
            </w:pPr>
          </w:p>
        </w:tc>
        <w:tc>
          <w:tcPr>
            <w:tcW w:type="dxa" w:w="999"/>
          </w:tcPr>
          <w:p>
            <w:pPr>
              <w:pStyle w:val="Compact"/>
              <w:spacing w:after="20" w:before="20"/>
            </w:pPr>
            <w:r>
              <w:rPr>
                <w:sz w:val="18"/>
              </w:rPr>
              <w:t xml:space="preserve">3</w:t>
            </w:r>
          </w:p>
        </w:tc>
      </w:tr>
      <w:tr>
        <w:tc>
          <w:tcPr>
            <w:tcW w:type="dxa" w:w="999"/>
            <w:shd w:val="clear" w:color="auto" w:fill="FAFAFA"/>
          </w:tcPr>
          <w:p>
            <w:pPr>
              <w:pStyle w:val="Compact"/>
              <w:spacing w:after="20" w:before="20"/>
            </w:pPr>
            <w:r>
              <w:rPr>
                <w:sz w:val="18"/>
              </w:rPr>
              <w:t xml:space="preserve">10</w:t>
            </w:r>
          </w:p>
        </w:tc>
        <w:tc>
          <w:tcPr>
            <w:tcW w:type="dxa" w:w="5106"/>
            <w:shd w:val="clear" w:color="auto" w:fill="FAFAFA"/>
          </w:tcPr>
          <w:p>
            <w:pPr>
              <w:pStyle w:val="Compact"/>
              <w:spacing w:after="20" w:before="20"/>
            </w:pPr>
            <w:r>
              <w:rPr>
                <w:sz w:val="18"/>
              </w:rPr>
              <w:t xml:space="preserve">Vendor maturity and commercial terms</w:t>
            </w:r>
          </w:p>
        </w:tc>
        <w:tc>
          <w:tcPr>
            <w:tcW w:type="dxa" w:w="1690"/>
            <w:shd w:val="clear" w:color="auto" w:fill="FAFAFA"/>
          </w:tcPr>
          <w:p>
            <w:pPr>
              <w:pStyle w:val="Compact"/>
              <w:spacing w:after="20" w:before="20"/>
            </w:pPr>
            <w:r>
              <w:rPr>
                <w:sz w:val="18"/>
              </w:rPr>
              <w:t xml:space="preserve">TA-12</w:t>
            </w:r>
          </w:p>
        </w:tc>
        <w:tc>
          <w:tcPr>
            <w:tcW w:type="dxa" w:w="999"/>
            <w:shd w:val="clear" w:color="auto" w:fill="FAFAFA"/>
          </w:tcPr>
          <w:p>
            <w:pPr>
              <w:pStyle w:val="Compact"/>
              <w:spacing w:after="20" w:before="20"/>
            </w:pPr>
          </w:p>
        </w:tc>
        <w:tc>
          <w:tcPr>
            <w:tcW w:type="dxa" w:w="999"/>
            <w:shd w:val="clear" w:color="auto" w:fill="FAFAFA"/>
          </w:tcPr>
          <w:p>
            <w:pPr>
              <w:pStyle w:val="Compact"/>
              <w:spacing w:after="20" w:before="20"/>
            </w:pPr>
            <w:r>
              <w:rPr>
                <w:sz w:val="18"/>
              </w:rPr>
              <w:t xml:space="preserve">2</w:t>
            </w:r>
          </w:p>
        </w:tc>
      </w:tr>
      <w:tr>
        <w:tc>
          <w:tcPr>
            <w:tcW w:type="dxa" w:w="999"/>
          </w:tcPr>
          <w:p>
            <w:pPr>
              <w:pStyle w:val="Compact"/>
              <w:spacing w:after="20" w:before="20"/>
            </w:pPr>
          </w:p>
        </w:tc>
        <w:tc>
          <w:tcPr>
            <w:tcW w:type="dxa" w:w="5106"/>
          </w:tcPr>
          <w:p>
            <w:pPr>
              <w:pStyle w:val="Compact"/>
              <w:spacing w:after="20" w:before="20"/>
            </w:pPr>
            <w:r>
              <w:rPr>
                <w:b/>
                <w:bCs/>
                <w:sz w:val="18"/>
              </w:rPr>
              <w:t xml:space="preserve">Total</w:t>
            </w:r>
          </w:p>
        </w:tc>
        <w:tc>
          <w:tcPr>
            <w:tcW w:type="dxa" w:w="1690"/>
          </w:tcPr>
          <w:p>
            <w:pPr>
              <w:pStyle w:val="Compact"/>
              <w:spacing w:after="20" w:before="20"/>
            </w:pPr>
          </w:p>
        </w:tc>
        <w:tc>
          <w:tcPr>
            <w:tcW w:type="dxa" w:w="999"/>
          </w:tcPr>
          <w:p>
            <w:pPr>
              <w:pStyle w:val="Compact"/>
              <w:spacing w:after="20" w:before="20"/>
            </w:pPr>
          </w:p>
        </w:tc>
        <w:tc>
          <w:tcPr>
            <w:tcW w:type="dxa" w:w="999"/>
          </w:tcPr>
          <w:p>
            <w:pPr>
              <w:pStyle w:val="Compact"/>
              <w:spacing w:after="20" w:before="20"/>
            </w:pPr>
            <w:r>
              <w:rPr>
                <w:b/>
                <w:bCs/>
                <w:sz w:val="18"/>
              </w:rPr>
              <w:t xml:space="preserve">100</w:t>
            </w:r>
          </w:p>
        </w:tc>
      </w:tr>
    </w:tbl>
    <w:bookmarkEnd w:id="59"/>
    <w:bookmarkStart w:id="60" w:name="risks-and-mitigations"/>
    <w:p>
      <w:pPr>
        <w:pStyle w:val="Heading1"/>
      </w:pPr>
      <w:r>
        <w:t xml:space="preserve">10. Risks and mitigations</w:t>
      </w:r>
    </w:p>
    <w:tbl>
      <w:tblPr>
        <w:tblStyle w:val="Table"/>
        <w:tblW w:type="dxa" w:w="9792"/>
        <w:tblLayout w:type="fixed"/>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962"/>
        <w:gridCol w:w="2565"/>
        <w:gridCol w:w="962"/>
        <w:gridCol w:w="962"/>
        <w:gridCol w:w="3182"/>
        <w:gridCol w:w="1155"/>
      </w:tblGrid>
      <w:tr>
        <w:trPr>
          <w:tblHeader w:val="on"/>
          <w:tblHeader w:val="true"/>
        </w:trPr>
        <w:tc>
          <w:tcPr>
            <w:tcW w:type="dxa" w:w="963"/>
            <w:shd w:val="clear" w:color="auto" w:fill="1F1F1F"/>
          </w:tcPr>
          <w:p>
            <w:pPr>
              <w:pStyle w:val="Compact"/>
              <w:spacing w:after="20" w:before="20"/>
            </w:pPr>
            <w:r>
              <w:rPr>
                <w:b/>
                <w:color w:val="FFFFFF"/>
                <w:sz w:val="18"/>
              </w:rPr>
              <w:t xml:space="preserve">#</w:t>
            </w:r>
          </w:p>
        </w:tc>
        <w:tc>
          <w:tcPr>
            <w:tcW w:type="dxa" w:w="2566"/>
            <w:shd w:val="clear" w:color="auto" w:fill="1F1F1F"/>
          </w:tcPr>
          <w:p>
            <w:pPr>
              <w:pStyle w:val="Compact"/>
              <w:spacing w:after="20" w:before="20"/>
            </w:pPr>
            <w:r>
              <w:rPr>
                <w:b/>
                <w:color w:val="FFFFFF"/>
                <w:sz w:val="18"/>
              </w:rPr>
              <w:t xml:space="preserve">Risk</w:t>
            </w:r>
          </w:p>
        </w:tc>
        <w:tc>
          <w:tcPr>
            <w:tcW w:type="dxa" w:w="963"/>
            <w:shd w:val="clear" w:color="auto" w:fill="1F1F1F"/>
          </w:tcPr>
          <w:p>
            <w:pPr>
              <w:pStyle w:val="Compact"/>
              <w:spacing w:after="20" w:before="20"/>
            </w:pPr>
            <w:r>
              <w:rPr>
                <w:b/>
                <w:color w:val="FFFFFF"/>
                <w:sz w:val="18"/>
              </w:rPr>
              <w:t xml:space="preserve">Likelihood</w:t>
            </w:r>
          </w:p>
        </w:tc>
        <w:tc>
          <w:tcPr>
            <w:tcW w:type="dxa" w:w="963"/>
            <w:shd w:val="clear" w:color="auto" w:fill="1F1F1F"/>
          </w:tcPr>
          <w:p>
            <w:pPr>
              <w:pStyle w:val="Compact"/>
              <w:spacing w:after="20" w:before="20"/>
            </w:pPr>
            <w:r>
              <w:rPr>
                <w:b/>
                <w:color w:val="FFFFFF"/>
                <w:sz w:val="18"/>
              </w:rPr>
              <w:t xml:space="preserve">Impact</w:t>
            </w:r>
          </w:p>
        </w:tc>
        <w:tc>
          <w:tcPr>
            <w:tcW w:type="dxa" w:w="3183"/>
            <w:shd w:val="clear" w:color="auto" w:fill="1F1F1F"/>
          </w:tcPr>
          <w:p>
            <w:pPr>
              <w:pStyle w:val="Compact"/>
              <w:spacing w:after="20" w:before="20"/>
            </w:pPr>
            <w:r>
              <w:rPr>
                <w:b/>
                <w:color w:val="FFFFFF"/>
                <w:sz w:val="18"/>
              </w:rPr>
              <w:t xml:space="preserve">Mitigation</w:t>
            </w:r>
          </w:p>
        </w:tc>
        <w:tc>
          <w:tcPr>
            <w:tcW w:type="dxa" w:w="1155"/>
            <w:shd w:val="clear" w:color="auto" w:fill="1F1F1F"/>
          </w:tcPr>
          <w:p>
            <w:pPr>
              <w:pStyle w:val="Compact"/>
              <w:spacing w:after="20" w:before="20"/>
            </w:pPr>
            <w:r>
              <w:rPr>
                <w:b/>
                <w:color w:val="FFFFFF"/>
                <w:sz w:val="18"/>
              </w:rPr>
              <w:t xml:space="preserve">Owner</w:t>
            </w:r>
          </w:p>
        </w:tc>
      </w:tr>
      <w:tr>
        <w:tc>
          <w:tcPr>
            <w:tcW w:type="dxa" w:w="963"/>
          </w:tcPr>
          <w:p>
            <w:pPr>
              <w:pStyle w:val="Compact"/>
              <w:spacing w:after="20" w:before="20"/>
            </w:pPr>
            <w:r>
              <w:rPr>
                <w:sz w:val="18"/>
              </w:rPr>
              <w:t xml:space="preserve">R1</w:t>
            </w:r>
          </w:p>
        </w:tc>
        <w:tc>
          <w:tcPr>
            <w:tcW w:type="dxa" w:w="2566"/>
          </w:tcPr>
          <w:p>
            <w:pPr>
              <w:pStyle w:val="Compact"/>
              <w:spacing w:after="20" w:before="20"/>
            </w:pPr>
            <w:r>
              <w:rPr>
                <w:sz w:val="18"/>
              </w:rPr>
              <w:t xml:space="preserve">No OTLP ingest; proprietary schema changes break the adapter</w:t>
            </w:r>
          </w:p>
        </w:tc>
        <w:tc>
          <w:tcPr>
            <w:tcW w:type="dxa" w:w="963"/>
          </w:tcPr>
          <w:p>
            <w:pPr>
              <w:pStyle w:val="Compact"/>
              <w:spacing w:after="20" w:before="20"/>
            </w:pPr>
            <w:r>
              <w:rPr>
                <w:sz w:val="18"/>
              </w:rPr>
              <w:t xml:space="preserve">High</w:t>
            </w:r>
          </w:p>
        </w:tc>
        <w:tc>
          <w:tcPr>
            <w:tcW w:type="dxa" w:w="963"/>
          </w:tcPr>
          <w:p>
            <w:pPr>
              <w:pStyle w:val="Compact"/>
              <w:spacing w:after="20" w:before="20"/>
            </w:pPr>
            <w:r>
              <w:rPr>
                <w:sz w:val="18"/>
              </w:rPr>
              <w:t xml:space="preserve">Medium</w:t>
            </w:r>
          </w:p>
        </w:tc>
        <w:tc>
          <w:tcPr>
            <w:tcW w:type="dxa" w:w="3183"/>
          </w:tcPr>
          <w:p>
            <w:pPr>
              <w:pStyle w:val="Compact"/>
              <w:spacing w:after="20" w:before="20"/>
            </w:pPr>
            <w:r>
              <w:rPr>
                <w:sz w:val="18"/>
              </w:rPr>
              <w:t xml:space="preserve">Option C adapter with versioned mapping and contract tests; request OTLP (Option B) with a date</w:t>
            </w:r>
          </w:p>
        </w:tc>
        <w:tc>
          <w:tcPr>
            <w:tcW w:type="dxa" w:w="1155"/>
          </w:tcPr>
          <w:p>
            <w:pPr>
              <w:pStyle w:val="Compact"/>
              <w:spacing w:after="20" w:before="20"/>
            </w:pPr>
            <w:r>
              <w:rPr>
                <w:sz w:val="18"/>
              </w:rPr>
              <w:t xml:space="preserve">[Data eng]</w:t>
            </w:r>
          </w:p>
        </w:tc>
      </w:tr>
      <w:tr>
        <w:tc>
          <w:tcPr>
            <w:tcW w:type="dxa" w:w="963"/>
            <w:shd w:val="clear" w:color="auto" w:fill="FAFAFA"/>
          </w:tcPr>
          <w:p>
            <w:pPr>
              <w:pStyle w:val="Compact"/>
              <w:spacing w:after="20" w:before="20"/>
            </w:pPr>
            <w:r>
              <w:rPr>
                <w:sz w:val="18"/>
              </w:rPr>
              <w:t xml:space="preserve">R2</w:t>
            </w:r>
          </w:p>
        </w:tc>
        <w:tc>
          <w:tcPr>
            <w:tcW w:type="dxa" w:w="2566"/>
            <w:shd w:val="clear" w:color="auto" w:fill="FAFAFA"/>
          </w:tcPr>
          <w:p>
            <w:pPr>
              <w:pStyle w:val="Compact"/>
              <w:spacing w:after="20" w:before="20"/>
            </w:pPr>
            <w:r>
              <w:rPr>
                <w:sz w:val="18"/>
              </w:rPr>
              <w:t xml:space="preserve">Spans dropped for missing session id, silently biasing data</w:t>
            </w:r>
          </w:p>
        </w:tc>
        <w:tc>
          <w:tcPr>
            <w:tcW w:type="dxa" w:w="963"/>
            <w:shd w:val="clear" w:color="auto" w:fill="FAFAFA"/>
          </w:tcPr>
          <w:p>
            <w:pPr>
              <w:pStyle w:val="Compact"/>
              <w:spacing w:after="20" w:before="20"/>
            </w:pPr>
            <w:r>
              <w:rPr>
                <w:sz w:val="18"/>
              </w:rPr>
              <w:t xml:space="preserve">High</w:t>
            </w:r>
          </w:p>
        </w:tc>
        <w:tc>
          <w:tcPr>
            <w:tcW w:type="dxa" w:w="963"/>
            <w:shd w:val="clear" w:color="auto" w:fill="FAFAFA"/>
          </w:tcPr>
          <w:p>
            <w:pPr>
              <w:pStyle w:val="Compact"/>
              <w:spacing w:after="20" w:before="20"/>
            </w:pPr>
            <w:r>
              <w:rPr>
                <w:sz w:val="18"/>
              </w:rPr>
              <w:t xml:space="preserve">High</w:t>
            </w:r>
          </w:p>
        </w:tc>
        <w:tc>
          <w:tcPr>
            <w:tcW w:type="dxa" w:w="3183"/>
            <w:shd w:val="clear" w:color="auto" w:fill="FAFAFA"/>
          </w:tcPr>
          <w:p>
            <w:pPr>
              <w:pStyle w:val="Compact"/>
              <w:spacing w:after="20" w:before="20"/>
            </w:pPr>
            <w:r>
              <w:rPr>
                <w:sz w:val="18"/>
              </w:rPr>
              <w:t xml:space="preserve">Stamp session ids at Collector/adapter; reconciliation counts; drop log required</w:t>
            </w:r>
          </w:p>
        </w:tc>
        <w:tc>
          <w:tcPr>
            <w:tcW w:type="dxa" w:w="1155"/>
            <w:shd w:val="clear" w:color="auto" w:fill="FAFAFA"/>
          </w:tcPr>
          <w:p>
            <w:pPr>
              <w:pStyle w:val="Compact"/>
              <w:spacing w:after="20" w:before="20"/>
            </w:pPr>
            <w:r>
              <w:rPr>
                <w:sz w:val="18"/>
              </w:rPr>
              <w:t xml:space="preserve">[Data eng]</w:t>
            </w:r>
          </w:p>
        </w:tc>
      </w:tr>
      <w:tr>
        <w:tc>
          <w:tcPr>
            <w:tcW w:type="dxa" w:w="963"/>
          </w:tcPr>
          <w:p>
            <w:pPr>
              <w:pStyle w:val="Compact"/>
              <w:spacing w:after="20" w:before="20"/>
            </w:pPr>
            <w:r>
              <w:rPr>
                <w:sz w:val="18"/>
              </w:rPr>
              <w:t xml:space="preserve">R3</w:t>
            </w:r>
          </w:p>
        </w:tc>
        <w:tc>
          <w:tcPr>
            <w:tcW w:type="dxa" w:w="2566"/>
          </w:tcPr>
          <w:p>
            <w:pPr>
              <w:pStyle w:val="Compact"/>
              <w:spacing w:after="20" w:before="20"/>
            </w:pPr>
            <w:r>
              <w:rPr>
                <w:sz w:val="18"/>
              </w:rPr>
              <w:t xml:space="preserve">Tool mocking requires</w:t>
            </w:r>
            <w:r>
              <w:rPr>
                <w:sz w:val="18"/>
              </w:rPr>
              <w:t xml:space="preserve"> </w:t>
            </w:r>
            <w:r>
              <w:rPr>
                <w:rStyle w:val="VerbatimChar"/>
                <w:sz w:val="18"/>
              </w:rPr>
              <w:t xml:space="preserve">@mockable</w:t>
            </w:r>
            <w:r>
              <w:rPr>
                <w:sz w:val="18"/>
              </w:rPr>
              <w:t xml:space="preserve"> </w:t>
            </w:r>
            <w:r>
              <w:rPr>
                <w:sz w:val="18"/>
              </w:rPr>
              <w:t xml:space="preserve">code changes</w:t>
            </w:r>
          </w:p>
        </w:tc>
        <w:tc>
          <w:tcPr>
            <w:tcW w:type="dxa" w:w="963"/>
          </w:tcPr>
          <w:p>
            <w:pPr>
              <w:pStyle w:val="Compact"/>
              <w:spacing w:after="20" w:before="20"/>
            </w:pPr>
            <w:r>
              <w:rPr>
                <w:sz w:val="18"/>
              </w:rPr>
              <w:t xml:space="preserve">High</w:t>
            </w:r>
          </w:p>
        </w:tc>
        <w:tc>
          <w:tcPr>
            <w:tcW w:type="dxa" w:w="963"/>
          </w:tcPr>
          <w:p>
            <w:pPr>
              <w:pStyle w:val="Compact"/>
              <w:spacing w:after="20" w:before="20"/>
            </w:pPr>
            <w:r>
              <w:rPr>
                <w:sz w:val="18"/>
              </w:rPr>
              <w:t xml:space="preserve">High</w:t>
            </w:r>
          </w:p>
        </w:tc>
        <w:tc>
          <w:tcPr>
            <w:tcW w:type="dxa" w:w="3183"/>
          </w:tcPr>
          <w:p>
            <w:pPr>
              <w:pStyle w:val="Compact"/>
              <w:spacing w:after="20" w:before="20"/>
            </w:pPr>
            <w:r>
              <w:rPr>
                <w:sz w:val="18"/>
              </w:rPr>
              <w:t xml:space="preserve">Require trace-based or gateway-level mocking; out-of-scope tools documented</w:t>
            </w:r>
          </w:p>
        </w:tc>
        <w:tc>
          <w:tcPr>
            <w:tcW w:type="dxa" w:w="1155"/>
          </w:tcPr>
          <w:p>
            <w:pPr>
              <w:pStyle w:val="Compact"/>
              <w:spacing w:after="20" w:before="20"/>
            </w:pPr>
            <w:r>
              <w:rPr>
                <w:sz w:val="18"/>
              </w:rPr>
              <w:t xml:space="preserve">[Lucidic]</w:t>
            </w:r>
          </w:p>
        </w:tc>
      </w:tr>
      <w:tr>
        <w:tc>
          <w:tcPr>
            <w:tcW w:type="dxa" w:w="963"/>
            <w:shd w:val="clear" w:color="auto" w:fill="FAFAFA"/>
          </w:tcPr>
          <w:p>
            <w:pPr>
              <w:pStyle w:val="Compact"/>
              <w:spacing w:after="20" w:before="20"/>
            </w:pPr>
            <w:r>
              <w:rPr>
                <w:sz w:val="18"/>
              </w:rPr>
              <w:t xml:space="preserve">R4</w:t>
            </w:r>
          </w:p>
        </w:tc>
        <w:tc>
          <w:tcPr>
            <w:tcW w:type="dxa" w:w="2566"/>
            <w:shd w:val="clear" w:color="auto" w:fill="FAFAFA"/>
          </w:tcPr>
          <w:p>
            <w:pPr>
              <w:pStyle w:val="Compact"/>
              <w:spacing w:after="20" w:before="20"/>
            </w:pPr>
            <w:r>
              <w:rPr>
                <w:sz w:val="18"/>
              </w:rPr>
              <w:t xml:space="preserve">CPNI/PII egress (no masking on vendor v3 path)</w:t>
            </w:r>
          </w:p>
        </w:tc>
        <w:tc>
          <w:tcPr>
            <w:tcW w:type="dxa" w:w="963"/>
            <w:shd w:val="clear" w:color="auto" w:fill="FAFAFA"/>
          </w:tcPr>
          <w:p>
            <w:pPr>
              <w:pStyle w:val="Compact"/>
              <w:spacing w:after="20" w:before="20"/>
            </w:pPr>
            <w:r>
              <w:rPr>
                <w:sz w:val="18"/>
              </w:rPr>
              <w:t xml:space="preserve">Medium</w:t>
            </w:r>
          </w:p>
        </w:tc>
        <w:tc>
          <w:tcPr>
            <w:tcW w:type="dxa" w:w="963"/>
            <w:shd w:val="clear" w:color="auto" w:fill="FAFAFA"/>
          </w:tcPr>
          <w:p>
            <w:pPr>
              <w:pStyle w:val="Compact"/>
              <w:spacing w:after="20" w:before="20"/>
            </w:pPr>
            <w:r>
              <w:rPr>
                <w:sz w:val="18"/>
              </w:rPr>
              <w:t xml:space="preserve">High</w:t>
            </w:r>
          </w:p>
        </w:tc>
        <w:tc>
          <w:tcPr>
            <w:tcW w:type="dxa" w:w="3183"/>
            <w:shd w:val="clear" w:color="auto" w:fill="FAFAFA"/>
          </w:tcPr>
          <w:p>
            <w:pPr>
              <w:pStyle w:val="Compact"/>
              <w:spacing w:after="20" w:before="20"/>
            </w:pPr>
            <w:r>
              <w:rPr>
                <w:sz w:val="18"/>
              </w:rPr>
              <w:t xml:space="preserve">Collector redaction before egress; internal use case only; redaction test as gate</w:t>
            </w:r>
          </w:p>
        </w:tc>
        <w:tc>
          <w:tcPr>
            <w:tcW w:type="dxa" w:w="1155"/>
            <w:shd w:val="clear" w:color="auto" w:fill="FAFAFA"/>
          </w:tcPr>
          <w:p>
            <w:pPr>
              <w:pStyle w:val="Compact"/>
              <w:spacing w:after="20" w:before="20"/>
            </w:pPr>
            <w:r>
              <w:rPr>
                <w:sz w:val="18"/>
              </w:rPr>
              <w:t xml:space="preserve">[Security / Privacy]</w:t>
            </w:r>
          </w:p>
        </w:tc>
      </w:tr>
      <w:tr>
        <w:tc>
          <w:tcPr>
            <w:tcW w:type="dxa" w:w="963"/>
          </w:tcPr>
          <w:p>
            <w:pPr>
              <w:pStyle w:val="Compact"/>
              <w:spacing w:after="20" w:before="20"/>
            </w:pPr>
            <w:r>
              <w:rPr>
                <w:sz w:val="18"/>
              </w:rPr>
              <w:t xml:space="preserve">R5</w:t>
            </w:r>
          </w:p>
        </w:tc>
        <w:tc>
          <w:tcPr>
            <w:tcW w:type="dxa" w:w="2566"/>
          </w:tcPr>
          <w:p>
            <w:pPr>
              <w:pStyle w:val="Compact"/>
              <w:spacing w:after="20" w:before="20"/>
            </w:pPr>
            <w:r>
              <w:rPr>
                <w:sz w:val="18"/>
              </w:rPr>
              <w:t xml:space="preserve">Simulation not faithful; optimisation overfits the simulator</w:t>
            </w:r>
          </w:p>
        </w:tc>
        <w:tc>
          <w:tcPr>
            <w:tcW w:type="dxa" w:w="963"/>
          </w:tcPr>
          <w:p>
            <w:pPr>
              <w:pStyle w:val="Compact"/>
              <w:spacing w:after="20" w:before="20"/>
            </w:pPr>
            <w:r>
              <w:rPr>
                <w:sz w:val="18"/>
              </w:rPr>
              <w:t xml:space="preserve">Medium</w:t>
            </w:r>
          </w:p>
        </w:tc>
        <w:tc>
          <w:tcPr>
            <w:tcW w:type="dxa" w:w="963"/>
          </w:tcPr>
          <w:p>
            <w:pPr>
              <w:pStyle w:val="Compact"/>
              <w:spacing w:after="20" w:before="20"/>
            </w:pPr>
            <w:r>
              <w:rPr>
                <w:sz w:val="18"/>
              </w:rPr>
              <w:t xml:space="preserve">High</w:t>
            </w:r>
          </w:p>
        </w:tc>
        <w:tc>
          <w:tcPr>
            <w:tcW w:type="dxa" w:w="3183"/>
          </w:tcPr>
          <w:p>
            <w:pPr>
              <w:pStyle w:val="Compact"/>
              <w:spacing w:after="20" w:before="20"/>
            </w:pPr>
            <w:r>
              <w:rPr>
                <w:sz w:val="18"/>
              </w:rPr>
              <w:t xml:space="preserve">Sim-vs-real gate; held-out production sessions; shadow traffic before any claim</w:t>
            </w:r>
          </w:p>
        </w:tc>
        <w:tc>
          <w:tcPr>
            <w:tcW w:type="dxa" w:w="1155"/>
          </w:tcPr>
          <w:p>
            <w:pPr>
              <w:pStyle w:val="Compact"/>
              <w:spacing w:after="20" w:before="20"/>
            </w:pPr>
            <w:r>
              <w:rPr>
                <w:sz w:val="18"/>
              </w:rPr>
              <w:t xml:space="preserve">[ML/eval]</w:t>
            </w:r>
          </w:p>
        </w:tc>
      </w:tr>
      <w:tr>
        <w:tc>
          <w:tcPr>
            <w:tcW w:type="dxa" w:w="963"/>
            <w:shd w:val="clear" w:color="auto" w:fill="FAFAFA"/>
          </w:tcPr>
          <w:p>
            <w:pPr>
              <w:pStyle w:val="Compact"/>
              <w:spacing w:after="20" w:before="20"/>
            </w:pPr>
            <w:r>
              <w:rPr>
                <w:sz w:val="18"/>
              </w:rPr>
              <w:t xml:space="preserve">R6</w:t>
            </w:r>
          </w:p>
        </w:tc>
        <w:tc>
          <w:tcPr>
            <w:tcW w:type="dxa" w:w="2566"/>
            <w:shd w:val="clear" w:color="auto" w:fill="FAFAFA"/>
          </w:tcPr>
          <w:p>
            <w:pPr>
              <w:pStyle w:val="Compact"/>
              <w:spacing w:after="20" w:before="20"/>
            </w:pPr>
            <w:r>
              <w:rPr>
                <w:sz w:val="18"/>
              </w:rPr>
              <w:t xml:space="preserve">Kairos routing confounds evaluation</w:t>
            </w:r>
          </w:p>
        </w:tc>
        <w:tc>
          <w:tcPr>
            <w:tcW w:type="dxa" w:w="963"/>
            <w:shd w:val="clear" w:color="auto" w:fill="FAFAFA"/>
          </w:tcPr>
          <w:p>
            <w:pPr>
              <w:pStyle w:val="Compact"/>
              <w:spacing w:after="20" w:before="20"/>
            </w:pPr>
            <w:r>
              <w:rPr>
                <w:sz w:val="18"/>
              </w:rPr>
              <w:t xml:space="preserve">Medium</w:t>
            </w:r>
          </w:p>
        </w:tc>
        <w:tc>
          <w:tcPr>
            <w:tcW w:type="dxa" w:w="963"/>
            <w:shd w:val="clear" w:color="auto" w:fill="FAFAFA"/>
          </w:tcPr>
          <w:p>
            <w:pPr>
              <w:pStyle w:val="Compact"/>
              <w:spacing w:after="20" w:before="20"/>
            </w:pPr>
            <w:r>
              <w:rPr>
                <w:sz w:val="18"/>
              </w:rPr>
              <w:t xml:space="preserve">Medium</w:t>
            </w:r>
          </w:p>
        </w:tc>
        <w:tc>
          <w:tcPr>
            <w:tcW w:type="dxa" w:w="3183"/>
            <w:shd w:val="clear" w:color="auto" w:fill="FAFAFA"/>
          </w:tcPr>
          <w:p>
            <w:pPr>
              <w:pStyle w:val="Compact"/>
              <w:spacing w:after="20" w:before="20"/>
            </w:pPr>
            <w:r>
              <w:rPr>
                <w:sz w:val="18"/>
              </w:rPr>
              <w:t xml:space="preserve">Record route on every span; pin route in simulation</w:t>
            </w:r>
          </w:p>
        </w:tc>
        <w:tc>
          <w:tcPr>
            <w:tcW w:type="dxa" w:w="1155"/>
            <w:shd w:val="clear" w:color="auto" w:fill="FAFAFA"/>
          </w:tcPr>
          <w:p>
            <w:pPr>
              <w:pStyle w:val="Compact"/>
              <w:spacing w:after="20" w:before="20"/>
            </w:pPr>
            <w:r>
              <w:rPr>
                <w:sz w:val="18"/>
              </w:rPr>
              <w:t xml:space="preserve">[Kairos owner]</w:t>
            </w:r>
          </w:p>
        </w:tc>
      </w:tr>
      <w:tr>
        <w:tc>
          <w:tcPr>
            <w:tcW w:type="dxa" w:w="963"/>
          </w:tcPr>
          <w:p>
            <w:pPr>
              <w:pStyle w:val="Compact"/>
              <w:spacing w:after="20" w:before="20"/>
            </w:pPr>
            <w:r>
              <w:rPr>
                <w:sz w:val="18"/>
              </w:rPr>
              <w:t xml:space="preserve">R7</w:t>
            </w:r>
          </w:p>
        </w:tc>
        <w:tc>
          <w:tcPr>
            <w:tcW w:type="dxa" w:w="2566"/>
          </w:tcPr>
          <w:p>
            <w:pPr>
              <w:pStyle w:val="Compact"/>
              <w:spacing w:after="20" w:before="20"/>
            </w:pPr>
            <w:r>
              <w:rPr>
                <w:sz w:val="18"/>
              </w:rPr>
              <w:t xml:space="preserve">Inference bypasses Kairos via Lucidic runtime or Training Modules</w:t>
            </w:r>
          </w:p>
        </w:tc>
        <w:tc>
          <w:tcPr>
            <w:tcW w:type="dxa" w:w="963"/>
          </w:tcPr>
          <w:p>
            <w:pPr>
              <w:pStyle w:val="Compact"/>
              <w:spacing w:after="20" w:before="20"/>
            </w:pPr>
            <w:r>
              <w:rPr>
                <w:sz w:val="18"/>
              </w:rPr>
              <w:t xml:space="preserve">Medium</w:t>
            </w:r>
          </w:p>
        </w:tc>
        <w:tc>
          <w:tcPr>
            <w:tcW w:type="dxa" w:w="963"/>
          </w:tcPr>
          <w:p>
            <w:pPr>
              <w:pStyle w:val="Compact"/>
              <w:spacing w:after="20" w:before="20"/>
            </w:pPr>
            <w:r>
              <w:rPr>
                <w:sz w:val="18"/>
              </w:rPr>
              <w:t xml:space="preserve">High</w:t>
            </w:r>
          </w:p>
        </w:tc>
        <w:tc>
          <w:tcPr>
            <w:tcW w:type="dxa" w:w="3183"/>
          </w:tcPr>
          <w:p>
            <w:pPr>
              <w:pStyle w:val="Compact"/>
              <w:spacing w:after="20" w:before="20"/>
            </w:pPr>
            <w:r>
              <w:rPr>
                <w:sz w:val="18"/>
              </w:rPr>
              <w:t xml:space="preserve">Option D mandatory; egress deny-list for Lucidic hosts on inference path</w:t>
            </w:r>
          </w:p>
        </w:tc>
        <w:tc>
          <w:tcPr>
            <w:tcW w:type="dxa" w:w="1155"/>
          </w:tcPr>
          <w:p>
            <w:pPr>
              <w:pStyle w:val="Compact"/>
              <w:spacing w:after="20" w:before="20"/>
            </w:pPr>
            <w:r>
              <w:rPr>
                <w:sz w:val="18"/>
              </w:rPr>
              <w:t xml:space="preserve">[Kairos owner]</w:t>
            </w:r>
          </w:p>
        </w:tc>
      </w:tr>
      <w:tr>
        <w:tc>
          <w:tcPr>
            <w:tcW w:type="dxa" w:w="963"/>
            <w:shd w:val="clear" w:color="auto" w:fill="FAFAFA"/>
          </w:tcPr>
          <w:p>
            <w:pPr>
              <w:pStyle w:val="Compact"/>
              <w:spacing w:after="20" w:before="20"/>
            </w:pPr>
            <w:r>
              <w:rPr>
                <w:sz w:val="18"/>
              </w:rPr>
              <w:t xml:space="preserve">R8</w:t>
            </w:r>
          </w:p>
        </w:tc>
        <w:tc>
          <w:tcPr>
            <w:tcW w:type="dxa" w:w="2566"/>
            <w:shd w:val="clear" w:color="auto" w:fill="FAFAFA"/>
          </w:tcPr>
          <w:p>
            <w:pPr>
              <w:pStyle w:val="Compact"/>
              <w:spacing w:after="20" w:before="20"/>
            </w:pPr>
            <w:r>
              <w:rPr>
                <w:sz w:val="18"/>
              </w:rPr>
              <w:t xml:space="preserve">Weights or harness not exportable / IP unclear</w:t>
            </w:r>
          </w:p>
        </w:tc>
        <w:tc>
          <w:tcPr>
            <w:tcW w:type="dxa" w:w="963"/>
            <w:shd w:val="clear" w:color="auto" w:fill="FAFAFA"/>
          </w:tcPr>
          <w:p>
            <w:pPr>
              <w:pStyle w:val="Compact"/>
              <w:spacing w:after="20" w:before="20"/>
            </w:pPr>
            <w:r>
              <w:rPr>
                <w:sz w:val="18"/>
              </w:rPr>
              <w:t xml:space="preserve">Medium</w:t>
            </w:r>
          </w:p>
        </w:tc>
        <w:tc>
          <w:tcPr>
            <w:tcW w:type="dxa" w:w="963"/>
            <w:shd w:val="clear" w:color="auto" w:fill="FAFAFA"/>
          </w:tcPr>
          <w:p>
            <w:pPr>
              <w:pStyle w:val="Compact"/>
              <w:spacing w:after="20" w:before="20"/>
            </w:pPr>
            <w:r>
              <w:rPr>
                <w:sz w:val="18"/>
              </w:rPr>
              <w:t xml:space="preserve">High</w:t>
            </w:r>
          </w:p>
        </w:tc>
        <w:tc>
          <w:tcPr>
            <w:tcW w:type="dxa" w:w="3183"/>
            <w:shd w:val="clear" w:color="auto" w:fill="FAFAFA"/>
          </w:tcPr>
          <w:p>
            <w:pPr>
              <w:pStyle w:val="Compact"/>
              <w:spacing w:after="20" w:before="20"/>
            </w:pPr>
            <w:r>
              <w:rPr>
                <w:sz w:val="18"/>
              </w:rPr>
              <w:t xml:space="preserve">Contract clause before Phase 4; export test as gate</w:t>
            </w:r>
          </w:p>
        </w:tc>
        <w:tc>
          <w:tcPr>
            <w:tcW w:type="dxa" w:w="1155"/>
            <w:shd w:val="clear" w:color="auto" w:fill="FAFAFA"/>
          </w:tcPr>
          <w:p>
            <w:pPr>
              <w:pStyle w:val="Compact"/>
              <w:spacing w:after="20" w:before="20"/>
            </w:pPr>
            <w:r>
              <w:rPr>
                <w:sz w:val="18"/>
              </w:rPr>
              <w:t xml:space="preserve">[Legal / Procurement]</w:t>
            </w:r>
          </w:p>
        </w:tc>
      </w:tr>
      <w:tr>
        <w:tc>
          <w:tcPr>
            <w:tcW w:type="dxa" w:w="963"/>
          </w:tcPr>
          <w:p>
            <w:pPr>
              <w:pStyle w:val="Compact"/>
              <w:spacing w:after="20" w:before="20"/>
            </w:pPr>
            <w:r>
              <w:rPr>
                <w:sz w:val="18"/>
              </w:rPr>
              <w:t xml:space="preserve">R9</w:t>
            </w:r>
          </w:p>
        </w:tc>
        <w:tc>
          <w:tcPr>
            <w:tcW w:type="dxa" w:w="2566"/>
          </w:tcPr>
          <w:p>
            <w:pPr>
              <w:pStyle w:val="Compact"/>
              <w:spacing w:after="20" w:before="20"/>
            </w:pPr>
            <w:r>
              <w:rPr>
                <w:sz w:val="18"/>
              </w:rPr>
              <w:t xml:space="preserve">Vendor maturity: small team, early funding, product pivot</w:t>
            </w:r>
          </w:p>
        </w:tc>
        <w:tc>
          <w:tcPr>
            <w:tcW w:type="dxa" w:w="963"/>
          </w:tcPr>
          <w:p>
            <w:pPr>
              <w:pStyle w:val="Compact"/>
              <w:spacing w:after="20" w:before="20"/>
            </w:pPr>
            <w:r>
              <w:rPr>
                <w:sz w:val="18"/>
              </w:rPr>
              <w:t xml:space="preserve">Medium</w:t>
            </w:r>
          </w:p>
        </w:tc>
        <w:tc>
          <w:tcPr>
            <w:tcW w:type="dxa" w:w="963"/>
          </w:tcPr>
          <w:p>
            <w:pPr>
              <w:pStyle w:val="Compact"/>
              <w:spacing w:after="20" w:before="20"/>
            </w:pPr>
            <w:r>
              <w:rPr>
                <w:sz w:val="18"/>
              </w:rPr>
              <w:t xml:space="preserve">High</w:t>
            </w:r>
          </w:p>
        </w:tc>
        <w:tc>
          <w:tcPr>
            <w:tcW w:type="dxa" w:w="3183"/>
          </w:tcPr>
          <w:p>
            <w:pPr>
              <w:pStyle w:val="Compact"/>
              <w:spacing w:after="20" w:before="20"/>
            </w:pPr>
            <w:r>
              <w:rPr>
                <w:sz w:val="18"/>
              </w:rPr>
              <w:t xml:space="preserve">Escrow and exit plan; artefacts delivered to Verizon each phase; portable formats</w:t>
            </w:r>
          </w:p>
        </w:tc>
        <w:tc>
          <w:tcPr>
            <w:tcW w:type="dxa" w:w="1155"/>
          </w:tcPr>
          <w:p>
            <w:pPr>
              <w:pStyle w:val="Compact"/>
              <w:spacing w:after="20" w:before="20"/>
            </w:pPr>
            <w:r>
              <w:rPr>
                <w:sz w:val="18"/>
              </w:rPr>
              <w:t xml:space="preserve">[Procurement]</w:t>
            </w:r>
          </w:p>
        </w:tc>
      </w:tr>
      <w:tr>
        <w:tc>
          <w:tcPr>
            <w:tcW w:type="dxa" w:w="963"/>
            <w:shd w:val="clear" w:color="auto" w:fill="FAFAFA"/>
          </w:tcPr>
          <w:p>
            <w:pPr>
              <w:pStyle w:val="Compact"/>
              <w:spacing w:after="20" w:before="20"/>
            </w:pPr>
            <w:r>
              <w:rPr>
                <w:sz w:val="18"/>
              </w:rPr>
              <w:t xml:space="preserve">R10</w:t>
            </w:r>
          </w:p>
        </w:tc>
        <w:tc>
          <w:tcPr>
            <w:tcW w:type="dxa" w:w="2566"/>
            <w:shd w:val="clear" w:color="auto" w:fill="FAFAFA"/>
          </w:tcPr>
          <w:p>
            <w:pPr>
              <w:pStyle w:val="Compact"/>
              <w:spacing w:after="20" w:before="20"/>
            </w:pPr>
            <w:r>
              <w:rPr>
                <w:sz w:val="18"/>
              </w:rPr>
              <w:t xml:space="preserve">Gateway hot-path impact if a callback is used</w:t>
            </w:r>
          </w:p>
        </w:tc>
        <w:tc>
          <w:tcPr>
            <w:tcW w:type="dxa" w:w="963"/>
            <w:shd w:val="clear" w:color="auto" w:fill="FAFAFA"/>
          </w:tcPr>
          <w:p>
            <w:pPr>
              <w:pStyle w:val="Compact"/>
              <w:spacing w:after="20" w:before="20"/>
            </w:pPr>
            <w:r>
              <w:rPr>
                <w:sz w:val="18"/>
              </w:rPr>
              <w:t xml:space="preserve">Low</w:t>
            </w:r>
          </w:p>
        </w:tc>
        <w:tc>
          <w:tcPr>
            <w:tcW w:type="dxa" w:w="963"/>
            <w:shd w:val="clear" w:color="auto" w:fill="FAFAFA"/>
          </w:tcPr>
          <w:p>
            <w:pPr>
              <w:pStyle w:val="Compact"/>
              <w:spacing w:after="20" w:before="20"/>
            </w:pPr>
            <w:r>
              <w:rPr>
                <w:sz w:val="18"/>
              </w:rPr>
              <w:t xml:space="preserve">High</w:t>
            </w:r>
          </w:p>
        </w:tc>
        <w:tc>
          <w:tcPr>
            <w:tcW w:type="dxa" w:w="3183"/>
            <w:shd w:val="clear" w:color="auto" w:fill="FAFAFA"/>
          </w:tcPr>
          <w:p>
            <w:pPr>
              <w:pStyle w:val="Compact"/>
              <w:spacing w:after="20" w:before="20"/>
            </w:pPr>
            <w:r>
              <w:rPr>
                <w:sz w:val="18"/>
              </w:rPr>
              <w:t xml:space="preserve">Async, fail-open, bounded queue; fault-injection test; prefer Collector path</w:t>
            </w:r>
          </w:p>
        </w:tc>
        <w:tc>
          <w:tcPr>
            <w:tcW w:type="dxa" w:w="1155"/>
            <w:shd w:val="clear" w:color="auto" w:fill="FAFAFA"/>
          </w:tcPr>
          <w:p>
            <w:pPr>
              <w:pStyle w:val="Compact"/>
              <w:spacing w:after="20" w:before="20"/>
            </w:pPr>
            <w:r>
              <w:rPr>
                <w:sz w:val="18"/>
              </w:rPr>
              <w:t xml:space="preserve">[Kairos owner]</w:t>
            </w:r>
          </w:p>
        </w:tc>
      </w:tr>
      <w:tr>
        <w:tc>
          <w:tcPr>
            <w:tcW w:type="dxa" w:w="963"/>
          </w:tcPr>
          <w:p>
            <w:pPr>
              <w:pStyle w:val="Compact"/>
              <w:spacing w:after="20" w:before="20"/>
            </w:pPr>
            <w:r>
              <w:rPr>
                <w:sz w:val="18"/>
              </w:rPr>
              <w:t xml:space="preserve">R11</w:t>
            </w:r>
          </w:p>
        </w:tc>
        <w:tc>
          <w:tcPr>
            <w:tcW w:type="dxa" w:w="2566"/>
          </w:tcPr>
          <w:p>
            <w:pPr>
              <w:pStyle w:val="Compact"/>
              <w:spacing w:after="20" w:before="20"/>
            </w:pPr>
            <w:r>
              <w:rPr>
                <w:sz w:val="18"/>
              </w:rPr>
              <w:t xml:space="preserve">Residency mis-configuration (US vs India region)</w:t>
            </w:r>
          </w:p>
        </w:tc>
        <w:tc>
          <w:tcPr>
            <w:tcW w:type="dxa" w:w="963"/>
          </w:tcPr>
          <w:p>
            <w:pPr>
              <w:pStyle w:val="Compact"/>
              <w:spacing w:after="20" w:before="20"/>
            </w:pPr>
            <w:r>
              <w:rPr>
                <w:sz w:val="18"/>
              </w:rPr>
              <w:t xml:space="preserve">Low</w:t>
            </w:r>
          </w:p>
        </w:tc>
        <w:tc>
          <w:tcPr>
            <w:tcW w:type="dxa" w:w="963"/>
          </w:tcPr>
          <w:p>
            <w:pPr>
              <w:pStyle w:val="Compact"/>
              <w:spacing w:after="20" w:before="20"/>
            </w:pPr>
            <w:r>
              <w:rPr>
                <w:sz w:val="18"/>
              </w:rPr>
              <w:t xml:space="preserve">High</w:t>
            </w:r>
          </w:p>
        </w:tc>
        <w:tc>
          <w:tcPr>
            <w:tcW w:type="dxa" w:w="3183"/>
          </w:tcPr>
          <w:p>
            <w:pPr>
              <w:pStyle w:val="Compact"/>
              <w:spacing w:after="20" w:before="20"/>
            </w:pPr>
            <w:r>
              <w:rPr>
                <w:sz w:val="18"/>
              </w:rPr>
              <w:t xml:space="preserve">Privacy/Legal determination in Week 0; egress allow-list pinned to approved host</w:t>
            </w:r>
          </w:p>
        </w:tc>
        <w:tc>
          <w:tcPr>
            <w:tcW w:type="dxa" w:w="1155"/>
          </w:tcPr>
          <w:p>
            <w:pPr>
              <w:pStyle w:val="Compact"/>
              <w:spacing w:after="20" w:before="20"/>
            </w:pPr>
            <w:r>
              <w:rPr>
                <w:sz w:val="18"/>
              </w:rPr>
              <w:t xml:space="preserve">[Privacy]</w:t>
            </w:r>
          </w:p>
        </w:tc>
      </w:tr>
      <w:tr>
        <w:tc>
          <w:tcPr>
            <w:tcW w:type="dxa" w:w="963"/>
            <w:shd w:val="clear" w:color="auto" w:fill="FAFAFA"/>
          </w:tcPr>
          <w:p>
            <w:pPr>
              <w:pStyle w:val="Compact"/>
              <w:spacing w:after="20" w:before="20"/>
            </w:pPr>
            <w:r>
              <w:rPr>
                <w:sz w:val="18"/>
              </w:rPr>
              <w:t xml:space="preserve">R12</w:t>
            </w:r>
          </w:p>
        </w:tc>
        <w:tc>
          <w:tcPr>
            <w:tcW w:type="dxa" w:w="2566"/>
            <w:shd w:val="clear" w:color="auto" w:fill="FAFAFA"/>
          </w:tcPr>
          <w:p>
            <w:pPr>
              <w:pStyle w:val="Compact"/>
              <w:spacing w:after="20" w:before="20"/>
            </w:pPr>
            <w:r>
              <w:rPr>
                <w:sz w:val="18"/>
              </w:rPr>
              <w:t xml:space="preserve">Base-model licence unsuitable for Verizon use</w:t>
            </w:r>
          </w:p>
        </w:tc>
        <w:tc>
          <w:tcPr>
            <w:tcW w:type="dxa" w:w="963"/>
            <w:shd w:val="clear" w:color="auto" w:fill="FAFAFA"/>
          </w:tcPr>
          <w:p>
            <w:pPr>
              <w:pStyle w:val="Compact"/>
              <w:spacing w:after="20" w:before="20"/>
            </w:pPr>
            <w:r>
              <w:rPr>
                <w:sz w:val="18"/>
              </w:rPr>
              <w:t xml:space="preserve">Medium</w:t>
            </w:r>
          </w:p>
        </w:tc>
        <w:tc>
          <w:tcPr>
            <w:tcW w:type="dxa" w:w="963"/>
            <w:shd w:val="clear" w:color="auto" w:fill="FAFAFA"/>
          </w:tcPr>
          <w:p>
            <w:pPr>
              <w:pStyle w:val="Compact"/>
              <w:spacing w:after="20" w:before="20"/>
            </w:pPr>
            <w:r>
              <w:rPr>
                <w:sz w:val="18"/>
              </w:rPr>
              <w:t xml:space="preserve">Medium</w:t>
            </w:r>
          </w:p>
        </w:tc>
        <w:tc>
          <w:tcPr>
            <w:tcW w:type="dxa" w:w="3183"/>
            <w:shd w:val="clear" w:color="auto" w:fill="FAFAFA"/>
          </w:tcPr>
          <w:p>
            <w:pPr>
              <w:pStyle w:val="Compact"/>
              <w:spacing w:after="20" w:before="20"/>
            </w:pPr>
            <w:r>
              <w:rPr>
                <w:sz w:val="18"/>
              </w:rPr>
              <w:t xml:space="preserve">Legal review of candidate base models in Week 3</w:t>
            </w:r>
          </w:p>
        </w:tc>
        <w:tc>
          <w:tcPr>
            <w:tcW w:type="dxa" w:w="1155"/>
            <w:shd w:val="clear" w:color="auto" w:fill="FAFAFA"/>
          </w:tcPr>
          <w:p>
            <w:pPr>
              <w:pStyle w:val="Compact"/>
              <w:spacing w:after="20" w:before="20"/>
            </w:pPr>
            <w:r>
              <w:rPr>
                <w:sz w:val="18"/>
              </w:rPr>
              <w:t xml:space="preserve">[Legal]</w:t>
            </w:r>
          </w:p>
        </w:tc>
      </w:tr>
      <w:tr>
        <w:tc>
          <w:tcPr>
            <w:tcW w:type="dxa" w:w="963"/>
          </w:tcPr>
          <w:p>
            <w:pPr>
              <w:pStyle w:val="Compact"/>
              <w:spacing w:after="20" w:before="20"/>
            </w:pPr>
            <w:r>
              <w:rPr>
                <w:sz w:val="18"/>
              </w:rPr>
              <w:t xml:space="preserve">R13</w:t>
            </w:r>
          </w:p>
        </w:tc>
        <w:tc>
          <w:tcPr>
            <w:tcW w:type="dxa" w:w="2566"/>
          </w:tcPr>
          <w:p>
            <w:pPr>
              <w:pStyle w:val="Compact"/>
              <w:spacing w:after="20" w:before="20"/>
            </w:pPr>
            <w:r>
              <w:rPr>
                <w:sz w:val="18"/>
              </w:rPr>
              <w:t xml:space="preserve">Insufficient labelled outcomes for rewards</w:t>
            </w:r>
          </w:p>
        </w:tc>
        <w:tc>
          <w:tcPr>
            <w:tcW w:type="dxa" w:w="963"/>
          </w:tcPr>
          <w:p>
            <w:pPr>
              <w:pStyle w:val="Compact"/>
              <w:spacing w:after="20" w:before="20"/>
            </w:pPr>
            <w:r>
              <w:rPr>
                <w:sz w:val="18"/>
              </w:rPr>
              <w:t xml:space="preserve">Medium</w:t>
            </w:r>
          </w:p>
        </w:tc>
        <w:tc>
          <w:tcPr>
            <w:tcW w:type="dxa" w:w="963"/>
          </w:tcPr>
          <w:p>
            <w:pPr>
              <w:pStyle w:val="Compact"/>
              <w:spacing w:after="20" w:before="20"/>
            </w:pPr>
            <w:r>
              <w:rPr>
                <w:sz w:val="18"/>
              </w:rPr>
              <w:t xml:space="preserve">Medium</w:t>
            </w:r>
          </w:p>
        </w:tc>
        <w:tc>
          <w:tcPr>
            <w:tcW w:type="dxa" w:w="3183"/>
          </w:tcPr>
          <w:p>
            <w:pPr>
              <w:pStyle w:val="Compact"/>
              <w:spacing w:after="20" w:before="20"/>
            </w:pPr>
            <w:r>
              <w:rPr>
                <w:sz w:val="18"/>
              </w:rPr>
              <w:t xml:space="preserve">SME rubric; LLM-judge calibrated against SME labels</w:t>
            </w:r>
          </w:p>
        </w:tc>
        <w:tc>
          <w:tcPr>
            <w:tcW w:type="dxa" w:w="1155"/>
          </w:tcPr>
          <w:p>
            <w:pPr>
              <w:pStyle w:val="Compact"/>
              <w:spacing w:after="20" w:before="20"/>
            </w:pPr>
            <w:r>
              <w:rPr>
                <w:sz w:val="18"/>
              </w:rPr>
              <w:t xml:space="preserve">[Use-case owner]</w:t>
            </w:r>
          </w:p>
        </w:tc>
      </w:tr>
      <w:tr>
        <w:tc>
          <w:tcPr>
            <w:tcW w:type="dxa" w:w="963"/>
            <w:shd w:val="clear" w:color="auto" w:fill="FAFAFA"/>
          </w:tcPr>
          <w:p>
            <w:pPr>
              <w:pStyle w:val="Compact"/>
              <w:spacing w:after="20" w:before="20"/>
            </w:pPr>
            <w:r>
              <w:rPr>
                <w:sz w:val="18"/>
              </w:rPr>
              <w:t xml:space="preserve">R14</w:t>
            </w:r>
          </w:p>
        </w:tc>
        <w:tc>
          <w:tcPr>
            <w:tcW w:type="dxa" w:w="2566"/>
            <w:shd w:val="clear" w:color="auto" w:fill="FAFAFA"/>
          </w:tcPr>
          <w:p>
            <w:pPr>
              <w:pStyle w:val="Compact"/>
              <w:spacing w:after="20" w:before="20"/>
            </w:pPr>
            <w:r>
              <w:rPr>
                <w:sz w:val="18"/>
              </w:rPr>
              <w:t xml:space="preserve">SME and team capacity</w:t>
            </w:r>
          </w:p>
        </w:tc>
        <w:tc>
          <w:tcPr>
            <w:tcW w:type="dxa" w:w="963"/>
            <w:shd w:val="clear" w:color="auto" w:fill="FAFAFA"/>
          </w:tcPr>
          <w:p>
            <w:pPr>
              <w:pStyle w:val="Compact"/>
              <w:spacing w:after="20" w:before="20"/>
            </w:pPr>
            <w:r>
              <w:rPr>
                <w:sz w:val="18"/>
              </w:rPr>
              <w:t xml:space="preserve">Medium</w:t>
            </w:r>
          </w:p>
        </w:tc>
        <w:tc>
          <w:tcPr>
            <w:tcW w:type="dxa" w:w="963"/>
            <w:shd w:val="clear" w:color="auto" w:fill="FAFAFA"/>
          </w:tcPr>
          <w:p>
            <w:pPr>
              <w:pStyle w:val="Compact"/>
              <w:spacing w:after="20" w:before="20"/>
            </w:pPr>
            <w:r>
              <w:rPr>
                <w:sz w:val="18"/>
              </w:rPr>
              <w:t xml:space="preserve">Medium</w:t>
            </w:r>
          </w:p>
        </w:tc>
        <w:tc>
          <w:tcPr>
            <w:tcW w:type="dxa" w:w="3183"/>
            <w:shd w:val="clear" w:color="auto" w:fill="FAFAFA"/>
          </w:tcPr>
          <w:p>
            <w:pPr>
              <w:pStyle w:val="Compact"/>
              <w:spacing w:after="20" w:before="20"/>
            </w:pPr>
            <w:r>
              <w:rPr>
                <w:sz w:val="18"/>
              </w:rPr>
              <w:t xml:space="preserve">Hours committed in RACI; weekly checkpoint</w:t>
            </w:r>
          </w:p>
        </w:tc>
        <w:tc>
          <w:tcPr>
            <w:tcW w:type="dxa" w:w="1155"/>
            <w:shd w:val="clear" w:color="auto" w:fill="FAFAFA"/>
          </w:tcPr>
          <w:p>
            <w:pPr>
              <w:pStyle w:val="Compact"/>
              <w:spacing w:after="20" w:before="20"/>
            </w:pPr>
            <w:r>
              <w:rPr>
                <w:sz w:val="18"/>
              </w:rPr>
              <w:t xml:space="preserve">[Pilot lead]</w:t>
            </w:r>
          </w:p>
        </w:tc>
      </w:tr>
      <w:tr>
        <w:tc>
          <w:tcPr>
            <w:tcW w:type="dxa" w:w="963"/>
          </w:tcPr>
          <w:p>
            <w:pPr>
              <w:pStyle w:val="Compact"/>
              <w:spacing w:after="20" w:before="20"/>
            </w:pPr>
            <w:r>
              <w:rPr>
                <w:sz w:val="18"/>
              </w:rPr>
              <w:t xml:space="preserve">R15</w:t>
            </w:r>
          </w:p>
        </w:tc>
        <w:tc>
          <w:tcPr>
            <w:tcW w:type="dxa" w:w="2566"/>
          </w:tcPr>
          <w:p>
            <w:pPr>
              <w:pStyle w:val="Compact"/>
              <w:spacing w:after="20" w:before="20"/>
            </w:pPr>
            <w:r>
              <w:rPr>
                <w:sz w:val="18"/>
              </w:rPr>
              <w:t xml:space="preserve">Benchmark claims not reproducible on Verizon data</w:t>
            </w:r>
          </w:p>
        </w:tc>
        <w:tc>
          <w:tcPr>
            <w:tcW w:type="dxa" w:w="963"/>
          </w:tcPr>
          <w:p>
            <w:pPr>
              <w:pStyle w:val="Compact"/>
              <w:spacing w:after="20" w:before="20"/>
            </w:pPr>
            <w:r>
              <w:rPr>
                <w:sz w:val="18"/>
              </w:rPr>
              <w:t xml:space="preserve">Medium</w:t>
            </w:r>
          </w:p>
        </w:tc>
        <w:tc>
          <w:tcPr>
            <w:tcW w:type="dxa" w:w="963"/>
          </w:tcPr>
          <w:p>
            <w:pPr>
              <w:pStyle w:val="Compact"/>
              <w:spacing w:after="20" w:before="20"/>
            </w:pPr>
            <w:r>
              <w:rPr>
                <w:sz w:val="18"/>
              </w:rPr>
              <w:t xml:space="preserve">Medium</w:t>
            </w:r>
          </w:p>
        </w:tc>
        <w:tc>
          <w:tcPr>
            <w:tcW w:type="dxa" w:w="3183"/>
          </w:tcPr>
          <w:p>
            <w:pPr>
              <w:pStyle w:val="Compact"/>
              <w:spacing w:after="20" w:before="20"/>
            </w:pPr>
            <w:r>
              <w:rPr>
                <w:sz w:val="18"/>
              </w:rPr>
              <w:t xml:space="preserve">Verizon-controlled held-out set and eval reproduced on exported model</w:t>
            </w:r>
          </w:p>
        </w:tc>
        <w:tc>
          <w:tcPr>
            <w:tcW w:type="dxa" w:w="1155"/>
          </w:tcPr>
          <w:p>
            <w:pPr>
              <w:pStyle w:val="Compact"/>
              <w:spacing w:after="20" w:before="20"/>
            </w:pPr>
            <w:r>
              <w:rPr>
                <w:sz w:val="18"/>
              </w:rPr>
              <w:t xml:space="preserve">[ML/eval]</w:t>
            </w:r>
          </w:p>
        </w:tc>
      </w:tr>
    </w:tbl>
    <w:bookmarkEnd w:id="60"/>
    <w:bookmarkStart w:id="61" w:name="open-questions-for-lucidic"/>
    <w:p>
      <w:pPr>
        <w:pStyle w:val="Heading1"/>
      </w:pPr>
      <w:r>
        <w:t xml:space="preserve">11. Open questions for Lucidic</w:t>
      </w:r>
    </w:p>
    <w:p>
      <w:pPr>
        <w:pStyle w:val="FirstParagraph"/>
      </w:pPr>
      <w:r>
        <w:rPr>
          <w:b/>
          <w:bCs/>
        </w:rPr>
        <w:t xml:space="preserve">Integration (Q-I)</w:t>
      </w:r>
    </w:p>
    <w:p>
      <w:pPr>
        <w:pStyle w:val="Compact"/>
        <w:numPr>
          <w:ilvl w:val="0"/>
          <w:numId w:val="1013"/>
        </w:numPr>
      </w:pPr>
      <w:r>
        <w:t xml:space="preserve">Is there, or will there be, an OTLP or bulk-import endpoint for foreign traces? Which semantic conventions (GenAI, OpenInference) are supported, and by when? [date]</w:t>
      </w:r>
    </w:p>
    <w:p>
      <w:pPr>
        <w:pStyle w:val="Compact"/>
        <w:numPr>
          <w:ilvl w:val="0"/>
          <w:numId w:val="1013"/>
        </w:numPr>
      </w:pPr>
      <w:r>
        <w:t xml:space="preserve">What is the authoritative schema for sessions, events and tool events? Is it versioned?</w:t>
      </w:r>
    </w:p>
    <w:p>
      <w:pPr>
        <w:pStyle w:val="Compact"/>
        <w:numPr>
          <w:ilvl w:val="0"/>
          <w:numId w:val="1013"/>
        </w:numPr>
      </w:pPr>
      <w:r>
        <w:t xml:space="preserve">Please confirm that spans without</w:t>
      </w:r>
      <w:r>
        <w:t xml:space="preserve"> </w:t>
      </w:r>
      <w:r>
        <w:rPr>
          <w:rStyle w:val="VerbatimChar"/>
        </w:rPr>
        <w:t xml:space="preserve">lucidic.session_id</w:t>
      </w:r>
      <w:r>
        <w:t xml:space="preserve"> </w:t>
      </w:r>
      <w:r>
        <w:t xml:space="preserve">are dropped. Can sessions be grouped server-side by a configurable key?</w:t>
      </w:r>
    </w:p>
    <w:p>
      <w:pPr>
        <w:pStyle w:val="Compact"/>
        <w:numPr>
          <w:ilvl w:val="0"/>
          <w:numId w:val="1013"/>
        </w:numPr>
      </w:pPr>
      <w:r>
        <w:t xml:space="preserve">Can the LiteLLM bridge run as a standalone logger in a LiteLLM proxy deployment, asynchronously and fail-open?</w:t>
      </w:r>
    </w:p>
    <w:p>
      <w:pPr>
        <w:pStyle w:val="Compact"/>
        <w:numPr>
          <w:ilvl w:val="0"/>
          <w:numId w:val="1013"/>
        </w:numPr>
      </w:pPr>
      <w:r>
        <w:t xml:space="preserve">Can tool mocking be trace-based or gateway-level, with no</w:t>
      </w:r>
      <w:r>
        <w:t xml:space="preserve"> </w:t>
      </w:r>
      <w:r>
        <w:rPr>
          <w:rStyle w:val="VerbatimChar"/>
        </w:rPr>
        <w:t xml:space="preserve">@mockable</w:t>
      </w:r>
      <w:r>
        <w:t xml:space="preserve"> </w:t>
      </w:r>
      <w:r>
        <w:t xml:space="preserve">decorators? How is drift detected without code access?</w:t>
      </w:r>
    </w:p>
    <w:p>
      <w:pPr>
        <w:pStyle w:val="Compact"/>
        <w:numPr>
          <w:ilvl w:val="0"/>
          <w:numId w:val="1013"/>
        </w:numPr>
      </w:pPr>
      <w:r>
        <w:t xml:space="preserve">Does masking apply on the v3 telemetry exporter path? Is vendor-side redaction on the roadmap?</w:t>
      </w:r>
    </w:p>
    <w:p>
      <w:pPr>
        <w:pStyle w:val="Compact"/>
        <w:numPr>
          <w:ilvl w:val="0"/>
          <w:numId w:val="1013"/>
        </w:numPr>
      </w:pPr>
      <w:r>
        <w:t xml:space="preserve">Can cost and latency be taken from Kairos values rather than the SDK price table?</w:t>
      </w:r>
    </w:p>
    <w:p>
      <w:pPr>
        <w:pStyle w:val="FirstParagraph"/>
      </w:pPr>
      <w:r>
        <w:rPr>
          <w:b/>
          <w:bCs/>
        </w:rPr>
        <w:t xml:space="preserve">Method (Q-M)</w:t>
      </w:r>
    </w:p>
    <w:p>
      <w:pPr>
        <w:pStyle w:val="Compact"/>
        <w:numPr>
          <w:ilvl w:val="0"/>
          <w:numId w:val="1014"/>
        </w:numPr>
      </w:pPr>
      <w:r>
        <w:t xml:space="preserve">How is simulation fidelity validated (sim-vs-real agreement), and what are typical results?</w:t>
      </w:r>
    </w:p>
    <w:p>
      <w:pPr>
        <w:pStyle w:val="Compact"/>
        <w:numPr>
          <w:ilvl w:val="0"/>
          <w:numId w:val="1014"/>
        </w:numPr>
      </w:pPr>
      <w:r>
        <w:t xml:space="preserve">Which harness parameters can EvoSim search? Can routing policy be fixed or treated as a parameter?</w:t>
      </w:r>
    </w:p>
    <w:p>
      <w:pPr>
        <w:pStyle w:val="Compact"/>
        <w:numPr>
          <w:ilvl w:val="0"/>
          <w:numId w:val="1014"/>
        </w:numPr>
      </w:pPr>
      <w:r>
        <w:t xml:space="preserve">What exactly are Training Modules (memory, knowledge, verify)? How is memory learned, stored, inspected and deleted?</w:t>
      </w:r>
    </w:p>
    <w:p>
      <w:pPr>
        <w:pStyle w:val="Compact"/>
        <w:numPr>
          <w:ilvl w:val="0"/>
          <w:numId w:val="1014"/>
        </w:numPr>
      </w:pPr>
      <w:r>
        <w:t xml:space="preserve">Which base models are supported for fine-tuning/RL, and what are their licences? Where does training run?</w:t>
      </w:r>
    </w:p>
    <w:p>
      <w:pPr>
        <w:pStyle w:val="FirstParagraph"/>
      </w:pPr>
      <w:r>
        <w:rPr>
          <w:b/>
          <w:bCs/>
        </w:rPr>
        <w:t xml:space="preserve">Deployment and security (Q-D)</w:t>
      </w:r>
    </w:p>
    <w:p>
      <w:pPr>
        <w:pStyle w:val="Compact"/>
        <w:numPr>
          <w:ilvl w:val="0"/>
          <w:numId w:val="1015"/>
        </w:numPr>
      </w:pPr>
      <w:r>
        <w:t xml:space="preserve">Q-D1: Is single-tenant deployment in a customer cloud account (BYOC or managed) available? Which clouds?</w:t>
      </w:r>
    </w:p>
    <w:p>
      <w:pPr>
        <w:pStyle w:val="Compact"/>
        <w:numPr>
          <w:ilvl w:val="0"/>
          <w:numId w:val="1015"/>
        </w:numPr>
      </w:pPr>
      <w:r>
        <w:t xml:space="preserve">Q-D2: Is PrivateLink or equivalent private connectivity available?</w:t>
      </w:r>
    </w:p>
    <w:p>
      <w:pPr>
        <w:pStyle w:val="Compact"/>
        <w:numPr>
          <w:ilvl w:val="0"/>
          <w:numId w:val="1015"/>
        </w:numPr>
      </w:pPr>
      <w:r>
        <w:t xml:space="preserve">Q-D3: Is self-hosted Kubernetes (images, Helm) available or planned?</w:t>
      </w:r>
    </w:p>
    <w:p>
      <w:pPr>
        <w:pStyle w:val="Compact"/>
        <w:numPr>
          <w:ilvl w:val="0"/>
          <w:numId w:val="1015"/>
        </w:numPr>
      </w:pPr>
      <w:r>
        <w:t xml:space="preserve">Q-D4: Is a control plane / data plane split available? What crosses the boundary?</w:t>
      </w:r>
    </w:p>
    <w:p>
      <w:pPr>
        <w:pStyle w:val="Compact"/>
        <w:numPr>
          <w:ilvl w:val="0"/>
          <w:numId w:val="1015"/>
        </w:numPr>
      </w:pPr>
      <w:r>
        <w:t xml:space="preserve">Q-D5: Where are the US and India regions hosted, including backups and support access? Who are the subprocessors?</w:t>
      </w:r>
    </w:p>
    <w:p>
      <w:pPr>
        <w:pStyle w:val="Compact"/>
        <w:numPr>
          <w:ilvl w:val="0"/>
          <w:numId w:val="1015"/>
        </w:numPr>
      </w:pPr>
      <w:r>
        <w:t xml:space="preserve">Q-D6: Status of SOC 2 Type II, latest pen test, BYOK/KMS, SSO/SAML, SCIM, RBAC and audit log export.</w:t>
      </w:r>
    </w:p>
    <w:p>
      <w:pPr>
        <w:pStyle w:val="Compact"/>
        <w:numPr>
          <w:ilvl w:val="0"/>
          <w:numId w:val="1015"/>
        </w:numPr>
      </w:pPr>
      <w:r>
        <w:t xml:space="preserve">What are default retention periods, and how is deletion certified?</w:t>
      </w:r>
    </w:p>
    <w:p>
      <w:pPr>
        <w:pStyle w:val="FirstParagraph"/>
      </w:pPr>
      <w:r>
        <w:rPr>
          <w:b/>
          <w:bCs/>
        </w:rPr>
        <w:t xml:space="preserve">Portability and commercial (Q-C)</w:t>
      </w:r>
    </w:p>
    <w:p>
      <w:pPr>
        <w:pStyle w:val="Compact"/>
        <w:numPr>
          <w:ilvl w:val="0"/>
          <w:numId w:val="1016"/>
        </w:numPr>
      </w:pPr>
      <w:r>
        <w:t xml:space="preserve">Can weights (for example safetensors plus tokenizer/config) and harness (plain config) be exported and run without the Lucidic runtime? Who owns them contractually?</w:t>
      </w:r>
    </w:p>
    <w:p>
      <w:pPr>
        <w:pStyle w:val="Compact"/>
        <w:numPr>
          <w:ilvl w:val="0"/>
          <w:numId w:val="1016"/>
        </w:numPr>
      </w:pPr>
      <w:r>
        <w:t xml:space="preserve">Will Lucidic agree to source-code escrow and a documented exit plan for production?</w:t>
      </w:r>
    </w:p>
    <w:p>
      <w:pPr>
        <w:pStyle w:val="Compact"/>
        <w:numPr>
          <w:ilvl w:val="0"/>
          <w:numId w:val="1016"/>
        </w:numPr>
      </w:pPr>
      <w:r>
        <w:t xml:space="preserve">POC pricing, conversion terms and production pricing model.</w:t>
      </w:r>
    </w:p>
    <w:p>
      <w:pPr>
        <w:pStyle w:val="Compact"/>
        <w:numPr>
          <w:ilvl w:val="0"/>
          <w:numId w:val="1016"/>
        </w:numPr>
      </w:pPr>
      <w:r>
        <w:t xml:space="preserve">Support model and SLA; team size dedicated to the engagement.</w:t>
      </w:r>
    </w:p>
    <w:p>
      <w:pPr>
        <w:pStyle w:val="Compact"/>
        <w:numPr>
          <w:ilvl w:val="0"/>
          <w:numId w:val="1016"/>
        </w:numPr>
      </w:pPr>
      <w:r>
        <w:t xml:space="preserve">Can Lucidic share enterprise references?</w:t>
      </w:r>
    </w:p>
    <w:p>
      <w:pPr>
        <w:pStyle w:val="Compact"/>
        <w:numPr>
          <w:ilvl w:val="0"/>
          <w:numId w:val="1016"/>
        </w:numPr>
      </w:pPr>
      <w:r>
        <w:t xml:space="preserve">Is lucidic.co (private rollout, on-prem tier) the same company or offering?</w:t>
      </w:r>
    </w:p>
    <w:p>
      <w:r>
        <w:pict>
          <v:rect style="width:0;height:1.5pt" o:hralign="center" o:hrstd="t" o:hr="t"/>
        </w:pict>
      </w:r>
    </w:p>
    <w:p>
      <w:pPr>
        <w:pStyle w:val="FirstParagraph"/>
      </w:pPr>
      <w:r>
        <w:rPr>
          <w:i/>
          <w:iCs/>
        </w:rPr>
        <w:t xml:space="preserve">Placeholders in square brackets are to be agreed by named owners before Week 1. SDK-derived findings reflect a static review of public packages and are subject to confirmation by Lucidic.</w:t>
      </w:r>
    </w:p>
    <w:bookmarkEnd w:id="61"/>
    <w:sectPr>
      <w:footerReference w:type="default" r:id="rId9"/>
      <w:footnotePr>
        <w:numRestart w:val="eachSect"/>
      </w:footnotePr>
      <w:pgMar w:bottom="1152"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Verizon × Lucidic AI — POC plan · Draft v0.1 · [classification label] · Page </w:t>
    </w:r>
    <w:r>
      <w:rPr>
        <w:color w:val="555555"/>
        <w:sz w:val="16"/>
      </w:rPr>
      <w:fldChar w:fldCharType="begin"/>
    </w:r>
    <w:r>
      <w:rPr>
        <w:color w:val="555555"/>
        <w:sz w:val="16"/>
      </w:rPr>
      <w:instrText xml:space="preserve">PAGE</w:instrText>
    </w:r>
    <w:r>
      <w:rPr>
        <w:color w:val="555555"/>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1F1F"/>
      <w:sz w:val="21"/>
    </w:rPr>
  </w:style>
  <w:style w:styleId="BodyText" w:type="paragraph">
    <w:name w:val="Body Text"/>
    <w:basedOn w:val="Normal"/>
    <w:link w:val="BodyTextChar"/>
    <w:qFormat/>
    <w:pPr>
      <w:spacing w:after="120" w:before="0"/>
    </w:pPr>
    <w:rPr>
      <w:rFonts w:ascii="Calibri" w:cs="Calibri" w:eastAsia="Calibri" w:hAnsi="Calibri"/>
      <w:color w:val="1F1F1F"/>
      <w:sz w:val="21"/>
    </w:rPr>
  </w:style>
  <w:style w:customStyle="1" w:styleId="FirstParagraph" w:type="paragraph">
    <w:name w:val="First Paragraph"/>
    <w:basedOn w:val="BodyText"/>
    <w:next w:val="BodyText"/>
    <w:qFormat/>
    <w:pPr>
      <w:spacing w:after="120" w:before="0"/>
    </w:pPr>
    <w:rPr>
      <w:rFonts w:ascii="Calibri" w:cs="Calibri" w:eastAsia="Calibri" w:hAnsi="Calibri"/>
      <w:color w:val="1F1F1F"/>
      <w:sz w:val="21"/>
    </w:rPr>
  </w:style>
  <w:style w:customStyle="1" w:styleId="Compact" w:type="paragraph">
    <w:name w:val="Compact"/>
    <w:basedOn w:val="BodyText"/>
    <w:qFormat/>
    <w:pPr>
      <w:spacing w:after="36" w:before="36"/>
    </w:pPr>
    <w:rPr>
      <w:rFonts w:ascii="Calibri" w:cs="Calibri" w:eastAsia="Calibri" w:hAnsi="Calibri"/>
      <w:color w:val="1F1F1F"/>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1F1F"/>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color w:val="555555"/>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cs="Calibri" w:eastAsia="Calibri" w:hAnsi="Calibri"/>
      <w:b w:val="0"/>
      <w:color w:val="555555"/>
      <w:sz w:val="22"/>
      <w:szCs w:val="24"/>
    </w:rPr>
  </w:style>
  <w:style w:styleId="Date" w:type="paragraph">
    <w:name w:val="Date"/>
    <w:basedOn w:val="Title"/>
    <w:next w:val="BodyText"/>
    <w:qFormat/>
    <w:pPr>
      <w:keepNext/>
      <w:keepLines/>
    </w:pPr>
    <w:rPr>
      <w:rFonts w:ascii="Calibri" w:cs="Calibri" w:eastAsia="Calibri" w:hAnsi="Calibri"/>
      <w:b w:val="0"/>
      <w:color w:val="555555"/>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20" w:before="360"/>
      <w:outlineLvl w:val="0"/>
    </w:pPr>
    <w:rPr>
      <w:rFonts w:ascii="Calibri" w:cs="Calibri" w:eastAsia="Calibri" w:hAnsi="Calibri"/>
      <w:b/>
      <w:color w:val="CD040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cs="Calibri" w:eastAsia="Calibri" w:hAnsi="Calibri"/>
      <w:b/>
      <w:color w:val="1F1F1F"/>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Calibri" w:eastAsia="Calibri" w:hAnsi="Calibri"/>
      <w:b/>
      <w:color w:val="1F1F1F"/>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b w:val="0"/>
      <w:i/>
      <w:color w:val="555555"/>
      <w:sz w:val="18"/>
    </w:rPr>
  </w:style>
  <w:style w:customStyle="1" w:styleId="ImageCaption" w:type="paragraph">
    <w:name w:val="Image Caption"/>
    <w:basedOn w:val="Caption"/>
    <w:rPr>
      <w:rFonts w:ascii="Calibri" w:cs="Calibri" w:eastAsia="Calibri" w:hAnsi="Calibri"/>
      <w:b w:val="0"/>
      <w:i/>
      <w:color w:val="555555"/>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13" Type="http://schemas.openxmlformats.org/officeDocument/2006/relationships/image" Target="media/rId1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Lucidic AI Pilot: POC Plan and Verizon Expectations</dc:title>
  <dc:creator>Varun Saagar, Verizon</dc:creator>
  <cp:keywords/>
  <dcterms:created xsi:type="dcterms:W3CDTF">2026-10-12T09:15:45Z</dcterms:created>
  <dcterms:modified xsi:type="dcterms:W3CDTF">2026-10-12T09:15:45Z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 · Draft v0.1 for review</vt:lpwstr>
  </property>
  <property fmtid="{D5CDD505-2E9C-101B-9397-08002B2CF9AE}" pid="3" name="subtitle">
    <vt:lpwstr>Trace-to-custom-model pilot through the Kairos LLM gateway</vt:lpwstr>
  </property>
  <property fmtid="{D5CDD505-2E9C-101B-9397-08002B2CF9AE}" pid="4" name="toc-title">
    <vt:lpwstr>Contents</vt:lpwstr>
  </property>
</Properties>
</file>