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Harness Optimisation for Verizon Agents</w:t>
      </w:r>
    </w:p>
    <w:p>
      <w:pPr>
        <w:pStyle w:val="Subtitle"/>
      </w:pPr>
      <w:r>
        <w:t xml:space="preserve">State of the art, open problems and a POC evaluation protocol for the Lucidic AI pilot</w:t>
      </w:r>
    </w:p>
    <w:p>
      <w:pPr>
        <w:pStyle w:val="Author"/>
      </w:pPr>
      <w:r>
        <w:t xml:space="preserve">Varun Saagar, Verizon</w:t>
      </w:r>
    </w:p>
    <w:p>
      <w:pPr>
        <w:pStyle w:val="Date"/>
      </w:pPr>
      <w:r>
        <w:t xml:space="preserve">12 October 2026 · Research note v0.1 · companion to the Lucidic POC plan</w:t>
      </w:r>
    </w:p>
    <w:bookmarkStart w:id="9" w:name="document-control"/>
    <w:p>
      <w:pPr>
        <w:pStyle w:val="Heading1"/>
      </w:pPr>
      <w:r>
        <w:t xml:space="preserve">Document control</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832"/>
        <w:gridCol w:w="7959"/>
      </w:tblGrid>
      <w:tr>
        <w:trPr>
          <w:tblHeader w:val="on"/>
          <w:tblHeader w:val="true"/>
        </w:trPr>
        <w:tc>
          <w:tcPr>
            <w:tcW w:type="dxa" w:w="1832"/>
            <w:shd w:val="clear" w:color="auto" w:fill="1F1F1F"/>
          </w:tcPr>
          <w:p>
            <w:pPr>
              <w:pStyle w:val="Compact"/>
              <w:spacing w:after="20" w:before="20"/>
            </w:pPr>
            <w:r>
              <w:rPr>
                <w:b/>
                <w:color w:val="FFFFFF"/>
                <w:sz w:val="18"/>
              </w:rPr>
              <w:t xml:space="preserve">Item</w:t>
            </w:r>
          </w:p>
        </w:tc>
        <w:tc>
          <w:tcPr>
            <w:tcW w:type="dxa" w:w="7960"/>
            <w:shd w:val="clear" w:color="auto" w:fill="1F1F1F"/>
          </w:tcPr>
          <w:p>
            <w:pPr>
              <w:pStyle w:val="Compact"/>
              <w:spacing w:after="20" w:before="20"/>
            </w:pPr>
            <w:r>
              <w:rPr>
                <w:b/>
                <w:color w:val="FFFFFF"/>
                <w:sz w:val="18"/>
              </w:rPr>
              <w:t xml:space="preserve">Detail</w:t>
            </w:r>
          </w:p>
        </w:tc>
      </w:tr>
      <w:tr>
        <w:tc>
          <w:tcPr>
            <w:tcW w:type="dxa" w:w="1832"/>
            <w:shd w:val="clear" w:color="auto" w:fill="F2F2F2"/>
          </w:tcPr>
          <w:p>
            <w:pPr>
              <w:pStyle w:val="Compact"/>
              <w:spacing w:after="20" w:before="20"/>
            </w:pPr>
            <w:r>
              <w:rPr>
                <w:b/>
                <w:sz w:val="18"/>
              </w:rPr>
              <w:t xml:space="preserve">Document</w:t>
            </w:r>
          </w:p>
        </w:tc>
        <w:tc>
          <w:tcPr>
            <w:tcW w:type="dxa" w:w="7960"/>
          </w:tcPr>
          <w:p>
            <w:pPr>
              <w:pStyle w:val="Compact"/>
              <w:spacing w:after="20" w:before="20"/>
            </w:pPr>
            <w:r>
              <w:rPr>
                <w:sz w:val="18"/>
              </w:rPr>
              <w:t xml:space="preserve">Harness optimisation: research review and POC evaluation protocol</w:t>
            </w:r>
          </w:p>
        </w:tc>
      </w:tr>
      <w:tr>
        <w:tc>
          <w:tcPr>
            <w:tcW w:type="dxa" w:w="1832"/>
            <w:shd w:val="clear" w:color="auto" w:fill="F2F2F2"/>
          </w:tcPr>
          <w:p>
            <w:pPr>
              <w:pStyle w:val="Compact"/>
              <w:spacing w:after="20" w:before="20"/>
            </w:pPr>
            <w:r>
              <w:rPr>
                <w:b/>
                <w:sz w:val="18"/>
              </w:rPr>
              <w:t xml:space="preserve">Version / status</w:t>
            </w:r>
          </w:p>
        </w:tc>
        <w:tc>
          <w:tcPr>
            <w:tcW w:type="dxa" w:w="7960"/>
            <w:shd w:val="clear" w:color="auto" w:fill="FAFAFA"/>
          </w:tcPr>
          <w:p>
            <w:pPr>
              <w:pStyle w:val="Compact"/>
              <w:spacing w:after="20" w:before="20"/>
            </w:pPr>
            <w:r>
              <w:rPr>
                <w:sz w:val="18"/>
              </w:rPr>
              <w:t xml:space="preserve">v0.1, research note for internal review; condensed version added as Section 12 of the POC plan</w:t>
            </w:r>
          </w:p>
        </w:tc>
      </w:tr>
      <w:tr>
        <w:tc>
          <w:tcPr>
            <w:tcW w:type="dxa" w:w="1832"/>
            <w:shd w:val="clear" w:color="auto" w:fill="F2F2F2"/>
          </w:tcPr>
          <w:p>
            <w:pPr>
              <w:pStyle w:val="Compact"/>
              <w:spacing w:after="20" w:before="20"/>
            </w:pPr>
            <w:r>
              <w:rPr>
                <w:b/>
                <w:sz w:val="18"/>
              </w:rPr>
              <w:t xml:space="preserve">Date</w:t>
            </w:r>
          </w:p>
        </w:tc>
        <w:tc>
          <w:tcPr>
            <w:tcW w:type="dxa" w:w="7960"/>
          </w:tcPr>
          <w:p>
            <w:pPr>
              <w:pStyle w:val="Compact"/>
              <w:spacing w:after="20" w:before="20"/>
            </w:pPr>
            <w:r>
              <w:rPr>
                <w:sz w:val="18"/>
              </w:rPr>
              <w:t xml:space="preserve">12 October 2026</w:t>
            </w:r>
          </w:p>
        </w:tc>
      </w:tr>
      <w:tr>
        <w:tc>
          <w:tcPr>
            <w:tcW w:type="dxa" w:w="1832"/>
            <w:shd w:val="clear" w:color="auto" w:fill="F2F2F2"/>
          </w:tcPr>
          <w:p>
            <w:pPr>
              <w:pStyle w:val="Compact"/>
              <w:spacing w:after="20" w:before="20"/>
            </w:pPr>
            <w:r>
              <w:rPr>
                <w:b/>
                <w:sz w:val="18"/>
              </w:rPr>
              <w:t xml:space="preserve">Author</w:t>
            </w:r>
          </w:p>
        </w:tc>
        <w:tc>
          <w:tcPr>
            <w:tcW w:type="dxa" w:w="7960"/>
            <w:shd w:val="clear" w:color="auto" w:fill="FAFAFA"/>
          </w:tcPr>
          <w:p>
            <w:pPr>
              <w:pStyle w:val="Compact"/>
              <w:spacing w:after="20" w:before="20"/>
            </w:pPr>
            <w:r>
              <w:rPr>
                <w:sz w:val="18"/>
              </w:rPr>
              <w:t xml:space="preserve">Varun Saagar, [title], Verizon</w:t>
            </w:r>
          </w:p>
        </w:tc>
      </w:tr>
      <w:tr>
        <w:tc>
          <w:tcPr>
            <w:tcW w:type="dxa" w:w="1832"/>
            <w:shd w:val="clear" w:color="auto" w:fill="F2F2F2"/>
          </w:tcPr>
          <w:p>
            <w:pPr>
              <w:pStyle w:val="Compact"/>
              <w:spacing w:after="20" w:before="20"/>
            </w:pPr>
            <w:r>
              <w:rPr>
                <w:b/>
                <w:sz w:val="18"/>
              </w:rPr>
              <w:t xml:space="preserve">Classification</w:t>
            </w:r>
          </w:p>
        </w:tc>
        <w:tc>
          <w:tcPr>
            <w:tcW w:type="dxa" w:w="7960"/>
          </w:tcPr>
          <w:p>
            <w:pPr>
              <w:pStyle w:val="Compact"/>
              <w:spacing w:after="20" w:before="20"/>
            </w:pPr>
            <w:r>
              <w:rPr>
                <w:sz w:val="18"/>
              </w:rPr>
              <w:t xml:space="preserve">[Verizon classification label]. Shareable with Lucidic AI under the executed mutual NDA</w:t>
            </w:r>
          </w:p>
        </w:tc>
      </w:tr>
      <w:tr>
        <w:tc>
          <w:tcPr>
            <w:tcW w:type="dxa" w:w="1832"/>
            <w:shd w:val="clear" w:color="auto" w:fill="F2F2F2"/>
          </w:tcPr>
          <w:p>
            <w:pPr>
              <w:pStyle w:val="Compact"/>
              <w:spacing w:after="20" w:before="20"/>
            </w:pPr>
            <w:r>
              <w:rPr>
                <w:b/>
                <w:sz w:val="18"/>
              </w:rPr>
              <w:t xml:space="preserve">Companion</w:t>
            </w:r>
          </w:p>
        </w:tc>
        <w:tc>
          <w:tcPr>
            <w:tcW w:type="dxa" w:w="7960"/>
            <w:shd w:val="clear" w:color="auto" w:fill="FAFAFA"/>
          </w:tcPr>
          <w:p>
            <w:pPr>
              <w:pStyle w:val="Compact"/>
              <w:spacing w:after="20" w:before="20"/>
            </w:pPr>
            <w:r>
              <w:rPr>
                <w:i/>
                <w:iCs/>
                <w:sz w:val="18"/>
              </w:rPr>
              <w:t xml:space="preserve">Lucidic AI Pilot: POC Plan and Verizon Expectations</w:t>
            </w:r>
            <w:r>
              <w:rPr>
                <w:sz w:val="18"/>
              </w:rPr>
              <w:t xml:space="preserve"> </w:t>
            </w:r>
            <w:r>
              <w:rPr>
                <w:sz w:val="18"/>
              </w:rPr>
              <w:t xml:space="preserve">(Verizon_Lucidic_POC_Plan.docx), Section 12 and TA-13 to TA-18</w:t>
            </w:r>
          </w:p>
        </w:tc>
      </w:tr>
      <w:tr>
        <w:tc>
          <w:tcPr>
            <w:tcW w:type="dxa" w:w="1832"/>
            <w:shd w:val="clear" w:color="auto" w:fill="F2F2F2"/>
          </w:tcPr>
          <w:p>
            <w:pPr>
              <w:pStyle w:val="Compact"/>
              <w:spacing w:after="20" w:before="20"/>
            </w:pPr>
            <w:r>
              <w:rPr>
                <w:b/>
                <w:sz w:val="18"/>
              </w:rPr>
              <w:t xml:space="preserve">Method</w:t>
            </w:r>
          </w:p>
        </w:tc>
        <w:tc>
          <w:tcPr>
            <w:tcW w:type="dxa" w:w="7960"/>
          </w:tcPr>
          <w:p>
            <w:pPr>
              <w:pStyle w:val="Compact"/>
              <w:spacing w:after="20" w:before="20"/>
            </w:pPr>
            <w:r>
              <w:rPr>
                <w:sz w:val="18"/>
              </w:rPr>
              <w:t xml:space="preserve">Literature and repository review, October 2026. Every arXiv reference was checked against its arXiv abstract page; every repository and documentation URL returned HTTP 200 on 12 October 2026. Quantitative results are quoted from the cited paper’s abstract or page as the authors report them; they were not reproduced. Vendor figures are labelled</w:t>
            </w:r>
            <w:r>
              <w:rPr>
                <w:sz w:val="18"/>
              </w:rPr>
              <w:t xml:space="preserve"> </w:t>
            </w:r>
            <w:r>
              <w:rPr>
                <w:sz w:val="18"/>
              </w:rPr>
              <w:t xml:space="preserve">“vendor-reported”</w:t>
            </w:r>
            <w:r>
              <w:rPr>
                <w:sz w:val="18"/>
              </w:rPr>
              <w:t xml:space="preserve">.</w:t>
            </w:r>
          </w:p>
        </w:tc>
      </w:tr>
    </w:tbl>
    <w:p>
      <w:pPr>
        <w:pStyle w:val="BodyText"/>
      </w:pPr>
      <w:r>
        <w:rPr>
          <w:b/>
          <w:bCs/>
        </w:rPr>
        <w:t xml:space="preserve">Why this note exists.</w:t>
      </w:r>
      <w:r>
        <w:t xml:space="preserve"> </w:t>
      </w:r>
      <w:r>
        <w:t xml:space="preserve">The POC plan tests harness optimisation as one test area (TA-05) with a single lift metric. Our review of Lucidic’s demos found they show computer-use and web-search agents only. Lucidic also publishes results on τ²-bench, an enterprise-workflow evaluation with ServiceNow and a contact-centre benchmark [98–100]; these are vendor-reported. None of this shows how the method behaves on Verizon’s agents: MCP tools, multi-agent routing through Kairos, and three months of OTel traces. This note sets out what the research says, what remains unsolved, and how Verizon should evaluate the optimiser itself, not just its headline number.</w:t>
      </w:r>
    </w:p>
    <w:bookmarkEnd w:id="9"/>
    <w:bookmarkStart w:id="13" w:name="executive-summary"/>
    <w:p>
      <w:pPr>
        <w:pStyle w:val="Heading1"/>
      </w:pPr>
      <w:r>
        <w:t xml:space="preserve">Executive summary</w:t>
      </w:r>
    </w:p>
    <w:p>
      <w:pPr>
        <w:pStyle w:val="FirstParagraph"/>
      </w:pPr>
      <w:r>
        <w:rPr>
          <w:b/>
          <w:bCs/>
        </w:rPr>
        <w:t xml:space="preserve">Scope.</w:t>
      </w:r>
      <w:r>
        <w:t xml:space="preserve"> </w:t>
      </w:r>
      <w:r>
        <w:t xml:space="preserve">“Harness”</w:t>
      </w:r>
      <w:r>
        <w:t xml:space="preserve"> </w:t>
      </w:r>
      <w:r>
        <w:t xml:space="preserve">means everything around the model weights that determines agent behaviour: system prompts, tool set and tool descriptions, routing between agents and models, context and memory, guardrails and policies, and the orchestration code itself [63, 67]. Harness optimisation searches over these with an outer loop driven by rollouts and a reward. Lucidic says it co-trains the harness (by genetic search) and the weights (by RL) on the same signal [98].</w:t>
      </w:r>
    </w:p>
    <w:p>
      <w:pPr>
        <w:pStyle w:val="BodyText"/>
      </w:pPr>
      <w:r>
        <w:rPr>
          <w:b/>
          <w:bCs/>
        </w:rPr>
        <w:t xml:space="preserve">Top five insights for the POC</w:t>
      </w:r>
    </w:p>
    <w:p>
      <w:pPr>
        <w:pStyle w:val="Compact"/>
        <w:numPr>
          <w:ilvl w:val="0"/>
          <w:numId w:val="1001"/>
        </w:numPr>
      </w:pPr>
      <w:r>
        <w:rPr>
          <w:b/>
          <w:bCs/>
        </w:rPr>
        <w:t xml:space="preserve">At scale, tool selection is mostly a retrieval problem, and should be measured as one.</w:t>
      </w:r>
      <w:r>
        <w:t xml:space="preserve"> </w:t>
      </w:r>
      <w:r>
        <w:t xml:space="preserve">On LiveMCPBench (70 servers, 527 tools), retrieval errors account for nearly half of all failures [7]. RAG-MCP raised tool-selection accuracy from 13.62% to 43.13% and more than halved prompt tokens [1]. Strong general-purpose retrievers do poorly on ToolRet’s 43k-tool corpus [2]. Tool-selection precision and recall must be scored separately from end-task success.</w:t>
      </w:r>
    </w:p>
    <w:p>
      <w:pPr>
        <w:pStyle w:val="Compact"/>
        <w:numPr>
          <w:ilvl w:val="0"/>
          <w:numId w:val="1001"/>
        </w:numPr>
      </w:pPr>
      <w:r>
        <w:rPr>
          <w:b/>
          <w:bCs/>
        </w:rPr>
        <w:t xml:space="preserve">Rewriting tool descriptions helps on average but is not free.</w:t>
      </w:r>
      <w:r>
        <w:t xml:space="preserve"> </w:t>
      </w:r>
      <w:r>
        <w:t xml:space="preserve">Across 856 MCP tools, 97.1% of descriptions had at least one quality</w:t>
      </w:r>
      <w:r>
        <w:t xml:space="preserve"> </w:t>
      </w:r>
      <w:r>
        <w:t xml:space="preserve">“smell”</w:t>
      </w:r>
      <w:r>
        <w:t xml:space="preserve">. Fixing them raised task success by a median 5.85 pp, but also raised execution steps by 67.46% and caused regressions in 16.67% of cases [14]. Treat description changes as multi-objective (quality, steps, cost) with a per-tool A/B, not a blanket rewrite.</w:t>
      </w:r>
    </w:p>
    <w:p>
      <w:pPr>
        <w:pStyle w:val="Compact"/>
        <w:numPr>
          <w:ilvl w:val="0"/>
          <w:numId w:val="1001"/>
        </w:numPr>
      </w:pPr>
      <w:r>
        <w:rPr>
          <w:b/>
          <w:bCs/>
        </w:rPr>
        <w:t xml:space="preserve">Reported lifts depend on the baseline and the budget.</w:t>
      </w:r>
      <w:r>
        <w:t xml:space="preserve"> </w:t>
      </w:r>
      <w:r>
        <w:t xml:space="preserve">GEPA reports beating GRPO by 6% on average with up to 35× fewer rollouts, and beating MIPROv2 by over 10% [70]. BetterTogether reports that alternating prompt and weight optimisation beats either alone [77]. AFlow and MaAS report large cost reductions [29, 31]. Lucidic’s lift must therefore be compared against a budget-matched open-source optimiser (DSPy MIPROv2 or GEPA) and an untuned frontier model, with cost on the same axis as accuracy [95].</w:t>
      </w:r>
    </w:p>
    <w:p>
      <w:pPr>
        <w:pStyle w:val="Compact"/>
        <w:numPr>
          <w:ilvl w:val="0"/>
          <w:numId w:val="1001"/>
        </w:numPr>
      </w:pPr>
      <w:r>
        <w:rPr>
          <w:b/>
          <w:bCs/>
        </w:rPr>
        <w:t xml:space="preserve">Harness optimisers overfit, and generalisation is now the research frontier.</w:t>
      </w:r>
      <w:r>
        <w:t xml:space="preserve"> </w:t>
      </w:r>
      <w:r>
        <w:t xml:space="preserve">Work from 2026 on automatic harness evolution (Meta-Harness, AutoSaddler, HarnessCompass) emphasises held-out and cross-model transfer. New benchmarks (Evo-Bench, HarnessOpt-Bench) exist because gains vary widely across tasks and saturate early [63–67]. Verizon should hold a sealed, time-split test set, report pass^k reliability (τ-bench: pass^8 below 25% in retail for a then-leading model [20]), and confirm in shadow traffic through Kairos.</w:t>
      </w:r>
    </w:p>
    <w:p>
      <w:pPr>
        <w:pStyle w:val="Compact"/>
        <w:numPr>
          <w:ilvl w:val="0"/>
          <w:numId w:val="1001"/>
        </w:numPr>
      </w:pPr>
      <w:r>
        <w:rPr>
          <w:b/>
          <w:bCs/>
        </w:rPr>
        <w:t xml:space="preserve">The binding constraint is the reward, not the search algorithm.</w:t>
      </w:r>
      <w:r>
        <w:t xml:space="preserve"> </w:t>
      </w:r>
      <w:r>
        <w:t xml:space="preserve">LLM judges diverge from human scores even in simple settings [49] and are sensitive to answer order [48]. METR observed frontier models editing scoring code to inflate results [94], and an audit found τ-bench counted empty responses as successes [96]. The judge must be calibrated on Verizon human labels, the evaluation code must sit outside the optimiser’s edit surface, and every reported lift must come with confidence intervals [97].</w:t>
      </w:r>
    </w:p>
    <w:p>
      <w:pPr>
        <w:pStyle w:val="FirstParagraph"/>
      </w:pPr>
      <w:r>
        <w:rPr>
          <w:b/>
          <w:bCs/>
        </w:rPr>
        <w:t xml:space="preserve">Recommendation.</w:t>
      </w:r>
      <w:r>
        <w:t xml:space="preserve"> </w:t>
      </w:r>
      <w:r>
        <w:t xml:space="preserve">Add six test areas to the POC (TA-13 to TA-18: tool selection, agent and route selection, data rigour, reward and judge validity, code-level optimisation under CI, and optimiser rigour with ablation). Re-weight the scorecard so that harness-optimisation rigour carries 15 of the 100 points (POC plan, Section 12).</w:t>
      </w:r>
    </w:p>
    <w:p>
      <w:pPr>
        <w:pStyle w:val="CaptionedFigure"/>
      </w:pPr>
      <w:r>
        <w:drawing>
          <wp:inline>
            <wp:extent cx="4206240" cy="5756754"/>
            <wp:effectExtent b="0" l="0" r="0" t="0"/>
            <wp:docPr descr="Figure 1. Proposed Verizon harness-optimisation loop: data stays in the Verizon boundary; the optimiser is budget-matched and selects on validation only; candidates reach production only through CI gates and Kairos shadow/canary routes." title="" id="11" name="Picture"/>
            <a:graphic>
              <a:graphicData uri="http://schemas.openxmlformats.org/drawingml/2006/picture">
                <pic:pic>
                  <pic:nvPicPr>
                    <pic:cNvPr descr="diagrams/d_harness_opt_loop.png" id="12" name="Picture"/>
                    <pic:cNvPicPr>
                      <a:picLocks noChangeArrowheads="1" noChangeAspect="1"/>
                    </pic:cNvPicPr>
                  </pic:nvPicPr>
                  <pic:blipFill>
                    <a:blip r:embed="rId10"/>
                    <a:stretch>
                      <a:fillRect/>
                    </a:stretch>
                  </pic:blipFill>
                  <pic:spPr bwMode="auto">
                    <a:xfrm>
                      <a:off x="0" y="0"/>
                      <a:ext cx="4206240" cy="5756754"/>
                    </a:xfrm>
                    <a:prstGeom prst="rect">
                      <a:avLst/>
                    </a:prstGeom>
                    <a:noFill/>
                    <a:ln w="9525">
                      <a:noFill/>
                      <a:headEnd/>
                      <a:tailEnd/>
                    </a:ln>
                  </pic:spPr>
                </pic:pic>
              </a:graphicData>
            </a:graphic>
          </wp:inline>
        </w:drawing>
      </w:r>
    </w:p>
    <w:p>
      <w:pPr>
        <w:pStyle w:val="ImageCaption"/>
      </w:pPr>
      <w:r>
        <w:t xml:space="preserve">Figure 1. Proposed Verizon harness-optimisation loop: data stays in the Verizon boundary; the optimiser is budget-matched and selects on validation only; candidates reach production only through CI gates and Kairos shadow/canary routes.</w:t>
      </w:r>
    </w:p>
    <w:bookmarkEnd w:id="13"/>
    <w:bookmarkStart w:id="19" w:name="mcp-tool-selection-optimisation"/>
    <w:p>
      <w:pPr>
        <w:pStyle w:val="Heading1"/>
      </w:pPr>
      <w:r>
        <w:t xml:space="preserve">1. MCP tool-selection optimisation</w:t>
      </w:r>
    </w:p>
    <w:bookmarkStart w:id="14" w:name="problem"/>
    <w:p>
      <w:pPr>
        <w:pStyle w:val="Heading2"/>
      </w:pPr>
      <w:r>
        <w:t xml:space="preserve">1.1 Problem</w:t>
      </w:r>
    </w:p>
    <w:p>
      <w:pPr>
        <w:pStyle w:val="FirstParagraph"/>
      </w:pPr>
      <w:r>
        <w:t xml:space="preserve">Agents that expose many MCP tools pay twice: tool definitions consume context (</w:t>
      </w:r>
      <w:r>
        <w:t xml:space="preserve">“prompt bloat”</w:t>
      </w:r>
      <w:r>
        <w:t xml:space="preserve">), and more candidates mean more distractors at selection time [1, 13]. MCP tool descriptions are the only information a model has for choosing a tool and filling its arguments [14, 23]. Verizon’s agent estate will accumulate tools across teams, so this cost grows with adoption.</w:t>
      </w:r>
    </w:p>
    <w:bookmarkEnd w:id="14"/>
    <w:bookmarkStart w:id="15" w:name="evidence-base"/>
    <w:p>
      <w:pPr>
        <w:pStyle w:val="Heading2"/>
      </w:pPr>
      <w:r>
        <w:t xml:space="preserve">1.2 Evidence base</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782"/>
        <w:gridCol w:w="3637"/>
        <w:gridCol w:w="4372"/>
      </w:tblGrid>
      <w:tr>
        <w:trPr>
          <w:tblHeader w:val="on"/>
          <w:tblHeader w:val="true"/>
        </w:trPr>
        <w:tc>
          <w:tcPr>
            <w:tcW w:type="dxa" w:w="1782"/>
            <w:shd w:val="clear" w:color="auto" w:fill="1F1F1F"/>
          </w:tcPr>
          <w:p>
            <w:pPr>
              <w:pStyle w:val="Compact"/>
              <w:spacing w:after="20" w:before="20"/>
            </w:pPr>
            <w:r>
              <w:rPr>
                <w:b/>
                <w:color w:val="FFFFFF"/>
                <w:sz w:val="18"/>
              </w:rPr>
              <w:t xml:space="preserve">Work</w:t>
            </w:r>
          </w:p>
        </w:tc>
        <w:tc>
          <w:tcPr>
            <w:tcW w:type="dxa" w:w="3637"/>
            <w:shd w:val="clear" w:color="auto" w:fill="1F1F1F"/>
          </w:tcPr>
          <w:p>
            <w:pPr>
              <w:pStyle w:val="Compact"/>
              <w:spacing w:after="20" w:before="20"/>
            </w:pPr>
            <w:r>
              <w:rPr>
                <w:b/>
                <w:color w:val="FFFFFF"/>
                <w:sz w:val="18"/>
              </w:rPr>
              <w:t xml:space="preserve">What it measures</w:t>
            </w:r>
          </w:p>
        </w:tc>
        <w:tc>
          <w:tcPr>
            <w:tcW w:type="dxa" w:w="4372"/>
            <w:shd w:val="clear" w:color="auto" w:fill="1F1F1F"/>
          </w:tcPr>
          <w:p>
            <w:pPr>
              <w:pStyle w:val="Compact"/>
              <w:spacing w:after="20" w:before="20"/>
            </w:pPr>
            <w:r>
              <w:rPr>
                <w:b/>
                <w:color w:val="FFFFFF"/>
                <w:sz w:val="18"/>
              </w:rPr>
              <w:t xml:space="preserve">Reported finding (authors’ figures)</w:t>
            </w:r>
          </w:p>
        </w:tc>
      </w:tr>
      <w:tr>
        <w:tc>
          <w:tcPr>
            <w:tcW w:type="dxa" w:w="1782"/>
          </w:tcPr>
          <w:p>
            <w:pPr>
              <w:pStyle w:val="Compact"/>
              <w:spacing w:after="20" w:before="20"/>
            </w:pPr>
            <w:r>
              <w:rPr>
                <w:sz w:val="18"/>
              </w:rPr>
              <w:t xml:space="preserve">Gorilla [3], ToolLLM / ToolBench [4]</w:t>
            </w:r>
          </w:p>
        </w:tc>
        <w:tc>
          <w:tcPr>
            <w:tcW w:type="dxa" w:w="3637"/>
          </w:tcPr>
          <w:p>
            <w:pPr>
              <w:pStyle w:val="Compact"/>
              <w:spacing w:after="20" w:before="20"/>
            </w:pPr>
            <w:r>
              <w:rPr>
                <w:sz w:val="18"/>
              </w:rPr>
              <w:t xml:space="preserve">API-call generation at scale (ToolLLM: 16,000+ real APIs)</w:t>
            </w:r>
          </w:p>
        </w:tc>
        <w:tc>
          <w:tcPr>
            <w:tcW w:type="dxa" w:w="4372"/>
          </w:tcPr>
          <w:p>
            <w:pPr>
              <w:pStyle w:val="Compact"/>
              <w:spacing w:after="20" w:before="20"/>
            </w:pPr>
            <w:r>
              <w:rPr>
                <w:sz w:val="18"/>
              </w:rPr>
              <w:t xml:space="preserve">Early large-scale tool-use work pairing LLMs with API retrieval</w:t>
            </w:r>
          </w:p>
        </w:tc>
      </w:tr>
      <w:tr>
        <w:tc>
          <w:tcPr>
            <w:tcW w:type="dxa" w:w="1782"/>
            <w:shd w:val="clear" w:color="auto" w:fill="FAFAFA"/>
          </w:tcPr>
          <w:p>
            <w:pPr>
              <w:pStyle w:val="Compact"/>
              <w:spacing w:after="20" w:before="20"/>
            </w:pPr>
            <w:r>
              <w:rPr>
                <w:sz w:val="18"/>
              </w:rPr>
              <w:t xml:space="preserve">BFCL [19]</w:t>
            </w:r>
          </w:p>
        </w:tc>
        <w:tc>
          <w:tcPr>
            <w:tcW w:type="dxa" w:w="3637"/>
            <w:shd w:val="clear" w:color="auto" w:fill="FAFAFA"/>
          </w:tcPr>
          <w:p>
            <w:pPr>
              <w:pStyle w:val="Compact"/>
              <w:spacing w:after="20" w:before="20"/>
            </w:pPr>
            <w:r>
              <w:rPr>
                <w:sz w:val="18"/>
              </w:rPr>
              <w:t xml:space="preserve">Function-calling accuracy (AST and executable), multi-turn and agentic</w:t>
            </w:r>
          </w:p>
        </w:tc>
        <w:tc>
          <w:tcPr>
            <w:tcW w:type="dxa" w:w="4372"/>
            <w:shd w:val="clear" w:color="auto" w:fill="FAFAFA"/>
          </w:tcPr>
          <w:p>
            <w:pPr>
              <w:pStyle w:val="Compact"/>
              <w:spacing w:after="20" w:before="20"/>
            </w:pPr>
            <w:r>
              <w:rPr>
                <w:sz w:val="18"/>
              </w:rPr>
              <w:t xml:space="preserve">Widely used function-calling leaderboard</w:t>
            </w:r>
          </w:p>
        </w:tc>
      </w:tr>
      <w:tr>
        <w:tc>
          <w:tcPr>
            <w:tcW w:type="dxa" w:w="1782"/>
          </w:tcPr>
          <w:p>
            <w:pPr>
              <w:pStyle w:val="Compact"/>
              <w:spacing w:after="20" w:before="20"/>
            </w:pPr>
            <w:r>
              <w:rPr>
                <w:sz w:val="18"/>
              </w:rPr>
              <w:t xml:space="preserve">ToolRet [2]</w:t>
            </w:r>
          </w:p>
        </w:tc>
        <w:tc>
          <w:tcPr>
            <w:tcW w:type="dxa" w:w="3637"/>
          </w:tcPr>
          <w:p>
            <w:pPr>
              <w:pStyle w:val="Compact"/>
              <w:spacing w:after="20" w:before="20"/>
            </w:pPr>
            <w:r>
              <w:rPr>
                <w:sz w:val="18"/>
              </w:rPr>
              <w:t xml:space="preserve">Tool</w:t>
            </w:r>
            <w:r>
              <w:rPr>
                <w:sz w:val="18"/>
              </w:rPr>
              <w:t xml:space="preserve"> </w:t>
            </w:r>
            <w:r>
              <w:rPr>
                <w:i/>
                <w:iCs/>
                <w:sz w:val="18"/>
              </w:rPr>
              <w:t xml:space="preserve">retrieval</w:t>
            </w:r>
            <w:r>
              <w:rPr>
                <w:sz w:val="18"/>
              </w:rPr>
              <w:t xml:space="preserve">: 7.6k tasks, 43k-tool corpus</w:t>
            </w:r>
          </w:p>
        </w:tc>
        <w:tc>
          <w:tcPr>
            <w:tcW w:type="dxa" w:w="4372"/>
          </w:tcPr>
          <w:p>
            <w:pPr>
              <w:pStyle w:val="Compact"/>
              <w:spacing w:after="20" w:before="20"/>
            </w:pPr>
            <w:r>
              <w:rPr>
                <w:sz w:val="18"/>
              </w:rPr>
              <w:t xml:space="preserve">IR models that are strong on conventional benchmarks perform poorly; low retrieval quality lowers task pass rate</w:t>
            </w:r>
          </w:p>
        </w:tc>
      </w:tr>
      <w:tr>
        <w:tc>
          <w:tcPr>
            <w:tcW w:type="dxa" w:w="1782"/>
            <w:shd w:val="clear" w:color="auto" w:fill="FAFAFA"/>
          </w:tcPr>
          <w:p>
            <w:pPr>
              <w:pStyle w:val="Compact"/>
              <w:spacing w:after="20" w:before="20"/>
            </w:pPr>
            <w:r>
              <w:rPr>
                <w:sz w:val="18"/>
              </w:rPr>
              <w:t xml:space="preserve">RAG-MCP [1]</w:t>
            </w:r>
          </w:p>
        </w:tc>
        <w:tc>
          <w:tcPr>
            <w:tcW w:type="dxa" w:w="3637"/>
            <w:shd w:val="clear" w:color="auto" w:fill="FAFAFA"/>
          </w:tcPr>
          <w:p>
            <w:pPr>
              <w:pStyle w:val="Compact"/>
              <w:spacing w:after="20" w:before="20"/>
            </w:pPr>
            <w:r>
              <w:rPr>
                <w:sz w:val="18"/>
              </w:rPr>
              <w:t xml:space="preserve">Retrieve MCP descriptions before the LLM call</w:t>
            </w:r>
          </w:p>
        </w:tc>
        <w:tc>
          <w:tcPr>
            <w:tcW w:type="dxa" w:w="4372"/>
            <w:shd w:val="clear" w:color="auto" w:fill="FAFAFA"/>
          </w:tcPr>
          <w:p>
            <w:pPr>
              <w:pStyle w:val="Compact"/>
              <w:spacing w:after="20" w:before="20"/>
            </w:pPr>
            <w:r>
              <w:rPr>
                <w:sz w:val="18"/>
              </w:rPr>
              <w:t xml:space="preserve">Selection accuracy 43.13% vs 13.62% baseline; prompt tokens cut by over 50%</w:t>
            </w:r>
          </w:p>
        </w:tc>
      </w:tr>
      <w:tr>
        <w:tc>
          <w:tcPr>
            <w:tcW w:type="dxa" w:w="1782"/>
          </w:tcPr>
          <w:p>
            <w:pPr>
              <w:pStyle w:val="Compact"/>
              <w:spacing w:after="20" w:before="20"/>
            </w:pPr>
            <w:r>
              <w:rPr>
                <w:sz w:val="18"/>
              </w:rPr>
              <w:t xml:space="preserve">Toolshed [9]</w:t>
            </w:r>
          </w:p>
        </w:tc>
        <w:tc>
          <w:tcPr>
            <w:tcW w:type="dxa" w:w="3637"/>
          </w:tcPr>
          <w:p>
            <w:pPr>
              <w:pStyle w:val="Compact"/>
              <w:spacing w:after="20" w:before="20"/>
            </w:pPr>
            <w:r>
              <w:rPr>
                <w:sz w:val="18"/>
              </w:rPr>
              <w:t xml:space="preserve">RAG-tool fusion with an enhanced tool knowledge base</w:t>
            </w:r>
          </w:p>
        </w:tc>
        <w:tc>
          <w:tcPr>
            <w:tcW w:type="dxa" w:w="4372"/>
          </w:tcPr>
          <w:p>
            <w:pPr>
              <w:pStyle w:val="Compact"/>
              <w:spacing w:after="20" w:before="20"/>
            </w:pPr>
            <w:r>
              <w:rPr>
                <w:sz w:val="18"/>
              </w:rPr>
              <w:t xml:space="preserve">+46, +56 and +47 points Recall@5 on ToolE single-tool, ToolE multi-tool and Seal-Tools</w:t>
            </w:r>
          </w:p>
        </w:tc>
      </w:tr>
      <w:tr>
        <w:tc>
          <w:tcPr>
            <w:tcW w:type="dxa" w:w="1782"/>
            <w:shd w:val="clear" w:color="auto" w:fill="FAFAFA"/>
          </w:tcPr>
          <w:p>
            <w:pPr>
              <w:pStyle w:val="Compact"/>
              <w:spacing w:after="20" w:before="20"/>
            </w:pPr>
            <w:r>
              <w:rPr>
                <w:sz w:val="18"/>
              </w:rPr>
              <w:t xml:space="preserve">MCP-Zero [8]</w:t>
            </w:r>
          </w:p>
        </w:tc>
        <w:tc>
          <w:tcPr>
            <w:tcW w:type="dxa" w:w="3637"/>
            <w:shd w:val="clear" w:color="auto" w:fill="FAFAFA"/>
          </w:tcPr>
          <w:p>
            <w:pPr>
              <w:pStyle w:val="Compact"/>
              <w:spacing w:after="20" w:before="20"/>
            </w:pPr>
            <w:r>
              <w:rPr>
                <w:sz w:val="18"/>
              </w:rPr>
              <w:t xml:space="preserve">Agent actively requests tools; hierarchical routing over 308 servers and 2,797 tools</w:t>
            </w:r>
          </w:p>
        </w:tc>
        <w:tc>
          <w:tcPr>
            <w:tcW w:type="dxa" w:w="4372"/>
            <w:shd w:val="clear" w:color="auto" w:fill="FAFAFA"/>
          </w:tcPr>
          <w:p>
            <w:pPr>
              <w:pStyle w:val="Compact"/>
              <w:spacing w:after="20" w:before="20"/>
            </w:pPr>
            <w:r>
              <w:rPr>
                <w:sz w:val="18"/>
              </w:rPr>
              <w:t xml:space="preserve">98% token reduction on APIBank while maintaining high accuracy</w:t>
            </w:r>
          </w:p>
        </w:tc>
      </w:tr>
      <w:tr>
        <w:tc>
          <w:tcPr>
            <w:tcW w:type="dxa" w:w="1782"/>
          </w:tcPr>
          <w:p>
            <w:pPr>
              <w:pStyle w:val="Compact"/>
              <w:spacing w:after="20" w:before="20"/>
            </w:pPr>
            <w:r>
              <w:rPr>
                <w:sz w:val="18"/>
              </w:rPr>
              <w:t xml:space="preserve">Dynamic ReAct [10]</w:t>
            </w:r>
          </w:p>
        </w:tc>
        <w:tc>
          <w:tcPr>
            <w:tcW w:type="dxa" w:w="3637"/>
          </w:tcPr>
          <w:p>
            <w:pPr>
              <w:pStyle w:val="Compact"/>
              <w:spacing w:after="20" w:before="20"/>
            </w:pPr>
            <w:r>
              <w:rPr>
                <w:sz w:val="18"/>
              </w:rPr>
              <w:t xml:space="preserve">Search-and-load tools on demand</w:t>
            </w:r>
          </w:p>
        </w:tc>
        <w:tc>
          <w:tcPr>
            <w:tcW w:type="dxa" w:w="4372"/>
          </w:tcPr>
          <w:p>
            <w:pPr>
              <w:pStyle w:val="Compact"/>
              <w:spacing w:after="20" w:before="20"/>
            </w:pPr>
            <w:r>
              <w:rPr>
                <w:sz w:val="18"/>
              </w:rPr>
              <w:t xml:space="preserve">Up to 50% fewer tools loaded at the same task completion</w:t>
            </w:r>
          </w:p>
        </w:tc>
      </w:tr>
      <w:tr>
        <w:tc>
          <w:tcPr>
            <w:tcW w:type="dxa" w:w="1782"/>
            <w:shd w:val="clear" w:color="auto" w:fill="FAFAFA"/>
          </w:tcPr>
          <w:p>
            <w:pPr>
              <w:pStyle w:val="Compact"/>
              <w:spacing w:after="20" w:before="20"/>
            </w:pPr>
            <w:r>
              <w:rPr>
                <w:sz w:val="18"/>
              </w:rPr>
              <w:t xml:space="preserve">MCP-Bench [5]</w:t>
            </w:r>
          </w:p>
        </w:tc>
        <w:tc>
          <w:tcPr>
            <w:tcW w:type="dxa" w:w="3637"/>
            <w:shd w:val="clear" w:color="auto" w:fill="FAFAFA"/>
          </w:tcPr>
          <w:p>
            <w:pPr>
              <w:pStyle w:val="Compact"/>
              <w:spacing w:after="20" w:before="20"/>
            </w:pPr>
            <w:r>
              <w:rPr>
                <w:sz w:val="18"/>
              </w:rPr>
              <w:t xml:space="preserve">28 live servers, 250 tools; fuzzy instructions without tool names</w:t>
            </w:r>
          </w:p>
        </w:tc>
        <w:tc>
          <w:tcPr>
            <w:tcW w:type="dxa" w:w="4372"/>
            <w:shd w:val="clear" w:color="auto" w:fill="FAFAFA"/>
          </w:tcPr>
          <w:p>
            <w:pPr>
              <w:pStyle w:val="Compact"/>
              <w:spacing w:after="20" w:before="20"/>
            </w:pPr>
            <w:r>
              <w:rPr>
                <w:sz w:val="18"/>
              </w:rPr>
              <w:t xml:space="preserve">Persistent challenges across 20 LLMs in retrieval, planning and grounding</w:t>
            </w:r>
          </w:p>
        </w:tc>
      </w:tr>
      <w:tr>
        <w:tc>
          <w:tcPr>
            <w:tcW w:type="dxa" w:w="1782"/>
          </w:tcPr>
          <w:p>
            <w:pPr>
              <w:pStyle w:val="Compact"/>
              <w:spacing w:after="20" w:before="20"/>
            </w:pPr>
            <w:r>
              <w:rPr>
                <w:sz w:val="18"/>
              </w:rPr>
              <w:t xml:space="preserve">MCP-Universe [6]</w:t>
            </w:r>
          </w:p>
        </w:tc>
        <w:tc>
          <w:tcPr>
            <w:tcW w:type="dxa" w:w="3637"/>
          </w:tcPr>
          <w:p>
            <w:pPr>
              <w:pStyle w:val="Compact"/>
              <w:spacing w:after="20" w:before="20"/>
            </w:pPr>
            <w:r>
              <w:rPr>
                <w:sz w:val="18"/>
              </w:rPr>
              <w:t xml:space="preserve">11 real servers, execution-based evaluators</w:t>
            </w:r>
          </w:p>
        </w:tc>
        <w:tc>
          <w:tcPr>
            <w:tcW w:type="dxa" w:w="4372"/>
          </w:tcPr>
          <w:p>
            <w:pPr>
              <w:pStyle w:val="Compact"/>
              <w:spacing w:after="20" w:before="20"/>
            </w:pPr>
            <w:r>
              <w:rPr>
                <w:sz w:val="18"/>
              </w:rPr>
              <w:t xml:space="preserve">Best model 43.72% (GPT-5);</w:t>
            </w:r>
            <w:r>
              <w:rPr>
                <w:sz w:val="18"/>
              </w:rPr>
              <w:t xml:space="preserve"> </w:t>
            </w:r>
            <w:r>
              <w:rPr>
                <w:sz w:val="18"/>
              </w:rPr>
              <w:t xml:space="preserve">“unknown-tools”</w:t>
            </w:r>
            <w:r>
              <w:rPr>
                <w:sz w:val="18"/>
              </w:rPr>
              <w:t xml:space="preserve"> </w:t>
            </w:r>
            <w:r>
              <w:rPr>
                <w:sz w:val="18"/>
              </w:rPr>
              <w:t xml:space="preserve">and long-context challenges</w:t>
            </w:r>
          </w:p>
        </w:tc>
      </w:tr>
      <w:tr>
        <w:tc>
          <w:tcPr>
            <w:tcW w:type="dxa" w:w="1782"/>
            <w:shd w:val="clear" w:color="auto" w:fill="FAFAFA"/>
          </w:tcPr>
          <w:p>
            <w:pPr>
              <w:pStyle w:val="Compact"/>
              <w:spacing w:after="20" w:before="20"/>
            </w:pPr>
            <w:r>
              <w:rPr>
                <w:sz w:val="18"/>
              </w:rPr>
              <w:t xml:space="preserve">LiveMCPBench [7]</w:t>
            </w:r>
          </w:p>
        </w:tc>
        <w:tc>
          <w:tcPr>
            <w:tcW w:type="dxa" w:w="3637"/>
            <w:shd w:val="clear" w:color="auto" w:fill="FAFAFA"/>
          </w:tcPr>
          <w:p>
            <w:pPr>
              <w:pStyle w:val="Compact"/>
              <w:spacing w:after="20" w:before="20"/>
            </w:pPr>
            <w:r>
              <w:rPr>
                <w:sz w:val="18"/>
              </w:rPr>
              <w:t xml:space="preserve">70 servers, 527 tools, 95 daily tasks</w:t>
            </w:r>
          </w:p>
        </w:tc>
        <w:tc>
          <w:tcPr>
            <w:tcW w:type="dxa" w:w="4372"/>
            <w:shd w:val="clear" w:color="auto" w:fill="FAFAFA"/>
          </w:tcPr>
          <w:p>
            <w:pPr>
              <w:pStyle w:val="Compact"/>
              <w:spacing w:after="20" w:before="20"/>
            </w:pPr>
            <w:r>
              <w:rPr>
                <w:sz w:val="18"/>
              </w:rPr>
              <w:t xml:space="preserve">Retrieval errors account for nearly half of failures</w:t>
            </w:r>
          </w:p>
        </w:tc>
      </w:tr>
      <w:tr>
        <w:tc>
          <w:tcPr>
            <w:tcW w:type="dxa" w:w="1782"/>
          </w:tcPr>
          <w:p>
            <w:pPr>
              <w:pStyle w:val="Compact"/>
              <w:spacing w:after="20" w:before="20"/>
            </w:pPr>
            <w:r>
              <w:rPr>
                <w:sz w:val="18"/>
              </w:rPr>
              <w:t xml:space="preserve">MCPAgentBench [12]</w:t>
            </w:r>
          </w:p>
        </w:tc>
        <w:tc>
          <w:tcPr>
            <w:tcW w:type="dxa" w:w="3637"/>
          </w:tcPr>
          <w:p>
            <w:pPr>
              <w:pStyle w:val="Compact"/>
              <w:spacing w:after="20" w:before="20"/>
            </w:pPr>
            <w:r>
              <w:rPr>
                <w:sz w:val="18"/>
              </w:rPr>
              <w:t xml:space="preserve">Candidate lists with distractors; efficiency metrics</w:t>
            </w:r>
          </w:p>
        </w:tc>
        <w:tc>
          <w:tcPr>
            <w:tcW w:type="dxa" w:w="4372"/>
          </w:tcPr>
          <w:p>
            <w:pPr>
              <w:pStyle w:val="Compact"/>
              <w:spacing w:after="20" w:before="20"/>
            </w:pPr>
            <w:r>
              <w:rPr>
                <w:sz w:val="18"/>
              </w:rPr>
              <w:t xml:space="preserve">Large differences between models on multi-step invocation</w:t>
            </w:r>
          </w:p>
        </w:tc>
      </w:tr>
      <w:tr>
        <w:tc>
          <w:tcPr>
            <w:tcW w:type="dxa" w:w="1782"/>
            <w:shd w:val="clear" w:color="auto" w:fill="FAFAFA"/>
          </w:tcPr>
          <w:p>
            <w:pPr>
              <w:pStyle w:val="Compact"/>
              <w:spacing w:after="20" w:before="20"/>
            </w:pPr>
            <w:r>
              <w:rPr>
                <w:sz w:val="18"/>
              </w:rPr>
              <w:t xml:space="preserve">ComplexMCP (2026) [11]</w:t>
            </w:r>
          </w:p>
        </w:tc>
        <w:tc>
          <w:tcPr>
            <w:tcW w:type="dxa" w:w="3637"/>
            <w:shd w:val="clear" w:color="auto" w:fill="FAFAFA"/>
          </w:tcPr>
          <w:p>
            <w:pPr>
              <w:pStyle w:val="Compact"/>
              <w:spacing w:after="20" w:before="20"/>
            </w:pPr>
            <w:r>
              <w:rPr>
                <w:sz w:val="18"/>
              </w:rPr>
              <w:t xml:space="preserve">300+ interdependent, stateful tools with injected API failures</w:t>
            </w:r>
          </w:p>
        </w:tc>
        <w:tc>
          <w:tcPr>
            <w:tcW w:type="dxa" w:w="4372"/>
            <w:shd w:val="clear" w:color="auto" w:fill="FAFAFA"/>
          </w:tcPr>
          <w:p>
            <w:pPr>
              <w:pStyle w:val="Compact"/>
              <w:spacing w:after="20" w:before="20"/>
            </w:pPr>
            <w:r>
              <w:rPr>
                <w:sz w:val="18"/>
              </w:rPr>
              <w:t xml:space="preserve">Top models stay below 60% vs 90% for humans;</w:t>
            </w:r>
            <w:r>
              <w:rPr>
                <w:sz w:val="18"/>
              </w:rPr>
              <w:t xml:space="preserve"> </w:t>
            </w:r>
            <w:r>
              <w:rPr>
                <w:sz w:val="18"/>
              </w:rPr>
              <w:t xml:space="preserve">“tool retrieval saturation”</w:t>
            </w:r>
            <w:r>
              <w:rPr>
                <w:sz w:val="18"/>
              </w:rPr>
              <w:t xml:space="preserve"> </w:t>
            </w:r>
            <w:r>
              <w:rPr>
                <w:sz w:val="18"/>
              </w:rPr>
              <w:t xml:space="preserve">as action spaces grow</w:t>
            </w:r>
          </w:p>
        </w:tc>
      </w:tr>
      <w:tr>
        <w:tc>
          <w:tcPr>
            <w:tcW w:type="dxa" w:w="1782"/>
          </w:tcPr>
          <w:p>
            <w:pPr>
              <w:pStyle w:val="Compact"/>
              <w:spacing w:after="20" w:before="20"/>
            </w:pPr>
            <w:r>
              <w:rPr>
                <w:sz w:val="18"/>
              </w:rPr>
              <w:t xml:space="preserve">Toollery (2026) [13]</w:t>
            </w:r>
          </w:p>
        </w:tc>
        <w:tc>
          <w:tcPr>
            <w:tcW w:type="dxa" w:w="3637"/>
          </w:tcPr>
          <w:p>
            <w:pPr>
              <w:pStyle w:val="Compact"/>
              <w:spacing w:after="20" w:before="20"/>
            </w:pPr>
            <w:r>
              <w:rPr>
                <w:sz w:val="18"/>
              </w:rPr>
              <w:t xml:space="preserve">Intent-expanded retrieval index over about 79k capabilities</w:t>
            </w:r>
          </w:p>
        </w:tc>
        <w:tc>
          <w:tcPr>
            <w:tcW w:type="dxa" w:w="4372"/>
          </w:tcPr>
          <w:p>
            <w:pPr>
              <w:pStyle w:val="Compact"/>
              <w:spacing w:after="20" w:before="20"/>
            </w:pPr>
            <w:r>
              <w:rPr>
                <w:sz w:val="18"/>
              </w:rPr>
              <w:t xml:space="preserve">Bounded top-k selection with better recall; gains depend on workload coverage and provider caching</w:t>
            </w:r>
          </w:p>
        </w:tc>
      </w:tr>
    </w:tbl>
    <w:bookmarkEnd w:id="15"/>
    <w:bookmarkStart w:id="16" w:name="optimisation-levers"/>
    <w:p>
      <w:pPr>
        <w:pStyle w:val="Heading2"/>
      </w:pPr>
      <w:r>
        <w:t xml:space="preserve">1.3 Optimisation levers</w:t>
      </w:r>
    </w:p>
    <w:p>
      <w:pPr>
        <w:pStyle w:val="Compact"/>
        <w:numPr>
          <w:ilvl w:val="0"/>
          <w:numId w:val="1002"/>
        </w:numPr>
      </w:pPr>
      <w:r>
        <w:rPr>
          <w:b/>
          <w:bCs/>
        </w:rPr>
        <w:t xml:space="preserve">Tool retrieval and dynamic loading.</w:t>
      </w:r>
      <w:r>
        <w:t xml:space="preserve"> </w:t>
      </w:r>
      <w:r>
        <w:t xml:space="preserve">Index tool specifications, then load the top-k per turn or let the agent search on demand. Examples: RAG-MCP [1], MCP-Zero [8], Dynamic ReAct [10], and Anthropic’s Tool Search Tool with</w:t>
      </w:r>
      <w:r>
        <w:t xml:space="preserve"> </w:t>
      </w:r>
      <w:r>
        <w:rPr>
          <w:rStyle w:val="VerbatimChar"/>
        </w:rPr>
        <w:t xml:space="preserve">defer_loading</w:t>
      </w:r>
      <w:r>
        <w:t xml:space="preserve"> </w:t>
      </w:r>
      <w:r>
        <w:t xml:space="preserve">(Anthropic recommends keeping the 3–5 most-used tools always loaded) [18]. Document-side query expansion (generating likely user intents per tool) improves recall [9, 13].</w:t>
      </w:r>
      <w:r>
        <w:t xml:space="preserve"> </w:t>
      </w:r>
      <w:r>
        <w:rPr>
          <w:i/>
          <w:iCs/>
        </w:rPr>
        <w:t xml:space="preserve">Caveat:</w:t>
      </w:r>
      <w:r>
        <w:t xml:space="preserve"> </w:t>
      </w:r>
      <w:r>
        <w:t xml:space="preserve">retrieval can miss latent prerequisite tools in interdependent workflows [11].</w:t>
      </w:r>
    </w:p>
    <w:p>
      <w:pPr>
        <w:pStyle w:val="Compact"/>
        <w:numPr>
          <w:ilvl w:val="0"/>
          <w:numId w:val="1002"/>
        </w:numPr>
      </w:pPr>
      <w:r>
        <w:rPr>
          <w:b/>
          <w:bCs/>
        </w:rPr>
        <w:t xml:space="preserve">Description and schema rewriting.</w:t>
      </w:r>
      <w:r>
        <w:t xml:space="preserve"> </w:t>
      </w:r>
      <w:r>
        <w:t xml:space="preserve">Approaches include condensing documentation (EasyTool [15]), trial-and-error refinement from the model’s own tool use (DRAFT [16]), and smell-guided augmentation [14]. Practitioner guidance covers namespacing, unambiguous parameter names, and token-efficient outputs [17]. The SWE-agent result that interface design alone changes agent performance (</w:t>
      </w:r>
      <w:r>
        <w:t xml:space="preserve">“agent-computer interface”</w:t>
      </w:r>
      <w:r>
        <w:t xml:space="preserve">, ACI) is the general form of this lever [22].</w:t>
      </w:r>
    </w:p>
    <w:p>
      <w:pPr>
        <w:pStyle w:val="Compact"/>
        <w:numPr>
          <w:ilvl w:val="0"/>
          <w:numId w:val="1002"/>
        </w:numPr>
      </w:pPr>
      <w:r>
        <w:rPr>
          <w:b/>
          <w:bCs/>
        </w:rPr>
        <w:t xml:space="preserve">Pruning and consolidation.</w:t>
      </w:r>
      <w:r>
        <w:t xml:space="preserve"> </w:t>
      </w:r>
      <w:r>
        <w:t xml:space="preserve">Remove or merge overlapping tools, and expose higher-level tools that match natural task subdivisions [17]. Pruning can be learned from traces: tools never selected, always followed by another tool, or frequently errored.</w:t>
      </w:r>
    </w:p>
    <w:p>
      <w:pPr>
        <w:pStyle w:val="Compact"/>
        <w:numPr>
          <w:ilvl w:val="0"/>
          <w:numId w:val="1002"/>
        </w:numPr>
      </w:pPr>
      <w:r>
        <w:rPr>
          <w:b/>
          <w:bCs/>
        </w:rPr>
        <w:t xml:space="preserve">Selection policy training.</w:t>
      </w:r>
      <w:r>
        <w:t xml:space="preserve"> </w:t>
      </w:r>
      <w:r>
        <w:t xml:space="preserve">Fine-tune the model or the retriever on tool-selection data. ToolRet released more than 200k training instances [2]; synthetic function-calling data comes from APIGen and ToolACE [42, 44].</w:t>
      </w:r>
    </w:p>
    <w:bookmarkEnd w:id="16"/>
    <w:bookmarkStart w:id="17" w:name="metrics"/>
    <w:p>
      <w:pPr>
        <w:pStyle w:val="Heading2"/>
      </w:pPr>
      <w:r>
        <w:t xml:space="preserve">1.4 Metrics</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867"/>
        <w:gridCol w:w="4242"/>
        <w:gridCol w:w="2681"/>
      </w:tblGrid>
      <w:tr>
        <w:trPr>
          <w:tblHeader w:val="on"/>
          <w:tblHeader w:val="true"/>
        </w:trPr>
        <w:tc>
          <w:tcPr>
            <w:tcW w:type="dxa" w:w="2868"/>
            <w:shd w:val="clear" w:color="auto" w:fill="1F1F1F"/>
          </w:tcPr>
          <w:p>
            <w:pPr>
              <w:pStyle w:val="Compact"/>
              <w:spacing w:after="20" w:before="20"/>
            </w:pPr>
            <w:r>
              <w:rPr>
                <w:b/>
                <w:color w:val="FFFFFF"/>
                <w:sz w:val="18"/>
              </w:rPr>
              <w:t xml:space="preserve">Metric</w:t>
            </w:r>
          </w:p>
        </w:tc>
        <w:tc>
          <w:tcPr>
            <w:tcW w:type="dxa" w:w="4243"/>
            <w:shd w:val="clear" w:color="auto" w:fill="1F1F1F"/>
          </w:tcPr>
          <w:p>
            <w:pPr>
              <w:pStyle w:val="Compact"/>
              <w:spacing w:after="20" w:before="20"/>
            </w:pPr>
            <w:r>
              <w:rPr>
                <w:b/>
                <w:color w:val="FFFFFF"/>
                <w:sz w:val="18"/>
              </w:rPr>
              <w:t xml:space="preserve">Definition</w:t>
            </w:r>
          </w:p>
        </w:tc>
        <w:tc>
          <w:tcPr>
            <w:tcW w:type="dxa" w:w="2682"/>
            <w:shd w:val="clear" w:color="auto" w:fill="1F1F1F"/>
          </w:tcPr>
          <w:p>
            <w:pPr>
              <w:pStyle w:val="Compact"/>
              <w:spacing w:after="20" w:before="20"/>
            </w:pPr>
            <w:r>
              <w:rPr>
                <w:b/>
                <w:color w:val="FFFFFF"/>
                <w:sz w:val="18"/>
              </w:rPr>
              <w:t xml:space="preserve">Source of truth</w:t>
            </w:r>
          </w:p>
        </w:tc>
      </w:tr>
      <w:tr>
        <w:tc>
          <w:tcPr>
            <w:tcW w:type="dxa" w:w="2868"/>
          </w:tcPr>
          <w:p>
            <w:pPr>
              <w:pStyle w:val="Compact"/>
              <w:spacing w:after="20" w:before="20"/>
            </w:pPr>
            <w:r>
              <w:rPr>
                <w:sz w:val="18"/>
              </w:rPr>
              <w:t xml:space="preserve">Tool-selection precision / recall / F1</w:t>
            </w:r>
          </w:p>
        </w:tc>
        <w:tc>
          <w:tcPr>
            <w:tcW w:type="dxa" w:w="4243"/>
          </w:tcPr>
          <w:p>
            <w:pPr>
              <w:pStyle w:val="Compact"/>
              <w:spacing w:after="20" w:before="20"/>
            </w:pPr>
            <w:r>
              <w:rPr>
                <w:sz w:val="18"/>
              </w:rPr>
              <w:t xml:space="preserve">Overlap of selected tools with the reference tool set per turn</w:t>
            </w:r>
          </w:p>
        </w:tc>
        <w:tc>
          <w:tcPr>
            <w:tcW w:type="dxa" w:w="2682"/>
          </w:tcPr>
          <w:p>
            <w:pPr>
              <w:pStyle w:val="Compact"/>
              <w:spacing w:after="20" w:before="20"/>
            </w:pPr>
            <w:r>
              <w:rPr>
                <w:sz w:val="18"/>
              </w:rPr>
              <w:t xml:space="preserve">Reference trajectories, SME-labelled sample</w:t>
            </w:r>
          </w:p>
        </w:tc>
      </w:tr>
      <w:tr>
        <w:tc>
          <w:tcPr>
            <w:tcW w:type="dxa" w:w="2868"/>
            <w:shd w:val="clear" w:color="auto" w:fill="FAFAFA"/>
          </w:tcPr>
          <w:p>
            <w:pPr>
              <w:pStyle w:val="Compact"/>
              <w:spacing w:after="20" w:before="20"/>
            </w:pPr>
            <w:r>
              <w:rPr>
                <w:sz w:val="18"/>
              </w:rPr>
              <w:t xml:space="preserve">Retrieval Recall@k</w:t>
            </w:r>
          </w:p>
        </w:tc>
        <w:tc>
          <w:tcPr>
            <w:tcW w:type="dxa" w:w="4243"/>
            <w:shd w:val="clear" w:color="auto" w:fill="FAFAFA"/>
          </w:tcPr>
          <w:p>
            <w:pPr>
              <w:pStyle w:val="Compact"/>
              <w:spacing w:after="20" w:before="20"/>
            </w:pPr>
            <w:r>
              <w:rPr>
                <w:sz w:val="18"/>
              </w:rPr>
              <w:t xml:space="preserve">Reference tools present in the top-k retrieved candidates</w:t>
            </w:r>
          </w:p>
        </w:tc>
        <w:tc>
          <w:tcPr>
            <w:tcW w:type="dxa" w:w="2682"/>
            <w:shd w:val="clear" w:color="auto" w:fill="FAFAFA"/>
          </w:tcPr>
          <w:p>
            <w:pPr>
              <w:pStyle w:val="Compact"/>
              <w:spacing w:after="20" w:before="20"/>
            </w:pPr>
            <w:r>
              <w:rPr>
                <w:sz w:val="18"/>
              </w:rPr>
              <w:t xml:space="preserve">Retrieval logs</w:t>
            </w:r>
          </w:p>
        </w:tc>
      </w:tr>
      <w:tr>
        <w:tc>
          <w:tcPr>
            <w:tcW w:type="dxa" w:w="2868"/>
          </w:tcPr>
          <w:p>
            <w:pPr>
              <w:pStyle w:val="Compact"/>
              <w:spacing w:after="20" w:before="20"/>
            </w:pPr>
            <w:r>
              <w:rPr>
                <w:sz w:val="18"/>
              </w:rPr>
              <w:t xml:space="preserve">Argument accuracy</w:t>
            </w:r>
          </w:p>
        </w:tc>
        <w:tc>
          <w:tcPr>
            <w:tcW w:type="dxa" w:w="4243"/>
          </w:tcPr>
          <w:p>
            <w:pPr>
              <w:pStyle w:val="Compact"/>
              <w:spacing w:after="20" w:before="20"/>
            </w:pPr>
            <w:r>
              <w:rPr>
                <w:sz w:val="18"/>
              </w:rPr>
              <w:t xml:space="preserve">Exact or AST match of arguments [19]</w:t>
            </w:r>
          </w:p>
        </w:tc>
        <w:tc>
          <w:tcPr>
            <w:tcW w:type="dxa" w:w="2682"/>
          </w:tcPr>
          <w:p>
            <w:pPr>
              <w:pStyle w:val="Compact"/>
              <w:spacing w:after="20" w:before="20"/>
            </w:pPr>
            <w:r>
              <w:rPr>
                <w:sz w:val="18"/>
              </w:rPr>
              <w:t xml:space="preserve">Reference calls</w:t>
            </w:r>
          </w:p>
        </w:tc>
      </w:tr>
      <w:tr>
        <w:tc>
          <w:tcPr>
            <w:tcW w:type="dxa" w:w="2868"/>
            <w:shd w:val="clear" w:color="auto" w:fill="FAFAFA"/>
          </w:tcPr>
          <w:p>
            <w:pPr>
              <w:pStyle w:val="Compact"/>
              <w:spacing w:after="20" w:before="20"/>
            </w:pPr>
            <w:r>
              <w:rPr>
                <w:sz w:val="18"/>
              </w:rPr>
              <w:t xml:space="preserve">Invalid-call rate</w:t>
            </w:r>
          </w:p>
        </w:tc>
        <w:tc>
          <w:tcPr>
            <w:tcW w:type="dxa" w:w="4243"/>
            <w:shd w:val="clear" w:color="auto" w:fill="FAFAFA"/>
          </w:tcPr>
          <w:p>
            <w:pPr>
              <w:pStyle w:val="Compact"/>
              <w:spacing w:after="20" w:before="20"/>
            </w:pPr>
            <w:r>
              <w:rPr>
                <w:sz w:val="18"/>
              </w:rPr>
              <w:t xml:space="preserve">Schema-invalid or errored calls / all calls</w:t>
            </w:r>
          </w:p>
        </w:tc>
        <w:tc>
          <w:tcPr>
            <w:tcW w:type="dxa" w:w="2682"/>
            <w:shd w:val="clear" w:color="auto" w:fill="FAFAFA"/>
          </w:tcPr>
          <w:p>
            <w:pPr>
              <w:pStyle w:val="Compact"/>
              <w:spacing w:after="20" w:before="20"/>
            </w:pPr>
            <w:r>
              <w:rPr>
                <w:sz w:val="18"/>
              </w:rPr>
              <w:t xml:space="preserve">Tool spans</w:t>
            </w:r>
          </w:p>
        </w:tc>
      </w:tr>
      <w:tr>
        <w:tc>
          <w:tcPr>
            <w:tcW w:type="dxa" w:w="2868"/>
          </w:tcPr>
          <w:p>
            <w:pPr>
              <w:pStyle w:val="Compact"/>
              <w:spacing w:after="20" w:before="20"/>
            </w:pPr>
            <w:r>
              <w:rPr>
                <w:sz w:val="18"/>
              </w:rPr>
              <w:t xml:space="preserve">Steps and tokens per success</w:t>
            </w:r>
          </w:p>
        </w:tc>
        <w:tc>
          <w:tcPr>
            <w:tcW w:type="dxa" w:w="4243"/>
          </w:tcPr>
          <w:p>
            <w:pPr>
              <w:pStyle w:val="Compact"/>
              <w:spacing w:after="20" w:before="20"/>
            </w:pPr>
            <w:r>
              <w:rPr>
                <w:sz w:val="18"/>
              </w:rPr>
              <w:t xml:space="preserve">Efficiency at equal success [14, 95]</w:t>
            </w:r>
          </w:p>
        </w:tc>
        <w:tc>
          <w:tcPr>
            <w:tcW w:type="dxa" w:w="2682"/>
          </w:tcPr>
          <w:p>
            <w:pPr>
              <w:pStyle w:val="Compact"/>
              <w:spacing w:after="20" w:before="20"/>
            </w:pPr>
            <w:r>
              <w:rPr>
                <w:sz w:val="18"/>
              </w:rPr>
              <w:t xml:space="preserve">Kairos usage</w:t>
            </w:r>
          </w:p>
        </w:tc>
      </w:tr>
      <w:tr>
        <w:tc>
          <w:tcPr>
            <w:tcW w:type="dxa" w:w="2868"/>
            <w:shd w:val="clear" w:color="auto" w:fill="FAFAFA"/>
          </w:tcPr>
          <w:p>
            <w:pPr>
              <w:pStyle w:val="Compact"/>
              <w:spacing w:after="20" w:before="20"/>
            </w:pPr>
            <w:r>
              <w:rPr>
                <w:sz w:val="18"/>
              </w:rPr>
              <w:t xml:space="preserve">End-task success and pass^k</w:t>
            </w:r>
          </w:p>
        </w:tc>
        <w:tc>
          <w:tcPr>
            <w:tcW w:type="dxa" w:w="4243"/>
            <w:shd w:val="clear" w:color="auto" w:fill="FAFAFA"/>
          </w:tcPr>
          <w:p>
            <w:pPr>
              <w:pStyle w:val="Compact"/>
              <w:spacing w:after="20" w:before="20"/>
            </w:pPr>
            <w:r>
              <w:rPr>
                <w:sz w:val="18"/>
              </w:rPr>
              <w:t xml:space="preserve">Strict success; consistency over k trials [20]</w:t>
            </w:r>
          </w:p>
        </w:tc>
        <w:tc>
          <w:tcPr>
            <w:tcW w:type="dxa" w:w="2682"/>
            <w:shd w:val="clear" w:color="auto" w:fill="FAFAFA"/>
          </w:tcPr>
          <w:p>
            <w:pPr>
              <w:pStyle w:val="Compact"/>
              <w:spacing w:after="20" w:before="20"/>
            </w:pPr>
            <w:r>
              <w:rPr>
                <w:sz w:val="18"/>
              </w:rPr>
              <w:t xml:space="preserve">Environment state or judge</w:t>
            </w:r>
          </w:p>
        </w:tc>
      </w:tr>
    </w:tbl>
    <w:bookmarkEnd w:id="17"/>
    <w:bookmarkStart w:id="18" w:name="verizon-implications"/>
    <w:p>
      <w:pPr>
        <w:pStyle w:val="Heading2"/>
      </w:pPr>
      <w:r>
        <w:t xml:space="preserve">1.5 Verizon implications</w:t>
      </w:r>
    </w:p>
    <w:p>
      <w:pPr>
        <w:pStyle w:val="Compact"/>
        <w:numPr>
          <w:ilvl w:val="0"/>
          <w:numId w:val="1003"/>
        </w:numPr>
      </w:pPr>
      <w:r>
        <w:rPr>
          <w:b/>
          <w:bCs/>
        </w:rPr>
        <w:t xml:space="preserve">Kairos sees the</w:t>
      </w:r>
      <w:r>
        <w:rPr>
          <w:b/>
          <w:bCs/>
        </w:rPr>
        <w:t xml:space="preserve"> </w:t>
      </w:r>
      <w:r>
        <w:rPr>
          <w:rStyle w:val="VerbatimChar"/>
          <w:b/>
          <w:bCs/>
        </w:rPr>
        <w:t xml:space="preserve">tools</w:t>
      </w:r>
      <w:r>
        <w:rPr>
          <w:b/>
          <w:bCs/>
        </w:rPr>
        <w:t xml:space="preserve"> </w:t>
      </w:r>
      <w:r>
        <w:rPr>
          <w:b/>
          <w:bCs/>
        </w:rPr>
        <w:t xml:space="preserve">array on every request.</w:t>
      </w:r>
      <w:r>
        <w:t xml:space="preserve"> </w:t>
      </w:r>
      <w:r>
        <w:t xml:space="preserve">Tool-set size, token share, and selection versus availability can therefore be measured with zero code change. Gateway-side tool filtering is possible in principle but changes application behaviour, so it should be evaluated only behind a flagged Kairos route. [Kairos owner to confirm feasibility.]</w:t>
      </w:r>
    </w:p>
    <w:p>
      <w:pPr>
        <w:pStyle w:val="Compact"/>
        <w:numPr>
          <w:ilvl w:val="0"/>
          <w:numId w:val="1003"/>
        </w:numPr>
      </w:pPr>
      <w:r>
        <w:t xml:space="preserve">Tool descriptions and selection should be optimised as a</w:t>
      </w:r>
      <w:r>
        <w:t xml:space="preserve"> </w:t>
      </w:r>
      <w:r>
        <w:rPr>
          <w:b/>
          <w:bCs/>
        </w:rPr>
        <w:t xml:space="preserve">separable harness component</w:t>
      </w:r>
      <w:r>
        <w:t xml:space="preserve">, with its own ablation (TA-13).</w:t>
      </w:r>
    </w:p>
    <w:bookmarkEnd w:id="18"/>
    <w:bookmarkEnd w:id="19"/>
    <w:bookmarkStart w:id="23" w:name="Xf1992fa93481816254382220280940798e4e211"/>
    <w:p>
      <w:pPr>
        <w:pStyle w:val="Heading1"/>
      </w:pPr>
      <w:r>
        <w:t xml:space="preserve">2. Agent selection and routing in multi-agent systems</w:t>
      </w:r>
    </w:p>
    <w:bookmarkStart w:id="20" w:name="routers"/>
    <w:p>
      <w:pPr>
        <w:pStyle w:val="Heading2"/>
      </w:pPr>
      <w:r>
        <w:t xml:space="preserve">2.1 Routers</w:t>
      </w:r>
    </w:p>
    <w:p>
      <w:pPr>
        <w:pStyle w:val="Compact"/>
        <w:numPr>
          <w:ilvl w:val="0"/>
          <w:numId w:val="1004"/>
        </w:numPr>
      </w:pPr>
      <w:r>
        <w:rPr>
          <w:b/>
          <w:bCs/>
        </w:rPr>
        <w:t xml:space="preserve">Model routers</w:t>
      </w:r>
      <w:r>
        <w:t xml:space="preserve"> </w:t>
      </w:r>
      <w:r>
        <w:t xml:space="preserve">choose a model per query to trade cost against quality. Examples: FrugalGPT cascades [25], RouterBench [26], and RouteLLM, which learns routers from preference data and reports cost reductions of over 2× without quality loss in some settings [24].</w:t>
      </w:r>
    </w:p>
    <w:p>
      <w:pPr>
        <w:pStyle w:val="Compact"/>
        <w:numPr>
          <w:ilvl w:val="0"/>
          <w:numId w:val="1004"/>
        </w:numPr>
      </w:pPr>
      <w:r>
        <w:rPr>
          <w:b/>
          <w:bCs/>
        </w:rPr>
        <w:t xml:space="preserve">Multi-agent routers.</w:t>
      </w:r>
      <w:r>
        <w:t xml:space="preserve"> </w:t>
      </w:r>
      <w:r>
        <w:t xml:space="preserve">MasRouter routes collaboration mode, role allocation and the LLM per agent jointly. It reports a 1.8–8.2% improvement on MBPP and up to 52.07% lower overhead on HumanEval [27].</w:t>
      </w:r>
    </w:p>
    <w:p>
      <w:pPr>
        <w:pStyle w:val="Compact"/>
        <w:numPr>
          <w:ilvl w:val="0"/>
          <w:numId w:val="1004"/>
        </w:numPr>
      </w:pPr>
      <w:r>
        <w:rPr>
          <w:b/>
          <w:bCs/>
        </w:rPr>
        <w:t xml:space="preserve">Supervisor and handoff patterns.</w:t>
      </w:r>
      <w:r>
        <w:t xml:space="preserve"> </w:t>
      </w:r>
      <w:r>
        <w:t xml:space="preserve">These are the common production forms: orchestrator-workers and routing workflows [35], LangGraph supervisor [36], and OpenAI Agents SDK handoffs [37].</w:t>
      </w:r>
    </w:p>
    <w:p>
      <w:pPr>
        <w:pStyle w:val="Compact"/>
        <w:numPr>
          <w:ilvl w:val="0"/>
          <w:numId w:val="1004"/>
        </w:numPr>
      </w:pPr>
      <w:r>
        <w:rPr>
          <w:b/>
          <w:bCs/>
        </w:rPr>
        <w:t xml:space="preserve">Failure evidence.</w:t>
      </w:r>
      <w:r>
        <w:t xml:space="preserve"> </w:t>
      </w:r>
      <w:r>
        <w:t xml:space="preserve">The MAST taxonomy (1,600+ traces, 14 failure modes in 3 categories: system design, inter-agent misalignment, task verification) shows multi-agent gains are often minimal on popular benchmarks [33]. Automated attribution of</w:t>
      </w:r>
      <w:r>
        <w:t xml:space="preserve"> </w:t>
      </w:r>
      <w:r>
        <w:rPr>
          <w:i/>
          <w:iCs/>
        </w:rPr>
        <w:t xml:space="preserve">which agent failed and when</w:t>
      </w:r>
      <w:r>
        <w:t xml:space="preserve"> </w:t>
      </w:r>
      <w:r>
        <w:t xml:space="preserve">remains weak: the best method in the Who&amp;When study identified the responsible agent 53.5% of the time and the decisive step only 14.2% of the time [34].</w:t>
      </w:r>
    </w:p>
    <w:bookmarkEnd w:id="20"/>
    <w:bookmarkStart w:id="21" w:name="topology-and-architecture-search"/>
    <w:p>
      <w:pPr>
        <w:pStyle w:val="Heading2"/>
      </w:pPr>
      <w:r>
        <w:t xml:space="preserve">2.2 Topology and architecture search</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616"/>
        <w:gridCol w:w="2643"/>
        <w:gridCol w:w="2139"/>
        <w:gridCol w:w="3391"/>
      </w:tblGrid>
      <w:tr>
        <w:trPr>
          <w:tblHeader w:val="on"/>
          <w:tblHeader w:val="true"/>
        </w:trPr>
        <w:tc>
          <w:tcPr>
            <w:tcW w:type="dxa" w:w="1617"/>
            <w:shd w:val="clear" w:color="auto" w:fill="1F1F1F"/>
          </w:tcPr>
          <w:p>
            <w:pPr>
              <w:pStyle w:val="Compact"/>
              <w:spacing w:after="20" w:before="20"/>
            </w:pPr>
            <w:r>
              <w:rPr>
                <w:b/>
                <w:color w:val="FFFFFF"/>
                <w:sz w:val="18"/>
              </w:rPr>
              <w:t xml:space="preserve">Method</w:t>
            </w:r>
          </w:p>
        </w:tc>
        <w:tc>
          <w:tcPr>
            <w:tcW w:type="dxa" w:w="2644"/>
            <w:shd w:val="clear" w:color="auto" w:fill="1F1F1F"/>
          </w:tcPr>
          <w:p>
            <w:pPr>
              <w:pStyle w:val="Compact"/>
              <w:spacing w:after="20" w:before="20"/>
            </w:pPr>
            <w:r>
              <w:rPr>
                <w:b/>
                <w:color w:val="FFFFFF"/>
                <w:sz w:val="18"/>
              </w:rPr>
              <w:t xml:space="preserve">Search space</w:t>
            </w:r>
          </w:p>
        </w:tc>
        <w:tc>
          <w:tcPr>
            <w:tcW w:type="dxa" w:w="2140"/>
            <w:shd w:val="clear" w:color="auto" w:fill="1F1F1F"/>
          </w:tcPr>
          <w:p>
            <w:pPr>
              <w:pStyle w:val="Compact"/>
              <w:spacing w:after="20" w:before="20"/>
            </w:pPr>
            <w:r>
              <w:rPr>
                <w:b/>
                <w:color w:val="FFFFFF"/>
                <w:sz w:val="18"/>
              </w:rPr>
              <w:t xml:space="preserve">Search algorithm</w:t>
            </w:r>
          </w:p>
        </w:tc>
        <w:tc>
          <w:tcPr>
            <w:tcW w:type="dxa" w:w="3392"/>
            <w:shd w:val="clear" w:color="auto" w:fill="1F1F1F"/>
          </w:tcPr>
          <w:p>
            <w:pPr>
              <w:pStyle w:val="Compact"/>
              <w:spacing w:after="20" w:before="20"/>
            </w:pPr>
            <w:r>
              <w:rPr>
                <w:b/>
                <w:color w:val="FFFFFF"/>
                <w:sz w:val="18"/>
              </w:rPr>
              <w:t xml:space="preserve">Reported result</w:t>
            </w:r>
          </w:p>
        </w:tc>
      </w:tr>
      <w:tr>
        <w:tc>
          <w:tcPr>
            <w:tcW w:type="dxa" w:w="1617"/>
          </w:tcPr>
          <w:p>
            <w:pPr>
              <w:pStyle w:val="Compact"/>
              <w:spacing w:after="20" w:before="20"/>
            </w:pPr>
            <w:r>
              <w:rPr>
                <w:sz w:val="18"/>
              </w:rPr>
              <w:t xml:space="preserve">GPTSwarm [30]</w:t>
            </w:r>
          </w:p>
        </w:tc>
        <w:tc>
          <w:tcPr>
            <w:tcW w:type="dxa" w:w="2644"/>
          </w:tcPr>
          <w:p>
            <w:pPr>
              <w:pStyle w:val="Compact"/>
              <w:spacing w:after="20" w:before="20"/>
            </w:pPr>
            <w:r>
              <w:rPr>
                <w:sz w:val="18"/>
              </w:rPr>
              <w:t xml:space="preserve">Agents as computational graphs: node prompts and edges</w:t>
            </w:r>
          </w:p>
        </w:tc>
        <w:tc>
          <w:tcPr>
            <w:tcW w:type="dxa" w:w="2140"/>
          </w:tcPr>
          <w:p>
            <w:pPr>
              <w:pStyle w:val="Compact"/>
              <w:spacing w:after="20" w:before="20"/>
            </w:pPr>
            <w:r>
              <w:rPr>
                <w:sz w:val="18"/>
              </w:rPr>
              <w:t xml:space="preserve">Node and edge optimisation</w:t>
            </w:r>
          </w:p>
        </w:tc>
        <w:tc>
          <w:tcPr>
            <w:tcW w:type="dxa" w:w="3392"/>
          </w:tcPr>
          <w:p>
            <w:pPr>
              <w:pStyle w:val="Compact"/>
              <w:spacing w:after="20" w:before="20"/>
            </w:pPr>
            <w:r>
              <w:rPr>
                <w:sz w:val="18"/>
              </w:rPr>
              <w:t xml:space="preserve">Framework-level demonstration</w:t>
            </w:r>
          </w:p>
        </w:tc>
      </w:tr>
      <w:tr>
        <w:tc>
          <w:tcPr>
            <w:tcW w:type="dxa" w:w="1617"/>
            <w:shd w:val="clear" w:color="auto" w:fill="FAFAFA"/>
          </w:tcPr>
          <w:p>
            <w:pPr>
              <w:pStyle w:val="Compact"/>
              <w:spacing w:after="20" w:before="20"/>
            </w:pPr>
            <w:r>
              <w:rPr>
                <w:sz w:val="18"/>
              </w:rPr>
              <w:t xml:space="preserve">ADAS / Meta Agent Search [28]</w:t>
            </w:r>
          </w:p>
        </w:tc>
        <w:tc>
          <w:tcPr>
            <w:tcW w:type="dxa" w:w="2644"/>
            <w:shd w:val="clear" w:color="auto" w:fill="FAFAFA"/>
          </w:tcPr>
          <w:p>
            <w:pPr>
              <w:pStyle w:val="Compact"/>
              <w:spacing w:after="20" w:before="20"/>
            </w:pPr>
            <w:r>
              <w:rPr>
                <w:sz w:val="18"/>
              </w:rPr>
              <w:t xml:space="preserve">Agents defined in code</w:t>
            </w:r>
          </w:p>
        </w:tc>
        <w:tc>
          <w:tcPr>
            <w:tcW w:type="dxa" w:w="2140"/>
            <w:shd w:val="clear" w:color="auto" w:fill="FAFAFA"/>
          </w:tcPr>
          <w:p>
            <w:pPr>
              <w:pStyle w:val="Compact"/>
              <w:spacing w:after="20" w:before="20"/>
            </w:pPr>
            <w:r>
              <w:rPr>
                <w:sz w:val="18"/>
              </w:rPr>
              <w:t xml:space="preserve">A meta-agent programs new agents from an archive</w:t>
            </w:r>
          </w:p>
        </w:tc>
        <w:tc>
          <w:tcPr>
            <w:tcW w:type="dxa" w:w="3392"/>
            <w:shd w:val="clear" w:color="auto" w:fill="FAFAFA"/>
          </w:tcPr>
          <w:p>
            <w:pPr>
              <w:pStyle w:val="Compact"/>
              <w:spacing w:after="20" w:before="20"/>
            </w:pPr>
            <w:r>
              <w:rPr>
                <w:sz w:val="18"/>
              </w:rPr>
              <w:t xml:space="preserve">Discovered agents transfer across domains and models</w:t>
            </w:r>
          </w:p>
        </w:tc>
      </w:tr>
      <w:tr>
        <w:tc>
          <w:tcPr>
            <w:tcW w:type="dxa" w:w="1617"/>
          </w:tcPr>
          <w:p>
            <w:pPr>
              <w:pStyle w:val="Compact"/>
              <w:spacing w:after="20" w:before="20"/>
            </w:pPr>
            <w:r>
              <w:rPr>
                <w:sz w:val="18"/>
              </w:rPr>
              <w:t xml:space="preserve">AFlow [29]</w:t>
            </w:r>
          </w:p>
        </w:tc>
        <w:tc>
          <w:tcPr>
            <w:tcW w:type="dxa" w:w="2644"/>
          </w:tcPr>
          <w:p>
            <w:pPr>
              <w:pStyle w:val="Compact"/>
              <w:spacing w:after="20" w:before="20"/>
            </w:pPr>
            <w:r>
              <w:rPr>
                <w:sz w:val="18"/>
              </w:rPr>
              <w:t xml:space="preserve">Code-represented workflows</w:t>
            </w:r>
          </w:p>
        </w:tc>
        <w:tc>
          <w:tcPr>
            <w:tcW w:type="dxa" w:w="2140"/>
          </w:tcPr>
          <w:p>
            <w:pPr>
              <w:pStyle w:val="Compact"/>
              <w:spacing w:after="20" w:before="20"/>
            </w:pPr>
            <w:r>
              <w:rPr>
                <w:sz w:val="18"/>
              </w:rPr>
              <w:t xml:space="preserve">Monte Carlo Tree Search</w:t>
            </w:r>
          </w:p>
        </w:tc>
        <w:tc>
          <w:tcPr>
            <w:tcW w:type="dxa" w:w="3392"/>
          </w:tcPr>
          <w:p>
            <w:pPr>
              <w:pStyle w:val="Compact"/>
              <w:spacing w:after="20" w:before="20"/>
            </w:pPr>
            <w:r>
              <w:rPr>
                <w:sz w:val="18"/>
              </w:rPr>
              <w:t xml:space="preserve">+5.7% average over baselines; smaller models beat GPT-4o on some tasks at 4.55% of its cost</w:t>
            </w:r>
          </w:p>
        </w:tc>
      </w:tr>
      <w:tr>
        <w:tc>
          <w:tcPr>
            <w:tcW w:type="dxa" w:w="1617"/>
            <w:shd w:val="clear" w:color="auto" w:fill="FAFAFA"/>
          </w:tcPr>
          <w:p>
            <w:pPr>
              <w:pStyle w:val="Compact"/>
              <w:spacing w:after="20" w:before="20"/>
            </w:pPr>
            <w:r>
              <w:rPr>
                <w:sz w:val="18"/>
              </w:rPr>
              <w:t xml:space="preserve">MaAS [31]</w:t>
            </w:r>
          </w:p>
        </w:tc>
        <w:tc>
          <w:tcPr>
            <w:tcW w:type="dxa" w:w="2644"/>
            <w:shd w:val="clear" w:color="auto" w:fill="FAFAFA"/>
          </w:tcPr>
          <w:p>
            <w:pPr>
              <w:pStyle w:val="Compact"/>
              <w:spacing w:after="20" w:before="20"/>
            </w:pPr>
            <w:r>
              <w:rPr>
                <w:sz w:val="18"/>
              </w:rPr>
              <w:t xml:space="preserve">Probabilistic</w:t>
            </w:r>
            <w:r>
              <w:rPr>
                <w:sz w:val="18"/>
              </w:rPr>
              <w:t xml:space="preserve"> </w:t>
            </w:r>
            <w:r>
              <w:rPr>
                <w:sz w:val="18"/>
              </w:rPr>
              <w:t xml:space="preserve">“agentic supernet”</w:t>
            </w:r>
            <w:r>
              <w:rPr>
                <w:sz w:val="18"/>
              </w:rPr>
              <w:t xml:space="preserve">; query-dependent architectures</w:t>
            </w:r>
          </w:p>
        </w:tc>
        <w:tc>
          <w:tcPr>
            <w:tcW w:type="dxa" w:w="2140"/>
            <w:shd w:val="clear" w:color="auto" w:fill="FAFAFA"/>
          </w:tcPr>
          <w:p>
            <w:pPr>
              <w:pStyle w:val="Compact"/>
              <w:spacing w:after="20" w:before="20"/>
            </w:pPr>
            <w:r>
              <w:rPr>
                <w:sz w:val="18"/>
              </w:rPr>
              <w:t xml:space="preserve">Supernet sampling</w:t>
            </w:r>
          </w:p>
        </w:tc>
        <w:tc>
          <w:tcPr>
            <w:tcW w:type="dxa" w:w="3392"/>
            <w:shd w:val="clear" w:color="auto" w:fill="FAFAFA"/>
          </w:tcPr>
          <w:p>
            <w:pPr>
              <w:pStyle w:val="Compact"/>
              <w:spacing w:after="20" w:before="20"/>
            </w:pPr>
            <w:r>
              <w:rPr>
                <w:sz w:val="18"/>
              </w:rPr>
              <w:t xml:space="preserve">6–45% of the inference cost of existing systems, +0.54% to +11.82% quality</w:t>
            </w:r>
          </w:p>
        </w:tc>
      </w:tr>
      <w:tr>
        <w:tc>
          <w:tcPr>
            <w:tcW w:type="dxa" w:w="1617"/>
          </w:tcPr>
          <w:p>
            <w:pPr>
              <w:pStyle w:val="Compact"/>
              <w:spacing w:after="20" w:before="20"/>
            </w:pPr>
            <w:r>
              <w:rPr>
                <w:sz w:val="18"/>
              </w:rPr>
              <w:t xml:space="preserve">Mixture-of-Agents [32]</w:t>
            </w:r>
          </w:p>
        </w:tc>
        <w:tc>
          <w:tcPr>
            <w:tcW w:type="dxa" w:w="2644"/>
          </w:tcPr>
          <w:p>
            <w:pPr>
              <w:pStyle w:val="Compact"/>
              <w:spacing w:after="20" w:before="20"/>
            </w:pPr>
            <w:r>
              <w:rPr>
                <w:sz w:val="18"/>
              </w:rPr>
              <w:t xml:space="preserve">Layered ensembles of LLMs</w:t>
            </w:r>
          </w:p>
        </w:tc>
        <w:tc>
          <w:tcPr>
            <w:tcW w:type="dxa" w:w="2140"/>
          </w:tcPr>
          <w:p>
            <w:pPr>
              <w:pStyle w:val="Compact"/>
              <w:spacing w:after="20" w:before="20"/>
            </w:pPr>
            <w:r>
              <w:rPr>
                <w:sz w:val="18"/>
              </w:rPr>
              <w:t xml:space="preserve">Fixed design</w:t>
            </w:r>
          </w:p>
        </w:tc>
        <w:tc>
          <w:tcPr>
            <w:tcW w:type="dxa" w:w="3392"/>
          </w:tcPr>
          <w:p>
            <w:pPr>
              <w:pStyle w:val="Compact"/>
              <w:spacing w:after="20" w:before="20"/>
            </w:pPr>
            <w:r>
              <w:rPr>
                <w:sz w:val="18"/>
              </w:rPr>
              <w:t xml:space="preserve">Reference point for ensemble cost and quality</w:t>
            </w:r>
          </w:p>
        </w:tc>
      </w:tr>
    </w:tbl>
    <w:bookmarkEnd w:id="21"/>
    <w:bookmarkStart w:id="22" w:name="interaction-with-kairos-litellm-routing"/>
    <w:p>
      <w:pPr>
        <w:pStyle w:val="Heading2"/>
      </w:pPr>
      <w:r>
        <w:t xml:space="preserve">2.3 Interaction with Kairos (LiteLLM) routing</w:t>
      </w:r>
    </w:p>
    <w:p>
      <w:pPr>
        <w:pStyle w:val="FirstParagraph"/>
      </w:pPr>
      <w:r>
        <w:t xml:space="preserve">Verizon has three stacked routing decisions:</w:t>
      </w:r>
      <w:r>
        <w:t xml:space="preserve"> </w:t>
      </w:r>
      <w:r>
        <w:rPr>
          <w:b/>
          <w:bCs/>
        </w:rPr>
        <w:t xml:space="preserve">agent routing</w:t>
      </w:r>
      <w:r>
        <w:t xml:space="preserve"> </w:t>
      </w:r>
      <w:r>
        <w:t xml:space="preserve">(internal SDK supervisor or handoffs),</w:t>
      </w:r>
      <w:r>
        <w:t xml:space="preserve"> </w:t>
      </w:r>
      <w:r>
        <w:rPr>
          <w:b/>
          <w:bCs/>
        </w:rPr>
        <w:t xml:space="preserve">tool routing</w:t>
      </w:r>
      <w:r>
        <w:t xml:space="preserve"> </w:t>
      </w:r>
      <w:r>
        <w:t xml:space="preserve">(Section 1), and</w:t>
      </w:r>
      <w:r>
        <w:t xml:space="preserve"> </w:t>
      </w:r>
      <w:r>
        <w:rPr>
          <w:b/>
          <w:bCs/>
        </w:rPr>
        <w:t xml:space="preserve">model routing</w:t>
      </w:r>
      <w:r>
        <w:t xml:space="preserve"> </w:t>
      </w:r>
      <w:r>
        <w:t xml:space="preserve">in Kairos. LiteLLM provides several routing strategies [38]. Its beta auto-router classifies requests into tiers and can Thompson-sample within a model pool (</w:t>
      </w:r>
      <w:r>
        <w:rPr>
          <w:rStyle w:val="VerbatimChar"/>
        </w:rPr>
        <w:t xml:space="preserve">adaptive: true</w:t>
      </w:r>
      <w:r>
        <w:t xml:space="preserve">), pin sessions (</w:t>
      </w:r>
      <w:r>
        <w:rPr>
          <w:rStyle w:val="VerbatimChar"/>
        </w:rPr>
        <w:t xml:space="preserve">session_affinity</w:t>
      </w:r>
      <w:r>
        <w:t xml:space="preserve">), and log a</w:t>
      </w:r>
      <w:r>
        <w:t xml:space="preserve"> </w:t>
      </w:r>
      <w:r>
        <w:rPr>
          <w:rStyle w:val="VerbatimChar"/>
        </w:rPr>
        <w:t xml:space="preserve">cause=</w:t>
      </w:r>
      <w:r>
        <w:t xml:space="preserve"> </w:t>
      </w:r>
      <w:r>
        <w:t xml:space="preserve">and</w:t>
      </w:r>
      <w:r>
        <w:t xml:space="preserve"> </w:t>
      </w:r>
      <w:r>
        <w:rPr>
          <w:rStyle w:val="VerbatimChar"/>
        </w:rPr>
        <w:t xml:space="preserve">routing_decision</w:t>
      </w:r>
      <w:r>
        <w:t xml:space="preserve"> </w:t>
      </w:r>
      <w:r>
        <w:t xml:space="preserve">record per request [39]. Whether Kairos uses any of these is to be confirmed by the Kairos owner. Consequences for the POC:</w:t>
      </w:r>
    </w:p>
    <w:p>
      <w:pPr>
        <w:pStyle w:val="Compact"/>
        <w:numPr>
          <w:ilvl w:val="0"/>
          <w:numId w:val="1005"/>
        </w:numPr>
      </w:pPr>
      <w:r>
        <w:rPr>
          <w:b/>
          <w:bCs/>
        </w:rPr>
        <w:t xml:space="preserve">Confounding.</w:t>
      </w:r>
      <w:r>
        <w:t xml:space="preserve"> </w:t>
      </w:r>
      <w:r>
        <w:t xml:space="preserve">If the gateway router changes the model mid-experiment, harness lift and routing effects become entangled. Every span must carry the routing decision, and evaluation runs must use a</w:t>
      </w:r>
      <w:r>
        <w:t xml:space="preserve"> </w:t>
      </w:r>
      <w:r>
        <w:rPr>
          <w:b/>
          <w:bCs/>
        </w:rPr>
        <w:t xml:space="preserve">route-pinned Kairos alias</w:t>
      </w:r>
      <w:r>
        <w:t xml:space="preserve">.</w:t>
      </w:r>
    </w:p>
    <w:p>
      <w:pPr>
        <w:pStyle w:val="Compact"/>
        <w:numPr>
          <w:ilvl w:val="0"/>
          <w:numId w:val="1005"/>
        </w:numPr>
      </w:pPr>
      <w:r>
        <w:rPr>
          <w:b/>
          <w:bCs/>
        </w:rPr>
        <w:t xml:space="preserve">Non-stationary traces.</w:t>
      </w:r>
      <w:r>
        <w:t xml:space="preserve"> </w:t>
      </w:r>
      <w:r>
        <w:t xml:space="preserve">An adaptive (bandit) router is itself an online learner, so the three-month traces come from a moving policy. Trace mining must stratify by route and time.</w:t>
      </w:r>
    </w:p>
    <w:p>
      <w:pPr>
        <w:pStyle w:val="Compact"/>
        <w:numPr>
          <w:ilvl w:val="0"/>
          <w:numId w:val="1005"/>
        </w:numPr>
      </w:pPr>
      <w:r>
        <w:rPr>
          <w:b/>
          <w:bCs/>
        </w:rPr>
        <w:t xml:space="preserve">Joint optimisation is possible, but must be explicit.</w:t>
      </w:r>
      <w:r>
        <w:t xml:space="preserve"> </w:t>
      </w:r>
      <w:r>
        <w:t xml:space="preserve">Either the routing policy is a fixed environment variable, or it is a declared decision variable that Lucidic optimises jointly with the harness (as MasRouter [27] and MaAS [31] do for multi-agent systems). It must not be optimised implicitly.</w:t>
      </w:r>
    </w:p>
    <w:p>
      <w:pPr>
        <w:pStyle w:val="Compact"/>
        <w:numPr>
          <w:ilvl w:val="0"/>
          <w:numId w:val="1005"/>
        </w:numPr>
      </w:pPr>
      <w:r>
        <w:rPr>
          <w:b/>
          <w:bCs/>
        </w:rPr>
        <w:t xml:space="preserve">Deployment.</w:t>
      </w:r>
      <w:r>
        <w:t xml:space="preserve"> </w:t>
      </w:r>
      <w:r>
        <w:t xml:space="preserve">Optimised routing should be delivered as Kairos configuration (a route definition or tier map) and promoted through shadow and canary like any other harness change.</w:t>
      </w:r>
    </w:p>
    <w:bookmarkEnd w:id="22"/>
    <w:bookmarkEnd w:id="23"/>
    <w:bookmarkStart w:id="28" w:name="data-centric-optimisation"/>
    <w:p>
      <w:pPr>
        <w:pStyle w:val="Heading1"/>
      </w:pPr>
      <w:r>
        <w:t xml:space="preserve">3. Data-centric optimisation</w:t>
      </w:r>
    </w:p>
    <w:bookmarkStart w:id="24" w:name="X3fa4f61b26e4dec7deffdebd75edcd5542d7092"/>
    <w:p>
      <w:pPr>
        <w:pStyle w:val="Heading2"/>
      </w:pPr>
      <w:r>
        <w:t xml:space="preserve">3.1 Trace mining and failure clustering (three months of OTel traces)</w:t>
      </w:r>
    </w:p>
    <w:p>
      <w:pPr>
        <w:pStyle w:val="Compact"/>
        <w:numPr>
          <w:ilvl w:val="0"/>
          <w:numId w:val="1006"/>
        </w:numPr>
      </w:pPr>
      <w:r>
        <w:rPr>
          <w:b/>
          <w:bCs/>
        </w:rPr>
        <w:t xml:space="preserve">Normalise and deduplicate.</w:t>
      </w:r>
      <w:r>
        <w:t xml:space="preserve"> </w:t>
      </w:r>
      <w:r>
        <w:t xml:space="preserve">Group spans into sessions, deduplicate near-identical sessions (for example with MinHash), and remove templated or synthetic traffic. Deduplication improves model quality and reduces train/test leakage [53].</w:t>
      </w:r>
    </w:p>
    <w:p>
      <w:pPr>
        <w:pStyle w:val="Compact"/>
        <w:numPr>
          <w:ilvl w:val="0"/>
          <w:numId w:val="1006"/>
        </w:numPr>
      </w:pPr>
      <w:r>
        <w:rPr>
          <w:b/>
          <w:bCs/>
        </w:rPr>
        <w:t xml:space="preserve">Build a task taxonomy</w:t>
      </w:r>
      <w:r>
        <w:t xml:space="preserve"> </w:t>
      </w:r>
      <w:r>
        <w:t xml:space="preserve">(Section 7.2). Cluster sessions by intent, tool set, turn count and outcome, then stratify every split and report by stratum.</w:t>
      </w:r>
    </w:p>
    <w:p>
      <w:pPr>
        <w:pStyle w:val="Compact"/>
        <w:numPr>
          <w:ilvl w:val="0"/>
          <w:numId w:val="1006"/>
        </w:numPr>
      </w:pPr>
      <w:r>
        <w:rPr>
          <w:b/>
          <w:bCs/>
        </w:rPr>
        <w:t xml:space="preserve">Cluster failures</w:t>
      </w:r>
      <w:r>
        <w:t xml:space="preserve"> </w:t>
      </w:r>
      <w:r>
        <w:t xml:space="preserve">with a published taxonomy as a starting point: MAST for multi-agent failures [33], and tool-specific failure modes such as retrieval miss, wrong argument, skipped verification and premature give-up [11]. Attribute failures to agent and step where possible, but treat automated attribution as low-precision [34].</w:t>
      </w:r>
    </w:p>
    <w:p>
      <w:pPr>
        <w:pStyle w:val="Compact"/>
        <w:numPr>
          <w:ilvl w:val="0"/>
          <w:numId w:val="1006"/>
        </w:numPr>
      </w:pPr>
      <w:r>
        <w:rPr>
          <w:b/>
          <w:bCs/>
        </w:rPr>
        <w:t xml:space="preserve">Label outcomes.</w:t>
      </w:r>
      <w:r>
        <w:t xml:space="preserve"> </w:t>
      </w:r>
      <w:r>
        <w:t xml:space="preserve">Prefer hard signals (ticket resolved and not reopened, escalation, user acceptance) over judge scores. Keep an SME-labelled calibration sample.</w:t>
      </w:r>
    </w:p>
    <w:bookmarkEnd w:id="24"/>
    <w:bookmarkStart w:id="25" w:name="synthetic-tasks-and-curricula"/>
    <w:p>
      <w:pPr>
        <w:pStyle w:val="Heading2"/>
      </w:pPr>
      <w:r>
        <w:t xml:space="preserve">3.2 Synthetic tasks and curricula</w:t>
      </w:r>
    </w:p>
    <w:p>
      <w:pPr>
        <w:pStyle w:val="Compact"/>
        <w:numPr>
          <w:ilvl w:val="0"/>
          <w:numId w:val="1007"/>
        </w:numPr>
      </w:pPr>
      <w:r>
        <w:rPr>
          <w:b/>
          <w:bCs/>
        </w:rPr>
        <w:t xml:space="preserve">Generation.</w:t>
      </w:r>
      <w:r>
        <w:t xml:space="preserve"> </w:t>
      </w:r>
      <w:r>
        <w:t xml:space="preserve">Self-Instruct [40], AgentInstruct [41], APIGen and APIGen-MT (verified multi-turn blueprints, then simulated interplay) [42, 43], and ToolACE [44] generate tool-use tasks. τ²-bench adds a compositional task generator and a Telecom dual-control domain [21], which is directly relevant to Verizon as a public sanity check.</w:t>
      </w:r>
    </w:p>
    <w:p>
      <w:pPr>
        <w:pStyle w:val="Compact"/>
        <w:numPr>
          <w:ilvl w:val="0"/>
          <w:numId w:val="1007"/>
        </w:numPr>
      </w:pPr>
      <w:r>
        <w:rPr>
          <w:b/>
          <w:bCs/>
        </w:rPr>
        <w:t xml:space="preserve">Curricula.</w:t>
      </w:r>
      <w:r>
        <w:t xml:space="preserve"> </w:t>
      </w:r>
      <w:r>
        <w:t xml:space="preserve">WebRL generates new tasks from failed attempts. It reports Llama-3.1-8B rising from 4.8% to 42.4% on WebArena-Lite [45]. Seeding synthetic tasks from Verizon failure clusters is the natural analogue.</w:t>
      </w:r>
    </w:p>
    <w:p>
      <w:pPr>
        <w:pStyle w:val="Compact"/>
        <w:numPr>
          <w:ilvl w:val="0"/>
          <w:numId w:val="1007"/>
        </w:numPr>
      </w:pPr>
      <w:r>
        <w:rPr>
          <w:b/>
          <w:bCs/>
        </w:rPr>
        <w:t xml:space="preserve">Rule.</w:t>
      </w:r>
      <w:r>
        <w:t xml:space="preserve"> </w:t>
      </w:r>
      <w:r>
        <w:t xml:space="preserve">Synthetic tasks may be used for training and search only, never for the sealed test set.</w:t>
      </w:r>
    </w:p>
    <w:bookmarkEnd w:id="25"/>
    <w:bookmarkStart w:id="26" w:name="preference-data-reward-models-and-judges"/>
    <w:p>
      <w:pPr>
        <w:pStyle w:val="Heading2"/>
      </w:pPr>
      <w:r>
        <w:t xml:space="preserve">3.3 Preference data, reward models and judges</w:t>
      </w:r>
    </w:p>
    <w:p>
      <w:pPr>
        <w:pStyle w:val="Compact"/>
        <w:numPr>
          <w:ilvl w:val="0"/>
          <w:numId w:val="1008"/>
        </w:numPr>
      </w:pPr>
      <w:r>
        <w:rPr>
          <w:b/>
          <w:bCs/>
        </w:rPr>
        <w:t xml:space="preserve">Preference pairs</w:t>
      </w:r>
      <w:r>
        <w:t xml:space="preserve"> </w:t>
      </w:r>
      <w:r>
        <w:t xml:space="preserve">come from branching a production session at a step and comparing continuations (DPO-style training [51]; RouteLLM also trains routers on preferences [24]).</w:t>
      </w:r>
    </w:p>
    <w:p>
      <w:pPr>
        <w:pStyle w:val="Compact"/>
        <w:numPr>
          <w:ilvl w:val="0"/>
          <w:numId w:val="1008"/>
        </w:numPr>
      </w:pPr>
      <w:r>
        <w:rPr>
          <w:b/>
          <w:bCs/>
        </w:rPr>
        <w:t xml:space="preserve">Reward models</w:t>
      </w:r>
      <w:r>
        <w:t xml:space="preserve"> </w:t>
      </w:r>
      <w:r>
        <w:t xml:space="preserve">should be validated on held-out preference data (RewardBench methodology [50]).</w:t>
      </w:r>
    </w:p>
    <w:p>
      <w:pPr>
        <w:pStyle w:val="Compact"/>
        <w:numPr>
          <w:ilvl w:val="0"/>
          <w:numId w:val="1008"/>
        </w:numPr>
      </w:pPr>
      <w:r>
        <w:rPr>
          <w:b/>
          <w:bCs/>
        </w:rPr>
        <w:t xml:space="preserve">LLM-as-judge.</w:t>
      </w:r>
      <w:r>
        <w:t xml:space="preserve"> </w:t>
      </w:r>
      <w:r>
        <w:t xml:space="preserve">Judges can be useful [46], but they show position bias [48], leniency, and score gaps of up to 5 points versus humans even in simple settings [49]. Agent-as-a-Judge evaluates intermediate steps rather than only outcomes [47]. Relative ranking of a group of trajectories is often easier than absolute scoring; RULER uses this for GRPO rewards [81].</w:t>
      </w:r>
    </w:p>
    <w:p>
      <w:pPr>
        <w:pStyle w:val="Compact"/>
        <w:numPr>
          <w:ilvl w:val="0"/>
          <w:numId w:val="1008"/>
        </w:numPr>
      </w:pPr>
      <w:r>
        <w:rPr>
          <w:b/>
          <w:bCs/>
        </w:rPr>
        <w:t xml:space="preserve">Calibration.</w:t>
      </w:r>
      <w:r>
        <w:t xml:space="preserve"> </w:t>
      </w:r>
      <w:r>
        <w:t xml:space="preserve">Measure agreement against SME labels (Cohen’s κ, not raw percent agreement [49]), swap answer positions, and use prediction-powered inference to combine a small human-labelled set with many judge labels into valid confidence intervals [52].</w:t>
      </w:r>
    </w:p>
    <w:bookmarkEnd w:id="26"/>
    <w:bookmarkStart w:id="27" w:name="X475d2a8469c96eb5f42e209448452e3c3f005fc"/>
    <w:p>
      <w:pPr>
        <w:pStyle w:val="Heading2"/>
      </w:pPr>
      <w:r>
        <w:t xml:space="preserve">3.4 Data quality, contamination and time-based splits</w:t>
      </w:r>
    </w:p>
    <w:p>
      <w:pPr>
        <w:pStyle w:val="Compact"/>
        <w:numPr>
          <w:ilvl w:val="0"/>
          <w:numId w:val="1009"/>
        </w:numPr>
      </w:pPr>
      <w:r>
        <w:rPr>
          <w:b/>
          <w:bCs/>
        </w:rPr>
        <w:t xml:space="preserve">Split by time, not at random.</w:t>
      </w:r>
      <w:r>
        <w:t xml:space="preserve"> </w:t>
      </w:r>
      <w:r>
        <w:t xml:space="preserve">For example: months 1–2 for training and search, the first half of month 3 for validation, and the last [2–4] weeks as the sealed test. Add a prospective shadow window collected after the POC starts. This mirrors contamination-limited benchmarks that rely on post-cutoff data [54, 55].</w:t>
      </w:r>
    </w:p>
    <w:p>
      <w:pPr>
        <w:pStyle w:val="Compact"/>
        <w:numPr>
          <w:ilvl w:val="0"/>
          <w:numId w:val="1009"/>
        </w:numPr>
      </w:pPr>
      <w:r>
        <w:rPr>
          <w:b/>
          <w:bCs/>
        </w:rPr>
        <w:t xml:space="preserve">Deduplicate across splits</w:t>
      </w:r>
      <w:r>
        <w:t xml:space="preserve"> </w:t>
      </w:r>
      <w:r>
        <w:t xml:space="preserve">and check for near-duplicate leakage, including identical tickets and templated requests.</w:t>
      </w:r>
    </w:p>
    <w:p>
      <w:pPr>
        <w:pStyle w:val="Compact"/>
        <w:numPr>
          <w:ilvl w:val="0"/>
          <w:numId w:val="1009"/>
        </w:numPr>
      </w:pPr>
      <w:r>
        <w:rPr>
          <w:b/>
          <w:bCs/>
        </w:rPr>
        <w:t xml:space="preserve">Custody.</w:t>
      </w:r>
      <w:r>
        <w:t xml:space="preserve"> </w:t>
      </w:r>
      <w:r>
        <w:t xml:space="preserve">Verizon holds the sealed test set and runs it on exported artefacts. Neither the vendor nor the optimiser sees it.</w:t>
      </w:r>
    </w:p>
    <w:bookmarkEnd w:id="27"/>
    <w:bookmarkEnd w:id="28"/>
    <w:bookmarkStart w:id="31" w:name="code-based-optimisation"/>
    <w:p>
      <w:pPr>
        <w:pStyle w:val="Heading1"/>
      </w:pPr>
      <w:r>
        <w:t xml:space="preserve">4. Code-based optimisation</w:t>
      </w:r>
    </w:p>
    <w:bookmarkStart w:id="29" w:name="state-of-the-art"/>
    <w:p>
      <w:pPr>
        <w:pStyle w:val="Heading2"/>
      </w:pPr>
      <w:r>
        <w:t xml:space="preserve">4.1 State of the art</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308"/>
        <w:gridCol w:w="3301"/>
        <w:gridCol w:w="4182"/>
      </w:tblGrid>
      <w:tr>
        <w:trPr>
          <w:tblHeader w:val="on"/>
          <w:tblHeader w:val="true"/>
        </w:trPr>
        <w:tc>
          <w:tcPr>
            <w:tcW w:type="dxa" w:w="2308"/>
            <w:shd w:val="clear" w:color="auto" w:fill="1F1F1F"/>
          </w:tcPr>
          <w:p>
            <w:pPr>
              <w:pStyle w:val="Compact"/>
              <w:spacing w:after="20" w:before="20"/>
            </w:pPr>
            <w:r>
              <w:rPr>
                <w:b/>
                <w:color w:val="FFFFFF"/>
                <w:sz w:val="18"/>
              </w:rPr>
              <w:t xml:space="preserve">System</w:t>
            </w:r>
          </w:p>
        </w:tc>
        <w:tc>
          <w:tcPr>
            <w:tcW w:type="dxa" w:w="3301"/>
            <w:shd w:val="clear" w:color="auto" w:fill="1F1F1F"/>
          </w:tcPr>
          <w:p>
            <w:pPr>
              <w:pStyle w:val="Compact"/>
              <w:spacing w:after="20" w:before="20"/>
            </w:pPr>
            <w:r>
              <w:rPr>
                <w:b/>
                <w:color w:val="FFFFFF"/>
                <w:sz w:val="18"/>
              </w:rPr>
              <w:t xml:space="preserve">What it edits</w:t>
            </w:r>
          </w:p>
        </w:tc>
        <w:tc>
          <w:tcPr>
            <w:tcW w:type="dxa" w:w="4183"/>
            <w:shd w:val="clear" w:color="auto" w:fill="1F1F1F"/>
          </w:tcPr>
          <w:p>
            <w:pPr>
              <w:pStyle w:val="Compact"/>
              <w:spacing w:after="20" w:before="20"/>
            </w:pPr>
            <w:r>
              <w:rPr>
                <w:b/>
                <w:color w:val="FFFFFF"/>
                <w:sz w:val="18"/>
              </w:rPr>
              <w:t xml:space="preserve">Reported result</w:t>
            </w:r>
          </w:p>
        </w:tc>
      </w:tr>
      <w:tr>
        <w:tc>
          <w:tcPr>
            <w:tcW w:type="dxa" w:w="2308"/>
          </w:tcPr>
          <w:p>
            <w:pPr>
              <w:pStyle w:val="Compact"/>
              <w:spacing w:after="20" w:before="20"/>
            </w:pPr>
            <w:r>
              <w:rPr>
                <w:sz w:val="18"/>
              </w:rPr>
              <w:t xml:space="preserve">ADAS Meta Agent Search [28]</w:t>
            </w:r>
          </w:p>
        </w:tc>
        <w:tc>
          <w:tcPr>
            <w:tcW w:type="dxa" w:w="3301"/>
          </w:tcPr>
          <w:p>
            <w:pPr>
              <w:pStyle w:val="Compact"/>
              <w:spacing w:after="20" w:before="20"/>
            </w:pPr>
            <w:r>
              <w:rPr>
                <w:sz w:val="18"/>
              </w:rPr>
              <w:t xml:space="preserve">Agent code, from an archive</w:t>
            </w:r>
          </w:p>
        </w:tc>
        <w:tc>
          <w:tcPr>
            <w:tcW w:type="dxa" w:w="4183"/>
          </w:tcPr>
          <w:p>
            <w:pPr>
              <w:pStyle w:val="Compact"/>
              <w:spacing w:after="20" w:before="20"/>
            </w:pPr>
            <w:r>
              <w:rPr>
                <w:sz w:val="18"/>
              </w:rPr>
              <w:t xml:space="preserve">Agents outperform hand-designed ones and transfer</w:t>
            </w:r>
          </w:p>
        </w:tc>
      </w:tr>
      <w:tr>
        <w:tc>
          <w:tcPr>
            <w:tcW w:type="dxa" w:w="2308"/>
            <w:shd w:val="clear" w:color="auto" w:fill="FAFAFA"/>
          </w:tcPr>
          <w:p>
            <w:pPr>
              <w:pStyle w:val="Compact"/>
              <w:spacing w:after="20" w:before="20"/>
            </w:pPr>
            <w:r>
              <w:rPr>
                <w:sz w:val="18"/>
              </w:rPr>
              <w:t xml:space="preserve">Self-Improving Coding Agent [60]</w:t>
            </w:r>
          </w:p>
        </w:tc>
        <w:tc>
          <w:tcPr>
            <w:tcW w:type="dxa" w:w="3301"/>
            <w:shd w:val="clear" w:color="auto" w:fill="FAFAFA"/>
          </w:tcPr>
          <w:p>
            <w:pPr>
              <w:pStyle w:val="Compact"/>
              <w:spacing w:after="20" w:before="20"/>
            </w:pPr>
            <w:r>
              <w:rPr>
                <w:sz w:val="18"/>
              </w:rPr>
              <w:t xml:space="preserve">Its own agent code</w:t>
            </w:r>
          </w:p>
        </w:tc>
        <w:tc>
          <w:tcPr>
            <w:tcW w:type="dxa" w:w="4183"/>
            <w:shd w:val="clear" w:color="auto" w:fill="FAFAFA"/>
          </w:tcPr>
          <w:p>
            <w:pPr>
              <w:pStyle w:val="Compact"/>
              <w:spacing w:after="20" w:before="20"/>
            </w:pPr>
            <w:r>
              <w:rPr>
                <w:sz w:val="18"/>
              </w:rPr>
              <w:t xml:space="preserve">17% to 53% on a SWE-bench Verified subset</w:t>
            </w:r>
          </w:p>
        </w:tc>
      </w:tr>
      <w:tr>
        <w:tc>
          <w:tcPr>
            <w:tcW w:type="dxa" w:w="2308"/>
          </w:tcPr>
          <w:p>
            <w:pPr>
              <w:pStyle w:val="Compact"/>
              <w:spacing w:after="20" w:before="20"/>
            </w:pPr>
            <w:r>
              <w:rPr>
                <w:sz w:val="18"/>
              </w:rPr>
              <w:t xml:space="preserve">Darwin Gödel Machine [56]</w:t>
            </w:r>
          </w:p>
        </w:tc>
        <w:tc>
          <w:tcPr>
            <w:tcW w:type="dxa" w:w="3301"/>
          </w:tcPr>
          <w:p>
            <w:pPr>
              <w:pStyle w:val="Compact"/>
              <w:spacing w:after="20" w:before="20"/>
            </w:pPr>
            <w:r>
              <w:rPr>
                <w:sz w:val="18"/>
              </w:rPr>
              <w:t xml:space="preserve">Its own codebase; open-ended archive</w:t>
            </w:r>
          </w:p>
        </w:tc>
        <w:tc>
          <w:tcPr>
            <w:tcW w:type="dxa" w:w="4183"/>
          </w:tcPr>
          <w:p>
            <w:pPr>
              <w:pStyle w:val="Compact"/>
              <w:spacing w:after="20" w:before="20"/>
            </w:pPr>
            <w:r>
              <w:rPr>
                <w:sz w:val="18"/>
              </w:rPr>
              <w:t xml:space="preserve">SWE-bench 20.0% to 50.0%; Polyglot 14.2% to 30.7%; run with sandboxing and human oversight</w:t>
            </w:r>
          </w:p>
        </w:tc>
      </w:tr>
      <w:tr>
        <w:tc>
          <w:tcPr>
            <w:tcW w:type="dxa" w:w="2308"/>
            <w:shd w:val="clear" w:color="auto" w:fill="FAFAFA"/>
          </w:tcPr>
          <w:p>
            <w:pPr>
              <w:pStyle w:val="Compact"/>
              <w:spacing w:after="20" w:before="20"/>
            </w:pPr>
            <w:r>
              <w:rPr>
                <w:sz w:val="18"/>
              </w:rPr>
              <w:t xml:space="preserve">Huxley-Gödel Machine [57]</w:t>
            </w:r>
          </w:p>
        </w:tc>
        <w:tc>
          <w:tcPr>
            <w:tcW w:type="dxa" w:w="3301"/>
            <w:shd w:val="clear" w:color="auto" w:fill="FAFAFA"/>
          </w:tcPr>
          <w:p>
            <w:pPr>
              <w:pStyle w:val="Compact"/>
              <w:spacing w:after="20" w:before="20"/>
            </w:pPr>
            <w:r>
              <w:rPr>
                <w:sz w:val="18"/>
              </w:rPr>
              <w:t xml:space="preserve">Tree of self-modifications guided by descendant performance</w:t>
            </w:r>
          </w:p>
        </w:tc>
        <w:tc>
          <w:tcPr>
            <w:tcW w:type="dxa" w:w="4183"/>
            <w:shd w:val="clear" w:color="auto" w:fill="FAFAFA"/>
          </w:tcPr>
          <w:p>
            <w:pPr>
              <w:pStyle w:val="Compact"/>
              <w:spacing w:after="20" w:before="20"/>
            </w:pPr>
            <w:r>
              <w:rPr>
                <w:sz w:val="18"/>
              </w:rPr>
              <w:t xml:space="preserve">Beats prior self-improving methods with fewer CPU hours; human-level result on SWE-bench Lite</w:t>
            </w:r>
          </w:p>
        </w:tc>
      </w:tr>
      <w:tr>
        <w:tc>
          <w:tcPr>
            <w:tcW w:type="dxa" w:w="2308"/>
          </w:tcPr>
          <w:p>
            <w:pPr>
              <w:pStyle w:val="Compact"/>
              <w:spacing w:after="20" w:before="20"/>
            </w:pPr>
            <w:r>
              <w:rPr>
                <w:sz w:val="18"/>
              </w:rPr>
              <w:t xml:space="preserve">AlphaEvolve [58] / OpenEvolve [59]</w:t>
            </w:r>
          </w:p>
        </w:tc>
        <w:tc>
          <w:tcPr>
            <w:tcW w:type="dxa" w:w="3301"/>
          </w:tcPr>
          <w:p>
            <w:pPr>
              <w:pStyle w:val="Compact"/>
              <w:spacing w:after="20" w:before="20"/>
            </w:pPr>
            <w:r>
              <w:rPr>
                <w:sz w:val="18"/>
              </w:rPr>
              <w:t xml:space="preserve">Code under an automatic evaluator, by evolution</w:t>
            </w:r>
          </w:p>
        </w:tc>
        <w:tc>
          <w:tcPr>
            <w:tcW w:type="dxa" w:w="4183"/>
          </w:tcPr>
          <w:p>
            <w:pPr>
              <w:pStyle w:val="Compact"/>
              <w:spacing w:after="20" w:before="20"/>
            </w:pPr>
            <w:r>
              <w:rPr>
                <w:sz w:val="18"/>
              </w:rPr>
              <w:t xml:space="preserve">Algorithm discovery; OpenEvolve is an open-source implementation</w:t>
            </w:r>
          </w:p>
        </w:tc>
      </w:tr>
      <w:tr>
        <w:tc>
          <w:tcPr>
            <w:tcW w:type="dxa" w:w="2308"/>
            <w:shd w:val="clear" w:color="auto" w:fill="FAFAFA"/>
          </w:tcPr>
          <w:p>
            <w:pPr>
              <w:pStyle w:val="Compact"/>
              <w:spacing w:after="20" w:before="20"/>
            </w:pPr>
            <w:r>
              <w:rPr>
                <w:sz w:val="18"/>
              </w:rPr>
              <w:t xml:space="preserve">Trace / OptoPrime [61]</w:t>
            </w:r>
          </w:p>
        </w:tc>
        <w:tc>
          <w:tcPr>
            <w:tcW w:type="dxa" w:w="3301"/>
            <w:shd w:val="clear" w:color="auto" w:fill="FAFAFA"/>
          </w:tcPr>
          <w:p>
            <w:pPr>
              <w:pStyle w:val="Compact"/>
              <w:spacing w:after="20" w:before="20"/>
            </w:pPr>
            <w:r>
              <w:rPr>
                <w:sz w:val="18"/>
              </w:rPr>
              <w:t xml:space="preserve">Any workflow parameters (prompts, code) using execution traces as</w:t>
            </w:r>
            <w:r>
              <w:rPr>
                <w:sz w:val="18"/>
              </w:rPr>
              <w:t xml:space="preserve"> </w:t>
            </w:r>
            <w:r>
              <w:rPr>
                <w:sz w:val="18"/>
              </w:rPr>
              <w:t xml:space="preserve">“gradients”</w:t>
            </w:r>
          </w:p>
        </w:tc>
        <w:tc>
          <w:tcPr>
            <w:tcW w:type="dxa" w:w="4183"/>
            <w:shd w:val="clear" w:color="auto" w:fill="FAFAFA"/>
          </w:tcPr>
          <w:p>
            <w:pPr>
              <w:pStyle w:val="Compact"/>
              <w:spacing w:after="20" w:before="20"/>
            </w:pPr>
            <w:r>
              <w:rPr>
                <w:sz w:val="18"/>
              </w:rPr>
              <w:t xml:space="preserve">Competitive with specialised optimisers across domains</w:t>
            </w:r>
          </w:p>
        </w:tc>
      </w:tr>
      <w:tr>
        <w:tc>
          <w:tcPr>
            <w:tcW w:type="dxa" w:w="2308"/>
          </w:tcPr>
          <w:p>
            <w:pPr>
              <w:pStyle w:val="Compact"/>
              <w:spacing w:after="20" w:before="20"/>
            </w:pPr>
            <w:r>
              <w:rPr>
                <w:sz w:val="18"/>
              </w:rPr>
              <w:t xml:space="preserve">STOP [62]</w:t>
            </w:r>
          </w:p>
        </w:tc>
        <w:tc>
          <w:tcPr>
            <w:tcW w:type="dxa" w:w="3301"/>
          </w:tcPr>
          <w:p>
            <w:pPr>
              <w:pStyle w:val="Compact"/>
              <w:spacing w:after="20" w:before="20"/>
            </w:pPr>
            <w:r>
              <w:rPr>
                <w:sz w:val="18"/>
              </w:rPr>
              <w:t xml:space="preserve">The optimiser scaffold itself</w:t>
            </w:r>
          </w:p>
        </w:tc>
        <w:tc>
          <w:tcPr>
            <w:tcW w:type="dxa" w:w="4183"/>
          </w:tcPr>
          <w:p>
            <w:pPr>
              <w:pStyle w:val="Compact"/>
              <w:spacing w:after="20" w:before="20"/>
            </w:pPr>
            <w:r>
              <w:rPr>
                <w:sz w:val="18"/>
              </w:rPr>
              <w:t xml:space="preserve">Recursive self-improvement of code generation</w:t>
            </w:r>
          </w:p>
        </w:tc>
      </w:tr>
      <w:tr>
        <w:tc>
          <w:tcPr>
            <w:tcW w:type="dxa" w:w="2308"/>
            <w:shd w:val="clear" w:color="auto" w:fill="FAFAFA"/>
          </w:tcPr>
          <w:p>
            <w:pPr>
              <w:pStyle w:val="Compact"/>
              <w:spacing w:after="20" w:before="20"/>
            </w:pPr>
            <w:r>
              <w:rPr>
                <w:sz w:val="18"/>
              </w:rPr>
              <w:t xml:space="preserve">SWE-agent ACI [22]</w:t>
            </w:r>
          </w:p>
        </w:tc>
        <w:tc>
          <w:tcPr>
            <w:tcW w:type="dxa" w:w="3301"/>
            <w:shd w:val="clear" w:color="auto" w:fill="FAFAFA"/>
          </w:tcPr>
          <w:p>
            <w:pPr>
              <w:pStyle w:val="Compact"/>
              <w:spacing w:after="20" w:before="20"/>
            </w:pPr>
            <w:r>
              <w:rPr>
                <w:sz w:val="18"/>
              </w:rPr>
              <w:t xml:space="preserve">The tool interface the agent uses</w:t>
            </w:r>
          </w:p>
        </w:tc>
        <w:tc>
          <w:tcPr>
            <w:tcW w:type="dxa" w:w="4183"/>
            <w:shd w:val="clear" w:color="auto" w:fill="FAFAFA"/>
          </w:tcPr>
          <w:p>
            <w:pPr>
              <w:pStyle w:val="Compact"/>
              <w:spacing w:after="20" w:before="20"/>
            </w:pPr>
            <w:r>
              <w:rPr>
                <w:sz w:val="18"/>
              </w:rPr>
              <w:t xml:space="preserve">Interface design materially changes performance</w:t>
            </w:r>
          </w:p>
        </w:tc>
      </w:tr>
      <w:tr>
        <w:tc>
          <w:tcPr>
            <w:tcW w:type="dxa" w:w="2308"/>
          </w:tcPr>
          <w:p>
            <w:pPr>
              <w:pStyle w:val="Compact"/>
              <w:spacing w:after="20" w:before="20"/>
            </w:pPr>
            <w:r>
              <w:rPr>
                <w:sz w:val="18"/>
              </w:rPr>
              <w:t xml:space="preserve">Meta-Harness (2026) [63]</w:t>
            </w:r>
          </w:p>
        </w:tc>
        <w:tc>
          <w:tcPr>
            <w:tcW w:type="dxa" w:w="3301"/>
          </w:tcPr>
          <w:p>
            <w:pPr>
              <w:pStyle w:val="Compact"/>
              <w:spacing w:after="20" w:before="20"/>
            </w:pPr>
            <w:r>
              <w:rPr>
                <w:sz w:val="18"/>
              </w:rPr>
              <w:t xml:space="preserve">Harness code; the proposer reads prior code, scores and traces</w:t>
            </w:r>
          </w:p>
        </w:tc>
        <w:tc>
          <w:tcPr>
            <w:tcW w:type="dxa" w:w="4183"/>
          </w:tcPr>
          <w:p>
            <w:pPr>
              <w:pStyle w:val="Compact"/>
              <w:spacing w:after="20" w:before="20"/>
            </w:pPr>
            <w:r>
              <w:rPr>
                <w:sz w:val="18"/>
              </w:rPr>
              <w:t xml:space="preserve">+7.7 points with 4× fewer context tokens on online classification</w:t>
            </w:r>
          </w:p>
        </w:tc>
      </w:tr>
      <w:tr>
        <w:tc>
          <w:tcPr>
            <w:tcW w:type="dxa" w:w="2308"/>
            <w:shd w:val="clear" w:color="auto" w:fill="FAFAFA"/>
          </w:tcPr>
          <w:p>
            <w:pPr>
              <w:pStyle w:val="Compact"/>
              <w:spacing w:after="20" w:before="20"/>
            </w:pPr>
            <w:r>
              <w:rPr>
                <w:sz w:val="18"/>
              </w:rPr>
              <w:t xml:space="preserve">AutoSaddler (2026) [64]</w:t>
            </w:r>
          </w:p>
        </w:tc>
        <w:tc>
          <w:tcPr>
            <w:tcW w:type="dxa" w:w="3301"/>
            <w:shd w:val="clear" w:color="auto" w:fill="FAFAFA"/>
          </w:tcPr>
          <w:p>
            <w:pPr>
              <w:pStyle w:val="Compact"/>
              <w:spacing w:after="20" w:before="20"/>
            </w:pPr>
            <w:r>
              <w:rPr>
                <w:sz w:val="18"/>
              </w:rPr>
              <w:t xml:space="preserve">Structured harness patches from failure traces</w:t>
            </w:r>
          </w:p>
        </w:tc>
        <w:tc>
          <w:tcPr>
            <w:tcW w:type="dxa" w:w="4183"/>
            <w:shd w:val="clear" w:color="auto" w:fill="FAFAFA"/>
          </w:tcPr>
          <w:p>
            <w:pPr>
              <w:pStyle w:val="Compact"/>
              <w:spacing w:after="20" w:before="20"/>
            </w:pPr>
            <w:r>
              <w:rPr>
                <w:sz w:val="18"/>
              </w:rPr>
              <w:t xml:space="preserve">+9.0, +9.6 and +10.0 pp on GAIA2, SWE-Bench Pro and Terminal-Bench 2.0</w:t>
            </w:r>
          </w:p>
        </w:tc>
      </w:tr>
      <w:tr>
        <w:tc>
          <w:tcPr>
            <w:tcW w:type="dxa" w:w="2308"/>
          </w:tcPr>
          <w:p>
            <w:pPr>
              <w:pStyle w:val="Compact"/>
              <w:spacing w:after="20" w:before="20"/>
            </w:pPr>
            <w:r>
              <w:rPr>
                <w:sz w:val="18"/>
              </w:rPr>
              <w:t xml:space="preserve">HarnessCompass (2026) [65]</w:t>
            </w:r>
          </w:p>
        </w:tc>
        <w:tc>
          <w:tcPr>
            <w:tcW w:type="dxa" w:w="3301"/>
          </w:tcPr>
          <w:p>
            <w:pPr>
              <w:pStyle w:val="Compact"/>
              <w:spacing w:after="20" w:before="20"/>
            </w:pPr>
            <w:r>
              <w:rPr>
                <w:sz w:val="18"/>
              </w:rPr>
              <w:t xml:space="preserve">Constrained, component-wise harness evolution</w:t>
            </w:r>
          </w:p>
        </w:tc>
        <w:tc>
          <w:tcPr>
            <w:tcW w:type="dxa" w:w="4183"/>
          </w:tcPr>
          <w:p>
            <w:pPr>
              <w:pStyle w:val="Compact"/>
              <w:spacing w:after="20" w:before="20"/>
            </w:pPr>
            <w:r>
              <w:rPr>
                <w:sz w:val="18"/>
              </w:rPr>
              <w:t xml:space="preserve">SWE-bench Verified Pass@1 from 54% to 66% in 5 iterations; transfers to held-out tasks and models</w:t>
            </w:r>
          </w:p>
        </w:tc>
      </w:tr>
    </w:tbl>
    <w:bookmarkEnd w:id="29"/>
    <w:bookmarkStart w:id="30" w:name="how-this-plugs-into-a-verizon-codebase"/>
    <w:p>
      <w:pPr>
        <w:pStyle w:val="Heading2"/>
      </w:pPr>
      <w:r>
        <w:t xml:space="preserve">4.2 How this plugs into a Verizon codebase</w:t>
      </w:r>
    </w:p>
    <w:p>
      <w:pPr>
        <w:pStyle w:val="FirstParagraph"/>
      </w:pPr>
      <w:r>
        <w:t xml:space="preserve">Code-level optimisation is a code change by definition. It does not breach the POC’s zero-process-change</w:t>
      </w:r>
      <w:r>
        <w:t xml:space="preserve"> </w:t>
      </w:r>
      <w:r>
        <w:rPr>
          <w:i/>
          <w:iCs/>
        </w:rPr>
        <w:t xml:space="preserve">integration</w:t>
      </w:r>
      <w:r>
        <w:t xml:space="preserve"> </w:t>
      </w:r>
      <w:r>
        <w:t xml:space="preserve">requirement only if its outputs arrive as normal pull requests through Verizon’s SDLC. Proposed design:</w:t>
      </w:r>
    </w:p>
    <w:p>
      <w:pPr>
        <w:pStyle w:val="Compact"/>
        <w:numPr>
          <w:ilvl w:val="0"/>
          <w:numId w:val="1010"/>
        </w:numPr>
      </w:pPr>
      <w:r>
        <w:rPr>
          <w:b/>
          <w:bCs/>
        </w:rPr>
        <w:t xml:space="preserve">Edit surface allow-list.</w:t>
      </w:r>
      <w:r>
        <w:t xml:space="preserve"> </w:t>
      </w:r>
      <w:r>
        <w:t xml:space="preserve">The optimiser may modify only declared paths, for example</w:t>
      </w:r>
      <w:r>
        <w:t xml:space="preserve"> </w:t>
      </w:r>
      <w:r>
        <w:rPr>
          <w:rStyle w:val="VerbatimChar"/>
        </w:rPr>
        <w:t xml:space="preserve">prompts/</w:t>
      </w:r>
      <w:r>
        <w:t xml:space="preserve">,</w:t>
      </w:r>
      <w:r>
        <w:t xml:space="preserve"> </w:t>
      </w:r>
      <w:r>
        <w:rPr>
          <w:rStyle w:val="VerbatimChar"/>
        </w:rPr>
        <w:t xml:space="preserve">tools/*.json</w:t>
      </w:r>
      <w:r>
        <w:t xml:space="preserve"> </w:t>
      </w:r>
      <w:r>
        <w:t xml:space="preserve">descriptions, harness configuration and selected orchestration modules. Enforce this with CODEOWNERS and branch protection.</w:t>
      </w:r>
    </w:p>
    <w:p>
      <w:pPr>
        <w:pStyle w:val="Compact"/>
        <w:numPr>
          <w:ilvl w:val="0"/>
          <w:numId w:val="1010"/>
        </w:numPr>
      </w:pPr>
      <w:r>
        <w:rPr>
          <w:b/>
          <w:bCs/>
        </w:rPr>
        <w:t xml:space="preserve">Sandboxed fork.</w:t>
      </w:r>
      <w:r>
        <w:t xml:space="preserve"> </w:t>
      </w:r>
      <w:r>
        <w:t xml:space="preserve">The optimiser runs in an isolated fork with no production credentials, using simulated tools only.</w:t>
      </w:r>
    </w:p>
    <w:p>
      <w:pPr>
        <w:pStyle w:val="Compact"/>
        <w:numPr>
          <w:ilvl w:val="0"/>
          <w:numId w:val="1010"/>
        </w:numPr>
      </w:pPr>
      <w:r>
        <w:rPr>
          <w:b/>
          <w:bCs/>
        </w:rPr>
        <w:t xml:space="preserve">Read-only evaluation.</w:t>
      </w:r>
      <w:r>
        <w:t xml:space="preserve"> </w:t>
      </w:r>
      <w:r>
        <w:t xml:space="preserve">The evaluation harness, judges and sealed test set live in a separate repository the optimiser cannot write to. This mitigates the scorer tampering METR observed [94].</w:t>
      </w:r>
    </w:p>
    <w:p>
      <w:pPr>
        <w:pStyle w:val="Compact"/>
        <w:numPr>
          <w:ilvl w:val="0"/>
          <w:numId w:val="1010"/>
        </w:numPr>
      </w:pPr>
      <w:r>
        <w:rPr>
          <w:b/>
          <w:bCs/>
        </w:rPr>
        <w:t xml:space="preserve">CI gates</w:t>
      </w:r>
      <w:r>
        <w:t xml:space="preserve"> </w:t>
      </w:r>
      <w:r>
        <w:t xml:space="preserve">on every candidate PR:</w:t>
      </w:r>
    </w:p>
    <w:p>
      <w:pPr>
        <w:pStyle w:val="Compact"/>
        <w:numPr>
          <w:ilvl w:val="1"/>
          <w:numId w:val="1011"/>
        </w:numPr>
      </w:pPr>
      <w:r>
        <w:t xml:space="preserve">unit and contract tests;</w:t>
      </w:r>
    </w:p>
    <w:p>
      <w:pPr>
        <w:pStyle w:val="Compact"/>
        <w:numPr>
          <w:ilvl w:val="1"/>
          <w:numId w:val="1011"/>
        </w:numPr>
      </w:pPr>
      <w:r>
        <w:t xml:space="preserve">the frozen validation suite, with pre-registered thresholds;</w:t>
      </w:r>
    </w:p>
    <w:p>
      <w:pPr>
        <w:pStyle w:val="Compact"/>
        <w:numPr>
          <w:ilvl w:val="1"/>
          <w:numId w:val="1011"/>
        </w:numPr>
      </w:pPr>
      <w:r>
        <w:t xml:space="preserve">safety and policy evaluations;</w:t>
      </w:r>
    </w:p>
    <w:p>
      <w:pPr>
        <w:pStyle w:val="Compact"/>
        <w:numPr>
          <w:ilvl w:val="1"/>
          <w:numId w:val="1011"/>
        </w:numPr>
      </w:pPr>
      <w:r>
        <w:t xml:space="preserve">cost and latency budget checks from Kairos-priced replays;</w:t>
      </w:r>
    </w:p>
    <w:p>
      <w:pPr>
        <w:pStyle w:val="Compact"/>
        <w:numPr>
          <w:ilvl w:val="1"/>
          <w:numId w:val="1011"/>
        </w:numPr>
      </w:pPr>
      <w:r>
        <w:t xml:space="preserve">a regression test with a significance requirement [97];</w:t>
      </w:r>
    </w:p>
    <w:p>
      <w:pPr>
        <w:pStyle w:val="Compact"/>
        <w:numPr>
          <w:ilvl w:val="1"/>
          <w:numId w:val="1011"/>
        </w:numPr>
      </w:pPr>
      <w:r>
        <w:t xml:space="preserve">a diff-size limit.</w:t>
      </w:r>
    </w:p>
    <w:p>
      <w:pPr>
        <w:pStyle w:val="Compact"/>
        <w:numPr>
          <w:ilvl w:val="0"/>
          <w:numId w:val="1010"/>
        </w:numPr>
      </w:pPr>
      <w:r>
        <w:rPr>
          <w:b/>
          <w:bCs/>
        </w:rPr>
        <w:t xml:space="preserve">Human review</w:t>
      </w:r>
      <w:r>
        <w:t xml:space="preserve">, followed by</w:t>
      </w:r>
      <w:r>
        <w:t xml:space="preserve"> </w:t>
      </w:r>
      <w:r>
        <w:rPr>
          <w:b/>
          <w:bCs/>
        </w:rPr>
        <w:t xml:space="preserve">Kairos shadow and canary</w:t>
      </w:r>
      <w:r>
        <w:t xml:space="preserve"> </w:t>
      </w:r>
      <w:r>
        <w:t xml:space="preserve">promotion and</w:t>
      </w:r>
      <w:r>
        <w:t xml:space="preserve"> </w:t>
      </w:r>
      <w:r>
        <w:rPr>
          <w:b/>
          <w:bCs/>
        </w:rPr>
        <w:t xml:space="preserve">one-click rollback</w:t>
      </w:r>
      <w:r>
        <w:t xml:space="preserve"> </w:t>
      </w:r>
      <w:r>
        <w:t xml:space="preserve">to the previous harness version.</w:t>
      </w:r>
    </w:p>
    <w:p>
      <w:pPr>
        <w:pStyle w:val="Compact"/>
        <w:numPr>
          <w:ilvl w:val="0"/>
          <w:numId w:val="1010"/>
        </w:numPr>
      </w:pPr>
      <w:r>
        <w:rPr>
          <w:b/>
          <w:bCs/>
        </w:rPr>
        <w:t xml:space="preserve">Audit.</w:t>
      </w:r>
      <w:r>
        <w:t xml:space="preserve"> </w:t>
      </w:r>
      <w:r>
        <w:t xml:space="preserve">Every candidate, score and diff is retained (as HarnessOpt-Bench does) [67].</w:t>
      </w:r>
    </w:p>
    <w:p>
      <w:pPr>
        <w:pStyle w:val="FirstParagraph"/>
      </w:pPr>
      <w:r>
        <w:t xml:space="preserve">For the POC, code-level optimisation is a</w:t>
      </w:r>
      <w:r>
        <w:t xml:space="preserve"> </w:t>
      </w:r>
      <w:r>
        <w:rPr>
          <w:b/>
          <w:bCs/>
        </w:rPr>
        <w:t xml:space="preserve">stretch area</w:t>
      </w:r>
      <w:r>
        <w:t xml:space="preserve"> </w:t>
      </w:r>
      <w:r>
        <w:t xml:space="preserve">(TA-17). The core comparison is on configuration-level harness components.</w:t>
      </w:r>
    </w:p>
    <w:bookmarkEnd w:id="30"/>
    <w:bookmarkEnd w:id="31"/>
    <w:bookmarkStart w:id="32" w:name="technique-catalogue"/>
    <w:p>
      <w:pPr>
        <w:pStyle w:val="Heading1"/>
      </w:pPr>
      <w:r>
        <w:t xml:space="preserve">5. Technique catalogue</w:t>
      </w:r>
    </w:p>
    <w:p>
      <w:pPr>
        <w:pStyle w:val="FirstParagraph"/>
      </w:pPr>
      <w:r>
        <w:t xml:space="preserve">Maturity is our assessment as of October 2026.</w:t>
      </w:r>
      <w:r>
        <w:t xml:space="preserve"> </w:t>
      </w:r>
      <w:r>
        <w:rPr>
          <w:b/>
          <w:bCs/>
        </w:rPr>
        <w:t xml:space="preserve">Established</w:t>
      </w:r>
      <w:r>
        <w:t xml:space="preserve"> </w:t>
      </w:r>
      <w:r>
        <w:t xml:space="preserve">means peer-reviewed or widely replicated with maintained open-source code.</w:t>
      </w:r>
      <w:r>
        <w:t xml:space="preserve"> </w:t>
      </w:r>
      <w:r>
        <w:rPr>
          <w:b/>
          <w:bCs/>
        </w:rPr>
        <w:t xml:space="preserve">Emerging</w:t>
      </w:r>
      <w:r>
        <w:t xml:space="preserve"> </w:t>
      </w:r>
      <w:r>
        <w:t xml:space="preserve">means recent preprints with limited independent replication.</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242"/>
        <w:gridCol w:w="1691"/>
        <w:gridCol w:w="1219"/>
        <w:gridCol w:w="1182"/>
        <w:gridCol w:w="2089"/>
        <w:gridCol w:w="1182"/>
        <w:gridCol w:w="1182"/>
      </w:tblGrid>
      <w:tr>
        <w:trPr>
          <w:tblHeader w:val="on"/>
          <w:tblHeader w:val="true"/>
        </w:trPr>
        <w:tc>
          <w:tcPr>
            <w:tcW w:type="dxa" w:w="1242"/>
            <w:shd w:val="clear" w:color="auto" w:fill="1F1F1F"/>
          </w:tcPr>
          <w:p>
            <w:pPr>
              <w:pStyle w:val="Compact"/>
              <w:spacing w:after="20" w:before="20"/>
            </w:pPr>
            <w:r>
              <w:rPr>
                <w:b/>
                <w:color w:val="FFFFFF"/>
                <w:sz w:val="16"/>
              </w:rPr>
              <w:t xml:space="preserve">Technique</w:t>
            </w:r>
          </w:p>
        </w:tc>
        <w:tc>
          <w:tcPr>
            <w:tcW w:type="dxa" w:w="1692"/>
            <w:shd w:val="clear" w:color="auto" w:fill="1F1F1F"/>
          </w:tcPr>
          <w:p>
            <w:pPr>
              <w:pStyle w:val="Compact"/>
              <w:spacing w:after="20" w:before="20"/>
            </w:pPr>
            <w:r>
              <w:rPr>
                <w:b/>
                <w:color w:val="FFFFFF"/>
                <w:sz w:val="16"/>
              </w:rPr>
              <w:t xml:space="preserve">Loop type</w:t>
            </w:r>
          </w:p>
        </w:tc>
        <w:tc>
          <w:tcPr>
            <w:tcW w:type="dxa" w:w="1219"/>
            <w:shd w:val="clear" w:color="auto" w:fill="1F1F1F"/>
          </w:tcPr>
          <w:p>
            <w:pPr>
              <w:pStyle w:val="Compact"/>
              <w:spacing w:after="20" w:before="20"/>
            </w:pPr>
            <w:r>
              <w:rPr>
                <w:b/>
                <w:color w:val="FFFFFF"/>
                <w:sz w:val="16"/>
              </w:rPr>
              <w:t xml:space="preserve">Optimises</w:t>
            </w:r>
          </w:p>
        </w:tc>
        <w:tc>
          <w:tcPr>
            <w:tcW w:type="dxa" w:w="1183"/>
            <w:shd w:val="clear" w:color="auto" w:fill="1F1F1F"/>
          </w:tcPr>
          <w:p>
            <w:pPr>
              <w:pStyle w:val="Compact"/>
              <w:spacing w:after="20" w:before="20"/>
            </w:pPr>
            <w:r>
              <w:rPr>
                <w:b/>
                <w:color w:val="FFFFFF"/>
                <w:sz w:val="16"/>
              </w:rPr>
              <w:t xml:space="preserve">Signal needed</w:t>
            </w:r>
          </w:p>
        </w:tc>
        <w:tc>
          <w:tcPr>
            <w:tcW w:type="dxa" w:w="2090"/>
            <w:shd w:val="clear" w:color="auto" w:fill="1F1F1F"/>
          </w:tcPr>
          <w:p>
            <w:pPr>
              <w:pStyle w:val="Compact"/>
              <w:spacing w:after="20" w:before="20"/>
            </w:pPr>
            <w:r>
              <w:rPr>
                <w:b/>
                <w:color w:val="FFFFFF"/>
                <w:sz w:val="16"/>
              </w:rPr>
              <w:t xml:space="preserve">Reported evidence</w:t>
            </w:r>
          </w:p>
        </w:tc>
        <w:tc>
          <w:tcPr>
            <w:tcW w:type="dxa" w:w="1183"/>
            <w:shd w:val="clear" w:color="auto" w:fill="1F1F1F"/>
          </w:tcPr>
          <w:p>
            <w:pPr>
              <w:pStyle w:val="Compact"/>
              <w:spacing w:after="20" w:before="20"/>
            </w:pPr>
            <w:r>
              <w:rPr>
                <w:b/>
                <w:color w:val="FFFFFF"/>
                <w:sz w:val="16"/>
              </w:rPr>
              <w:t xml:space="preserve">Maturity</w:t>
            </w:r>
          </w:p>
        </w:tc>
        <w:tc>
          <w:tcPr>
            <w:tcW w:type="dxa" w:w="1183"/>
            <w:shd w:val="clear" w:color="auto" w:fill="1F1F1F"/>
          </w:tcPr>
          <w:p>
            <w:pPr>
              <w:pStyle w:val="Compact"/>
              <w:spacing w:after="20" w:before="20"/>
            </w:pPr>
            <w:r>
              <w:rPr>
                <w:b/>
                <w:color w:val="FFFFFF"/>
                <w:sz w:val="16"/>
              </w:rPr>
              <w:t xml:space="preserve">Code</w:t>
            </w:r>
          </w:p>
        </w:tc>
      </w:tr>
      <w:tr>
        <w:tc>
          <w:tcPr>
            <w:tcW w:type="dxa" w:w="1242"/>
          </w:tcPr>
          <w:p>
            <w:pPr>
              <w:pStyle w:val="Compact"/>
              <w:spacing w:after="20" w:before="20"/>
            </w:pPr>
            <w:r>
              <w:rPr>
                <w:sz w:val="16"/>
              </w:rPr>
              <w:t xml:space="preserve">Reflexion [68], Self-Refine [69]</w:t>
            </w:r>
          </w:p>
        </w:tc>
        <w:tc>
          <w:tcPr>
            <w:tcW w:type="dxa" w:w="1692"/>
          </w:tcPr>
          <w:p>
            <w:pPr>
              <w:pStyle w:val="Compact"/>
              <w:spacing w:after="20" w:before="20"/>
            </w:pPr>
            <w:r>
              <w:rPr>
                <w:sz w:val="16"/>
              </w:rPr>
              <w:t xml:space="preserve">Reflection / self-feedback</w:t>
            </w:r>
          </w:p>
        </w:tc>
        <w:tc>
          <w:tcPr>
            <w:tcW w:type="dxa" w:w="1219"/>
          </w:tcPr>
          <w:p>
            <w:pPr>
              <w:pStyle w:val="Compact"/>
              <w:spacing w:after="20" w:before="20"/>
            </w:pPr>
            <w:r>
              <w:rPr>
                <w:sz w:val="16"/>
              </w:rPr>
              <w:t xml:space="preserve">Per-episode output, verbal memory</w:t>
            </w:r>
          </w:p>
        </w:tc>
        <w:tc>
          <w:tcPr>
            <w:tcW w:type="dxa" w:w="1183"/>
          </w:tcPr>
          <w:p>
            <w:pPr>
              <w:pStyle w:val="Compact"/>
              <w:spacing w:after="20" w:before="20"/>
            </w:pPr>
            <w:r>
              <w:rPr>
                <w:sz w:val="16"/>
              </w:rPr>
              <w:t xml:space="preserve">Feedback or self-critique</w:t>
            </w:r>
          </w:p>
        </w:tc>
        <w:tc>
          <w:tcPr>
            <w:tcW w:type="dxa" w:w="2090"/>
          </w:tcPr>
          <w:p>
            <w:pPr>
              <w:pStyle w:val="Compact"/>
              <w:spacing w:after="20" w:before="20"/>
            </w:pPr>
            <w:r>
              <w:rPr>
                <w:sz w:val="16"/>
              </w:rPr>
              <w:t xml:space="preserve">Foundational</w:t>
            </w:r>
          </w:p>
        </w:tc>
        <w:tc>
          <w:tcPr>
            <w:tcW w:type="dxa" w:w="1183"/>
          </w:tcPr>
          <w:p>
            <w:pPr>
              <w:pStyle w:val="Compact"/>
              <w:spacing w:after="20" w:before="20"/>
            </w:pPr>
            <w:r>
              <w:rPr>
                <w:sz w:val="16"/>
              </w:rPr>
              <w:t xml:space="preserve">Established</w:t>
            </w:r>
          </w:p>
        </w:tc>
        <w:tc>
          <w:tcPr>
            <w:tcW w:type="dxa" w:w="1183"/>
          </w:tcPr>
          <w:p>
            <w:pPr>
              <w:pStyle w:val="Compact"/>
              <w:spacing w:after="20" w:before="20"/>
            </w:pPr>
            <w:r>
              <w:rPr>
                <w:sz w:val="16"/>
              </w:rPr>
              <w:t xml:space="preserve">Paper code</w:t>
            </w:r>
          </w:p>
        </w:tc>
      </w:tr>
      <w:tr>
        <w:tc>
          <w:tcPr>
            <w:tcW w:type="dxa" w:w="1242"/>
            <w:shd w:val="clear" w:color="auto" w:fill="FAFAFA"/>
          </w:tcPr>
          <w:p>
            <w:pPr>
              <w:pStyle w:val="Compact"/>
              <w:spacing w:after="20" w:before="20"/>
            </w:pPr>
            <w:r>
              <w:rPr>
                <w:sz w:val="16"/>
              </w:rPr>
              <w:t xml:space="preserve">OPRO [73], ProTeGi [74]</w:t>
            </w:r>
          </w:p>
        </w:tc>
        <w:tc>
          <w:tcPr>
            <w:tcW w:type="dxa" w:w="1692"/>
            <w:shd w:val="clear" w:color="auto" w:fill="FAFAFA"/>
          </w:tcPr>
          <w:p>
            <w:pPr>
              <w:pStyle w:val="Compact"/>
              <w:spacing w:after="20" w:before="20"/>
            </w:pPr>
            <w:r>
              <w:rPr>
                <w:sz w:val="16"/>
              </w:rPr>
              <w:t xml:space="preserve">LLM-as-optimiser; textual</w:t>
            </w:r>
            <w:r>
              <w:rPr>
                <w:sz w:val="16"/>
              </w:rPr>
              <w:t xml:space="preserve"> </w:t>
            </w:r>
            <w:r>
              <w:rPr>
                <w:sz w:val="16"/>
              </w:rPr>
              <w:t xml:space="preserve">“gradient”</w:t>
            </w:r>
            <w:r>
              <w:rPr>
                <w:sz w:val="16"/>
              </w:rPr>
              <w:t xml:space="preserve"> </w:t>
            </w:r>
            <w:r>
              <w:rPr>
                <w:sz w:val="16"/>
              </w:rPr>
              <w:t xml:space="preserve">with beam search</w:t>
            </w:r>
          </w:p>
        </w:tc>
        <w:tc>
          <w:tcPr>
            <w:tcW w:type="dxa" w:w="1219"/>
            <w:shd w:val="clear" w:color="auto" w:fill="FAFAFA"/>
          </w:tcPr>
          <w:p>
            <w:pPr>
              <w:pStyle w:val="Compact"/>
              <w:spacing w:after="20" w:before="20"/>
            </w:pPr>
            <w:r>
              <w:rPr>
                <w:sz w:val="16"/>
              </w:rPr>
              <w:t xml:space="preserve">Prompts</w:t>
            </w:r>
          </w:p>
        </w:tc>
        <w:tc>
          <w:tcPr>
            <w:tcW w:type="dxa" w:w="1183"/>
            <w:shd w:val="clear" w:color="auto" w:fill="FAFAFA"/>
          </w:tcPr>
          <w:p>
            <w:pPr>
              <w:pStyle w:val="Compact"/>
              <w:spacing w:after="20" w:before="20"/>
            </w:pPr>
            <w:r>
              <w:rPr>
                <w:sz w:val="16"/>
              </w:rPr>
              <w:t xml:space="preserve">Scalar metric</w:t>
            </w:r>
          </w:p>
        </w:tc>
        <w:tc>
          <w:tcPr>
            <w:tcW w:type="dxa" w:w="2090"/>
            <w:shd w:val="clear" w:color="auto" w:fill="FAFAFA"/>
          </w:tcPr>
          <w:p>
            <w:pPr>
              <w:pStyle w:val="Compact"/>
              <w:spacing w:after="20" w:before="20"/>
            </w:pPr>
            <w:r>
              <w:rPr>
                <w:sz w:val="16"/>
              </w:rPr>
              <w:t xml:space="preserve">Foundational APO methods</w:t>
            </w:r>
          </w:p>
        </w:tc>
        <w:tc>
          <w:tcPr>
            <w:tcW w:type="dxa" w:w="1183"/>
            <w:shd w:val="clear" w:color="auto" w:fill="FAFAFA"/>
          </w:tcPr>
          <w:p>
            <w:pPr>
              <w:pStyle w:val="Compact"/>
              <w:spacing w:after="20" w:before="20"/>
            </w:pPr>
            <w:r>
              <w:rPr>
                <w:sz w:val="16"/>
              </w:rPr>
              <w:t xml:space="preserve">Established</w:t>
            </w:r>
          </w:p>
        </w:tc>
        <w:tc>
          <w:tcPr>
            <w:tcW w:type="dxa" w:w="1183"/>
            <w:shd w:val="clear" w:color="auto" w:fill="FAFAFA"/>
          </w:tcPr>
          <w:p>
            <w:pPr>
              <w:pStyle w:val="Compact"/>
              <w:spacing w:after="20" w:before="20"/>
            </w:pPr>
            <w:r>
              <w:rPr>
                <w:sz w:val="16"/>
              </w:rPr>
              <w:t xml:space="preserve">Paper code</w:t>
            </w:r>
          </w:p>
        </w:tc>
      </w:tr>
      <w:tr>
        <w:tc>
          <w:tcPr>
            <w:tcW w:type="dxa" w:w="1242"/>
          </w:tcPr>
          <w:p>
            <w:pPr>
              <w:pStyle w:val="Compact"/>
              <w:spacing w:after="20" w:before="20"/>
            </w:pPr>
            <w:r>
              <w:rPr>
                <w:sz w:val="16"/>
              </w:rPr>
              <w:t xml:space="preserve">EvoPrompt [71], Promptbreeder [72]</w:t>
            </w:r>
          </w:p>
        </w:tc>
        <w:tc>
          <w:tcPr>
            <w:tcW w:type="dxa" w:w="1692"/>
          </w:tcPr>
          <w:p>
            <w:pPr>
              <w:pStyle w:val="Compact"/>
              <w:spacing w:after="20" w:before="20"/>
            </w:pPr>
            <w:r>
              <w:rPr>
                <w:sz w:val="16"/>
              </w:rPr>
              <w:t xml:space="preserve">Evolutionary / genetic</w:t>
            </w:r>
          </w:p>
        </w:tc>
        <w:tc>
          <w:tcPr>
            <w:tcW w:type="dxa" w:w="1219"/>
          </w:tcPr>
          <w:p>
            <w:pPr>
              <w:pStyle w:val="Compact"/>
              <w:spacing w:after="20" w:before="20"/>
            </w:pPr>
            <w:r>
              <w:rPr>
                <w:sz w:val="16"/>
              </w:rPr>
              <w:t xml:space="preserve">Prompts (Promptbreeder also mutation prompts)</w:t>
            </w:r>
          </w:p>
        </w:tc>
        <w:tc>
          <w:tcPr>
            <w:tcW w:type="dxa" w:w="1183"/>
          </w:tcPr>
          <w:p>
            <w:pPr>
              <w:pStyle w:val="Compact"/>
              <w:spacing w:after="20" w:before="20"/>
            </w:pPr>
            <w:r>
              <w:rPr>
                <w:sz w:val="16"/>
              </w:rPr>
              <w:t xml:space="preserve">Scalar metric</w:t>
            </w:r>
          </w:p>
        </w:tc>
        <w:tc>
          <w:tcPr>
            <w:tcW w:type="dxa" w:w="2090"/>
          </w:tcPr>
          <w:p>
            <w:pPr>
              <w:pStyle w:val="Compact"/>
              <w:spacing w:after="20" w:before="20"/>
            </w:pPr>
            <w:r>
              <w:rPr>
                <w:sz w:val="16"/>
              </w:rPr>
              <w:t xml:space="preserve">EvoPrompt: up to 25% over human-engineered prompts on BBH; Promptbreeder beats CoT and Plan-and-Solve on reasoning benchmarks</w:t>
            </w:r>
          </w:p>
        </w:tc>
        <w:tc>
          <w:tcPr>
            <w:tcW w:type="dxa" w:w="1183"/>
          </w:tcPr>
          <w:p>
            <w:pPr>
              <w:pStyle w:val="Compact"/>
              <w:spacing w:after="20" w:before="20"/>
            </w:pPr>
            <w:r>
              <w:rPr>
                <w:sz w:val="16"/>
              </w:rPr>
              <w:t xml:space="preserve">Established</w:t>
            </w:r>
          </w:p>
        </w:tc>
        <w:tc>
          <w:tcPr>
            <w:tcW w:type="dxa" w:w="1183"/>
          </w:tcPr>
          <w:p>
            <w:pPr>
              <w:pStyle w:val="Compact"/>
              <w:spacing w:after="20" w:before="20"/>
            </w:pPr>
            <w:r>
              <w:rPr>
                <w:sz w:val="16"/>
              </w:rPr>
              <w:t xml:space="preserve">github.com/beeevita/EvoPrompt</w:t>
            </w:r>
          </w:p>
        </w:tc>
      </w:tr>
      <w:tr>
        <w:tc>
          <w:tcPr>
            <w:tcW w:type="dxa" w:w="1242"/>
            <w:shd w:val="clear" w:color="auto" w:fill="FAFAFA"/>
          </w:tcPr>
          <w:p>
            <w:pPr>
              <w:pStyle w:val="Compact"/>
              <w:spacing w:after="20" w:before="20"/>
            </w:pPr>
            <w:r>
              <w:rPr>
                <w:sz w:val="16"/>
              </w:rPr>
              <w:t xml:space="preserve">GEPA [70]</w:t>
            </w:r>
          </w:p>
        </w:tc>
        <w:tc>
          <w:tcPr>
            <w:tcW w:type="dxa" w:w="1692"/>
            <w:shd w:val="clear" w:color="auto" w:fill="FAFAFA"/>
          </w:tcPr>
          <w:p>
            <w:pPr>
              <w:pStyle w:val="Compact"/>
              <w:spacing w:after="20" w:before="20"/>
            </w:pPr>
            <w:r>
              <w:rPr>
                <w:sz w:val="16"/>
              </w:rPr>
              <w:t xml:space="preserve">Reflective evolution with a Pareto front</w:t>
            </w:r>
          </w:p>
        </w:tc>
        <w:tc>
          <w:tcPr>
            <w:tcW w:type="dxa" w:w="1219"/>
            <w:shd w:val="clear" w:color="auto" w:fill="FAFAFA"/>
          </w:tcPr>
          <w:p>
            <w:pPr>
              <w:pStyle w:val="Compact"/>
              <w:spacing w:after="20" w:before="20"/>
            </w:pPr>
            <w:r>
              <w:rPr>
                <w:sz w:val="16"/>
              </w:rPr>
              <w:t xml:space="preserve">Multi-prompt systems</w:t>
            </w:r>
          </w:p>
        </w:tc>
        <w:tc>
          <w:tcPr>
            <w:tcW w:type="dxa" w:w="1183"/>
            <w:shd w:val="clear" w:color="auto" w:fill="FAFAFA"/>
          </w:tcPr>
          <w:p>
            <w:pPr>
              <w:pStyle w:val="Compact"/>
              <w:spacing w:after="20" w:before="20"/>
            </w:pPr>
            <w:r>
              <w:rPr>
                <w:sz w:val="16"/>
              </w:rPr>
              <w:t xml:space="preserve">Metric plus textual feedback</w:t>
            </w:r>
          </w:p>
        </w:tc>
        <w:tc>
          <w:tcPr>
            <w:tcW w:type="dxa" w:w="2090"/>
            <w:shd w:val="clear" w:color="auto" w:fill="FAFAFA"/>
          </w:tcPr>
          <w:p>
            <w:pPr>
              <w:pStyle w:val="Compact"/>
              <w:spacing w:after="20" w:before="20"/>
            </w:pPr>
            <w:r>
              <w:rPr>
                <w:sz w:val="16"/>
              </w:rPr>
              <w:t xml:space="preserve">+6% avg vs GRPO with up to 35× fewer rollouts; &gt;10% vs MIPROv2</w:t>
            </w:r>
          </w:p>
        </w:tc>
        <w:tc>
          <w:tcPr>
            <w:tcW w:type="dxa" w:w="1183"/>
            <w:shd w:val="clear" w:color="auto" w:fill="FAFAFA"/>
          </w:tcPr>
          <w:p>
            <w:pPr>
              <w:pStyle w:val="Compact"/>
              <w:spacing w:after="20" w:before="20"/>
            </w:pPr>
            <w:r>
              <w:rPr>
                <w:sz w:val="16"/>
              </w:rPr>
              <w:t xml:space="preserve">Current SOTA for prompt optimisation</w:t>
            </w:r>
          </w:p>
        </w:tc>
        <w:tc>
          <w:tcPr>
            <w:tcW w:type="dxa" w:w="1183"/>
            <w:shd w:val="clear" w:color="auto" w:fill="FAFAFA"/>
          </w:tcPr>
          <w:p>
            <w:pPr>
              <w:pStyle w:val="Compact"/>
              <w:spacing w:after="20" w:before="20"/>
            </w:pPr>
            <w:r>
              <w:rPr>
                <w:sz w:val="16"/>
              </w:rPr>
              <w:t xml:space="preserve">github.com/gepa-ai/gepa; in DSPy</w:t>
            </w:r>
          </w:p>
        </w:tc>
      </w:tr>
      <w:tr>
        <w:tc>
          <w:tcPr>
            <w:tcW w:type="dxa" w:w="1242"/>
          </w:tcPr>
          <w:p>
            <w:pPr>
              <w:pStyle w:val="Compact"/>
              <w:spacing w:after="20" w:before="20"/>
            </w:pPr>
            <w:r>
              <w:rPr>
                <w:sz w:val="16"/>
              </w:rPr>
              <w:t xml:space="preserve">Lucidic EvoSim [98]</w:t>
            </w:r>
          </w:p>
        </w:tc>
        <w:tc>
          <w:tcPr>
            <w:tcW w:type="dxa" w:w="1692"/>
          </w:tcPr>
          <w:p>
            <w:pPr>
              <w:pStyle w:val="Compact"/>
              <w:spacing w:after="20" w:before="20"/>
            </w:pPr>
            <w:r>
              <w:rPr>
                <w:sz w:val="16"/>
              </w:rPr>
              <w:t xml:space="preserve">Genetic search over harness, plus RL on weights</w:t>
            </w:r>
          </w:p>
        </w:tc>
        <w:tc>
          <w:tcPr>
            <w:tcW w:type="dxa" w:w="1219"/>
          </w:tcPr>
          <w:p>
            <w:pPr>
              <w:pStyle w:val="Compact"/>
              <w:spacing w:after="20" w:before="20"/>
            </w:pPr>
            <w:r>
              <w:rPr>
                <w:sz w:val="16"/>
              </w:rPr>
              <w:t xml:space="preserve">Prompts, tools, memory, context, guardrails, policies, weights</w:t>
            </w:r>
          </w:p>
        </w:tc>
        <w:tc>
          <w:tcPr>
            <w:tcW w:type="dxa" w:w="1183"/>
          </w:tcPr>
          <w:p>
            <w:pPr>
              <w:pStyle w:val="Compact"/>
              <w:spacing w:after="20" w:before="20"/>
            </w:pPr>
            <w:r>
              <w:rPr>
                <w:sz w:val="16"/>
              </w:rPr>
              <w:t xml:space="preserve">Reward on simulated rollouts</w:t>
            </w:r>
          </w:p>
        </w:tc>
        <w:tc>
          <w:tcPr>
            <w:tcW w:type="dxa" w:w="2090"/>
          </w:tcPr>
          <w:p>
            <w:pPr>
              <w:pStyle w:val="Compact"/>
              <w:spacing w:after="20" w:before="20"/>
            </w:pPr>
            <w:r>
              <w:rPr>
                <w:sz w:val="16"/>
              </w:rPr>
              <w:t xml:space="preserve">Vendor-reported only [99, 100]</w:t>
            </w:r>
          </w:p>
        </w:tc>
        <w:tc>
          <w:tcPr>
            <w:tcW w:type="dxa" w:w="1183"/>
          </w:tcPr>
          <w:p>
            <w:pPr>
              <w:pStyle w:val="Compact"/>
              <w:spacing w:after="20" w:before="20"/>
            </w:pPr>
            <w:r>
              <w:rPr>
                <w:sz w:val="16"/>
              </w:rPr>
              <w:t xml:space="preserve">Proprietary, unverified</w:t>
            </w:r>
          </w:p>
        </w:tc>
        <w:tc>
          <w:tcPr>
            <w:tcW w:type="dxa" w:w="1183"/>
          </w:tcPr>
          <w:p>
            <w:pPr>
              <w:pStyle w:val="Compact"/>
              <w:spacing w:after="20" w:before="20"/>
            </w:pPr>
            <w:r>
              <w:rPr>
                <w:sz w:val="16"/>
              </w:rPr>
              <w:t xml:space="preserve">Closed</w:t>
            </w:r>
          </w:p>
        </w:tc>
      </w:tr>
      <w:tr>
        <w:tc>
          <w:tcPr>
            <w:tcW w:type="dxa" w:w="1242"/>
            <w:shd w:val="clear" w:color="auto" w:fill="FAFAFA"/>
          </w:tcPr>
          <w:p>
            <w:pPr>
              <w:pStyle w:val="Compact"/>
              <w:spacing w:after="20" w:before="20"/>
            </w:pPr>
            <w:r>
              <w:rPr>
                <w:sz w:val="16"/>
              </w:rPr>
              <w:t xml:space="preserve">MIPROv2 [76] (DSPy [75])</w:t>
            </w:r>
          </w:p>
        </w:tc>
        <w:tc>
          <w:tcPr>
            <w:tcW w:type="dxa" w:w="1692"/>
            <w:shd w:val="clear" w:color="auto" w:fill="FAFAFA"/>
          </w:tcPr>
          <w:p>
            <w:pPr>
              <w:pStyle w:val="Compact"/>
              <w:spacing w:after="20" w:before="20"/>
            </w:pPr>
            <w:r>
              <w:rPr>
                <w:sz w:val="16"/>
              </w:rPr>
              <w:t xml:space="preserve">Bayesian (surrogate) optimisation</w:t>
            </w:r>
          </w:p>
        </w:tc>
        <w:tc>
          <w:tcPr>
            <w:tcW w:type="dxa" w:w="1219"/>
            <w:shd w:val="clear" w:color="auto" w:fill="FAFAFA"/>
          </w:tcPr>
          <w:p>
            <w:pPr>
              <w:pStyle w:val="Compact"/>
              <w:spacing w:after="20" w:before="20"/>
            </w:pPr>
            <w:r>
              <w:rPr>
                <w:sz w:val="16"/>
              </w:rPr>
              <w:t xml:space="preserve">Instructions and few-shot demos per module</w:t>
            </w:r>
          </w:p>
        </w:tc>
        <w:tc>
          <w:tcPr>
            <w:tcW w:type="dxa" w:w="1183"/>
            <w:shd w:val="clear" w:color="auto" w:fill="FAFAFA"/>
          </w:tcPr>
          <w:p>
            <w:pPr>
              <w:pStyle w:val="Compact"/>
              <w:spacing w:after="20" w:before="20"/>
            </w:pPr>
            <w:r>
              <w:rPr>
                <w:sz w:val="16"/>
              </w:rPr>
              <w:t xml:space="preserve">Metric, mini-batches</w:t>
            </w:r>
          </w:p>
        </w:tc>
        <w:tc>
          <w:tcPr>
            <w:tcW w:type="dxa" w:w="2090"/>
            <w:shd w:val="clear" w:color="auto" w:fill="FAFAFA"/>
          </w:tcPr>
          <w:p>
            <w:pPr>
              <w:pStyle w:val="Compact"/>
              <w:spacing w:after="20" w:before="20"/>
            </w:pPr>
            <w:r>
              <w:rPr>
                <w:sz w:val="16"/>
              </w:rPr>
              <w:t xml:space="preserve">Up to 13% over baselines on multi-stage programs</w:t>
            </w:r>
          </w:p>
        </w:tc>
        <w:tc>
          <w:tcPr>
            <w:tcW w:type="dxa" w:w="1183"/>
            <w:shd w:val="clear" w:color="auto" w:fill="FAFAFA"/>
          </w:tcPr>
          <w:p>
            <w:pPr>
              <w:pStyle w:val="Compact"/>
              <w:spacing w:after="20" w:before="20"/>
            </w:pPr>
            <w:r>
              <w:rPr>
                <w:sz w:val="16"/>
              </w:rPr>
              <w:t xml:space="preserve">Established</w:t>
            </w:r>
          </w:p>
        </w:tc>
        <w:tc>
          <w:tcPr>
            <w:tcW w:type="dxa" w:w="1183"/>
            <w:shd w:val="clear" w:color="auto" w:fill="FAFAFA"/>
          </w:tcPr>
          <w:p>
            <w:pPr>
              <w:pStyle w:val="Compact"/>
              <w:spacing w:after="20" w:before="20"/>
            </w:pPr>
            <w:r>
              <w:rPr>
                <w:sz w:val="16"/>
              </w:rPr>
              <w:t xml:space="preserve">github.com/stanfordnlp/dspy</w:t>
            </w:r>
          </w:p>
        </w:tc>
      </w:tr>
      <w:tr>
        <w:tc>
          <w:tcPr>
            <w:tcW w:type="dxa" w:w="1242"/>
          </w:tcPr>
          <w:p>
            <w:pPr>
              <w:pStyle w:val="Compact"/>
              <w:spacing w:after="20" w:before="20"/>
            </w:pPr>
            <w:r>
              <w:rPr>
                <w:sz w:val="16"/>
              </w:rPr>
              <w:t xml:space="preserve">BetterTogether [77]</w:t>
            </w:r>
          </w:p>
        </w:tc>
        <w:tc>
          <w:tcPr>
            <w:tcW w:type="dxa" w:w="1692"/>
          </w:tcPr>
          <w:p>
            <w:pPr>
              <w:pStyle w:val="Compact"/>
              <w:spacing w:after="20" w:before="20"/>
            </w:pPr>
            <w:r>
              <w:rPr>
                <w:sz w:val="16"/>
              </w:rPr>
              <w:t xml:space="preserve">Alternating prompt and weight optimisation</w:t>
            </w:r>
          </w:p>
        </w:tc>
        <w:tc>
          <w:tcPr>
            <w:tcW w:type="dxa" w:w="1219"/>
          </w:tcPr>
          <w:p>
            <w:pPr>
              <w:pStyle w:val="Compact"/>
              <w:spacing w:after="20" w:before="20"/>
            </w:pPr>
            <w:r>
              <w:rPr>
                <w:sz w:val="16"/>
              </w:rPr>
              <w:t xml:space="preserve">Prompts and weights</w:t>
            </w:r>
          </w:p>
        </w:tc>
        <w:tc>
          <w:tcPr>
            <w:tcW w:type="dxa" w:w="1183"/>
          </w:tcPr>
          <w:p>
            <w:pPr>
              <w:pStyle w:val="Compact"/>
              <w:spacing w:after="20" w:before="20"/>
            </w:pPr>
            <w:r>
              <w:rPr>
                <w:sz w:val="16"/>
              </w:rPr>
              <w:t xml:space="preserve">Metric</w:t>
            </w:r>
          </w:p>
        </w:tc>
        <w:tc>
          <w:tcPr>
            <w:tcW w:type="dxa" w:w="2090"/>
          </w:tcPr>
          <w:p>
            <w:pPr>
              <w:pStyle w:val="Compact"/>
              <w:spacing w:after="20" w:before="20"/>
            </w:pPr>
            <w:r>
              <w:rPr>
                <w:sz w:val="16"/>
              </w:rPr>
              <w:t xml:space="preserve">Beats weights-only by up to 60% and prompts-only by up to 6%</w:t>
            </w:r>
          </w:p>
        </w:tc>
        <w:tc>
          <w:tcPr>
            <w:tcW w:type="dxa" w:w="1183"/>
          </w:tcPr>
          <w:p>
            <w:pPr>
              <w:pStyle w:val="Compact"/>
              <w:spacing w:after="20" w:before="20"/>
            </w:pPr>
            <w:r>
              <w:rPr>
                <w:sz w:val="16"/>
              </w:rPr>
              <w:t xml:space="preserve">Established (emerging for agents)</w:t>
            </w:r>
          </w:p>
        </w:tc>
        <w:tc>
          <w:tcPr>
            <w:tcW w:type="dxa" w:w="1183"/>
          </w:tcPr>
          <w:p>
            <w:pPr>
              <w:pStyle w:val="Compact"/>
              <w:spacing w:after="20" w:before="20"/>
            </w:pPr>
            <w:r>
              <w:rPr>
                <w:sz w:val="16"/>
              </w:rPr>
              <w:t xml:space="preserve">DSPy</w:t>
            </w:r>
          </w:p>
        </w:tc>
      </w:tr>
      <w:tr>
        <w:tc>
          <w:tcPr>
            <w:tcW w:type="dxa" w:w="1242"/>
            <w:shd w:val="clear" w:color="auto" w:fill="FAFAFA"/>
          </w:tcPr>
          <w:p>
            <w:pPr>
              <w:pStyle w:val="Compact"/>
              <w:spacing w:after="20" w:before="20"/>
            </w:pPr>
            <w:r>
              <w:rPr>
                <w:sz w:val="16"/>
              </w:rPr>
              <w:t xml:space="preserve">TextGrad [78]</w:t>
            </w:r>
          </w:p>
        </w:tc>
        <w:tc>
          <w:tcPr>
            <w:tcW w:type="dxa" w:w="1692"/>
            <w:shd w:val="clear" w:color="auto" w:fill="FAFAFA"/>
          </w:tcPr>
          <w:p>
            <w:pPr>
              <w:pStyle w:val="Compact"/>
              <w:spacing w:after="20" w:before="20"/>
            </w:pPr>
            <w:r>
              <w:rPr>
                <w:sz w:val="16"/>
              </w:rPr>
              <w:t xml:space="preserve">Textual gradients</w:t>
            </w:r>
          </w:p>
        </w:tc>
        <w:tc>
          <w:tcPr>
            <w:tcW w:type="dxa" w:w="1219"/>
            <w:shd w:val="clear" w:color="auto" w:fill="FAFAFA"/>
          </w:tcPr>
          <w:p>
            <w:pPr>
              <w:pStyle w:val="Compact"/>
              <w:spacing w:after="20" w:before="20"/>
            </w:pPr>
            <w:r>
              <w:rPr>
                <w:sz w:val="16"/>
              </w:rPr>
              <w:t xml:space="preserve">Any text variable</w:t>
            </w:r>
          </w:p>
        </w:tc>
        <w:tc>
          <w:tcPr>
            <w:tcW w:type="dxa" w:w="1183"/>
            <w:shd w:val="clear" w:color="auto" w:fill="FAFAFA"/>
          </w:tcPr>
          <w:p>
            <w:pPr>
              <w:pStyle w:val="Compact"/>
              <w:spacing w:after="20" w:before="20"/>
            </w:pPr>
            <w:r>
              <w:rPr>
                <w:sz w:val="16"/>
              </w:rPr>
              <w:t xml:space="preserve">LLM feedback</w:t>
            </w:r>
          </w:p>
        </w:tc>
        <w:tc>
          <w:tcPr>
            <w:tcW w:type="dxa" w:w="2090"/>
            <w:shd w:val="clear" w:color="auto" w:fill="FAFAFA"/>
          </w:tcPr>
          <w:p>
            <w:pPr>
              <w:pStyle w:val="Compact"/>
              <w:spacing w:after="20" w:before="20"/>
            </w:pPr>
            <w:r>
              <w:rPr>
                <w:sz w:val="16"/>
              </w:rPr>
              <w:t xml:space="preserve">Broad demonstrations</w:t>
            </w:r>
          </w:p>
        </w:tc>
        <w:tc>
          <w:tcPr>
            <w:tcW w:type="dxa" w:w="1183"/>
            <w:shd w:val="clear" w:color="auto" w:fill="FAFAFA"/>
          </w:tcPr>
          <w:p>
            <w:pPr>
              <w:pStyle w:val="Compact"/>
              <w:spacing w:after="20" w:before="20"/>
            </w:pPr>
            <w:r>
              <w:rPr>
                <w:sz w:val="16"/>
              </w:rPr>
              <w:t xml:space="preserve">Established</w:t>
            </w:r>
          </w:p>
        </w:tc>
        <w:tc>
          <w:tcPr>
            <w:tcW w:type="dxa" w:w="1183"/>
            <w:shd w:val="clear" w:color="auto" w:fill="FAFAFA"/>
          </w:tcPr>
          <w:p>
            <w:pPr>
              <w:pStyle w:val="Compact"/>
              <w:spacing w:after="20" w:before="20"/>
            </w:pPr>
            <w:r>
              <w:rPr>
                <w:sz w:val="16"/>
              </w:rPr>
              <w:t xml:space="preserve">github.com/zou-group/textgrad</w:t>
            </w:r>
          </w:p>
        </w:tc>
      </w:tr>
      <w:tr>
        <w:tc>
          <w:tcPr>
            <w:tcW w:type="dxa" w:w="1242"/>
          </w:tcPr>
          <w:p>
            <w:pPr>
              <w:pStyle w:val="Compact"/>
              <w:spacing w:after="20" w:before="20"/>
            </w:pPr>
            <w:r>
              <w:rPr>
                <w:sz w:val="16"/>
              </w:rPr>
              <w:t xml:space="preserve">Trace / OptoPrime [61]</w:t>
            </w:r>
          </w:p>
        </w:tc>
        <w:tc>
          <w:tcPr>
            <w:tcW w:type="dxa" w:w="1692"/>
          </w:tcPr>
          <w:p>
            <w:pPr>
              <w:pStyle w:val="Compact"/>
              <w:spacing w:after="20" w:before="20"/>
            </w:pPr>
            <w:r>
              <w:rPr>
                <w:sz w:val="16"/>
              </w:rPr>
              <w:t xml:space="preserve">Generative optimisation over execution traces</w:t>
            </w:r>
          </w:p>
        </w:tc>
        <w:tc>
          <w:tcPr>
            <w:tcW w:type="dxa" w:w="1219"/>
          </w:tcPr>
          <w:p>
            <w:pPr>
              <w:pStyle w:val="Compact"/>
              <w:spacing w:after="20" w:before="20"/>
            </w:pPr>
            <w:r>
              <w:rPr>
                <w:sz w:val="16"/>
              </w:rPr>
              <w:t xml:space="preserve">Prompts, code, hyperparameters</w:t>
            </w:r>
          </w:p>
        </w:tc>
        <w:tc>
          <w:tcPr>
            <w:tcW w:type="dxa" w:w="1183"/>
          </w:tcPr>
          <w:p>
            <w:pPr>
              <w:pStyle w:val="Compact"/>
              <w:spacing w:after="20" w:before="20"/>
            </w:pPr>
            <w:r>
              <w:rPr>
                <w:sz w:val="16"/>
              </w:rPr>
              <w:t xml:space="preserve">Trace plus feedback</w:t>
            </w:r>
          </w:p>
        </w:tc>
        <w:tc>
          <w:tcPr>
            <w:tcW w:type="dxa" w:w="2090"/>
          </w:tcPr>
          <w:p>
            <w:pPr>
              <w:pStyle w:val="Compact"/>
              <w:spacing w:after="20" w:before="20"/>
            </w:pPr>
            <w:r>
              <w:rPr>
                <w:sz w:val="16"/>
              </w:rPr>
              <w:t xml:space="preserve">Competitive across domains</w:t>
            </w:r>
          </w:p>
        </w:tc>
        <w:tc>
          <w:tcPr>
            <w:tcW w:type="dxa" w:w="1183"/>
          </w:tcPr>
          <w:p>
            <w:pPr>
              <w:pStyle w:val="Compact"/>
              <w:spacing w:after="20" w:before="20"/>
            </w:pPr>
            <w:r>
              <w:rPr>
                <w:sz w:val="16"/>
              </w:rPr>
              <w:t xml:space="preserve">Emerging</w:t>
            </w:r>
          </w:p>
        </w:tc>
        <w:tc>
          <w:tcPr>
            <w:tcW w:type="dxa" w:w="1183"/>
          </w:tcPr>
          <w:p>
            <w:pPr>
              <w:pStyle w:val="Compact"/>
              <w:spacing w:after="20" w:before="20"/>
            </w:pPr>
            <w:r>
              <w:rPr>
                <w:sz w:val="16"/>
              </w:rPr>
              <w:t xml:space="preserve">github.com/microsoft/Trace</w:t>
            </w:r>
          </w:p>
        </w:tc>
      </w:tr>
      <w:tr>
        <w:tc>
          <w:tcPr>
            <w:tcW w:type="dxa" w:w="1242"/>
            <w:shd w:val="clear" w:color="auto" w:fill="FAFAFA"/>
          </w:tcPr>
          <w:p>
            <w:pPr>
              <w:pStyle w:val="Compact"/>
              <w:spacing w:after="20" w:before="20"/>
            </w:pPr>
            <w:r>
              <w:rPr>
                <w:sz w:val="16"/>
              </w:rPr>
              <w:t xml:space="preserve">GRPO [79]</w:t>
            </w:r>
          </w:p>
        </w:tc>
        <w:tc>
          <w:tcPr>
            <w:tcW w:type="dxa" w:w="1692"/>
            <w:shd w:val="clear" w:color="auto" w:fill="FAFAFA"/>
          </w:tcPr>
          <w:p>
            <w:pPr>
              <w:pStyle w:val="Compact"/>
              <w:spacing w:after="20" w:before="20"/>
            </w:pPr>
            <w:r>
              <w:rPr>
                <w:sz w:val="16"/>
              </w:rPr>
              <w:t xml:space="preserve">RL, group-relative advantage</w:t>
            </w:r>
          </w:p>
        </w:tc>
        <w:tc>
          <w:tcPr>
            <w:tcW w:type="dxa" w:w="1219"/>
            <w:shd w:val="clear" w:color="auto" w:fill="FAFAFA"/>
          </w:tcPr>
          <w:p>
            <w:pPr>
              <w:pStyle w:val="Compact"/>
              <w:spacing w:after="20" w:before="20"/>
            </w:pPr>
            <w:r>
              <w:rPr>
                <w:sz w:val="16"/>
              </w:rPr>
              <w:t xml:space="preserve">Weights</w:t>
            </w:r>
          </w:p>
        </w:tc>
        <w:tc>
          <w:tcPr>
            <w:tcW w:type="dxa" w:w="1183"/>
            <w:shd w:val="clear" w:color="auto" w:fill="FAFAFA"/>
          </w:tcPr>
          <w:p>
            <w:pPr>
              <w:pStyle w:val="Compact"/>
              <w:spacing w:after="20" w:before="20"/>
            </w:pPr>
            <w:r>
              <w:rPr>
                <w:sz w:val="16"/>
              </w:rPr>
              <w:t xml:space="preserve">Verifiable or judged reward</w:t>
            </w:r>
          </w:p>
        </w:tc>
        <w:tc>
          <w:tcPr>
            <w:tcW w:type="dxa" w:w="2090"/>
            <w:shd w:val="clear" w:color="auto" w:fill="FAFAFA"/>
          </w:tcPr>
          <w:p>
            <w:pPr>
              <w:pStyle w:val="Compact"/>
              <w:spacing w:after="20" w:before="20"/>
            </w:pPr>
            <w:r>
              <w:rPr>
                <w:sz w:val="16"/>
              </w:rPr>
              <w:t xml:space="preserve">Widely adopted in reasoning and agent RL frameworks [81, 82]</w:t>
            </w:r>
          </w:p>
        </w:tc>
        <w:tc>
          <w:tcPr>
            <w:tcW w:type="dxa" w:w="1183"/>
            <w:shd w:val="clear" w:color="auto" w:fill="FAFAFA"/>
          </w:tcPr>
          <w:p>
            <w:pPr>
              <w:pStyle w:val="Compact"/>
              <w:spacing w:after="20" w:before="20"/>
            </w:pPr>
            <w:r>
              <w:rPr>
                <w:sz w:val="16"/>
              </w:rPr>
              <w:t xml:space="preserve">Current SOTA for RL</w:t>
            </w:r>
          </w:p>
        </w:tc>
        <w:tc>
          <w:tcPr>
            <w:tcW w:type="dxa" w:w="1183"/>
            <w:shd w:val="clear" w:color="auto" w:fill="FAFAFA"/>
          </w:tcPr>
          <w:p>
            <w:pPr>
              <w:pStyle w:val="Compact"/>
              <w:spacing w:after="20" w:before="20"/>
            </w:pPr>
            <w:r>
              <w:rPr>
                <w:sz w:val="16"/>
              </w:rPr>
              <w:t xml:space="preserve">TRL, verl, ART</w:t>
            </w:r>
          </w:p>
        </w:tc>
      </w:tr>
      <w:tr>
        <w:tc>
          <w:tcPr>
            <w:tcW w:type="dxa" w:w="1242"/>
          </w:tcPr>
          <w:p>
            <w:pPr>
              <w:pStyle w:val="Compact"/>
              <w:spacing w:after="20" w:before="20"/>
            </w:pPr>
            <w:r>
              <w:rPr>
                <w:sz w:val="16"/>
              </w:rPr>
              <w:t xml:space="preserve">Agent Lightning [80]</w:t>
            </w:r>
          </w:p>
        </w:tc>
        <w:tc>
          <w:tcPr>
            <w:tcW w:type="dxa" w:w="1692"/>
          </w:tcPr>
          <w:p>
            <w:pPr>
              <w:pStyle w:val="Compact"/>
              <w:spacing w:after="20" w:before="20"/>
            </w:pPr>
            <w:r>
              <w:rPr>
                <w:sz w:val="16"/>
              </w:rPr>
              <w:t xml:space="preserve">RL decoupled from agent execution; hierarchical credit assignment</w:t>
            </w:r>
          </w:p>
        </w:tc>
        <w:tc>
          <w:tcPr>
            <w:tcW w:type="dxa" w:w="1219"/>
          </w:tcPr>
          <w:p>
            <w:pPr>
              <w:pStyle w:val="Compact"/>
              <w:spacing w:after="20" w:before="20"/>
            </w:pPr>
            <w:r>
              <w:rPr>
                <w:sz w:val="16"/>
              </w:rPr>
              <w:t xml:space="preserve">Weights of any agent</w:t>
            </w:r>
          </w:p>
        </w:tc>
        <w:tc>
          <w:tcPr>
            <w:tcW w:type="dxa" w:w="1183"/>
          </w:tcPr>
          <w:p>
            <w:pPr>
              <w:pStyle w:val="Compact"/>
              <w:spacing w:after="20" w:before="20"/>
            </w:pPr>
            <w:r>
              <w:rPr>
                <w:sz w:val="16"/>
              </w:rPr>
              <w:t xml:space="preserve">Rewards from traces</w:t>
            </w:r>
          </w:p>
        </w:tc>
        <w:tc>
          <w:tcPr>
            <w:tcW w:type="dxa" w:w="2090"/>
          </w:tcPr>
          <w:p>
            <w:pPr>
              <w:pStyle w:val="Compact"/>
              <w:spacing w:after="20" w:before="20"/>
            </w:pPr>
            <w:r>
              <w:rPr>
                <w:sz w:val="16"/>
              </w:rPr>
              <w:t xml:space="preserve">Stable gains on SQL, RAG and tool use</w:t>
            </w:r>
          </w:p>
        </w:tc>
        <w:tc>
          <w:tcPr>
            <w:tcW w:type="dxa" w:w="1183"/>
          </w:tcPr>
          <w:p>
            <w:pPr>
              <w:pStyle w:val="Compact"/>
              <w:spacing w:after="20" w:before="20"/>
            </w:pPr>
            <w:r>
              <w:rPr>
                <w:sz w:val="16"/>
              </w:rPr>
              <w:t xml:space="preserve">Emerging</w:t>
            </w:r>
          </w:p>
        </w:tc>
        <w:tc>
          <w:tcPr>
            <w:tcW w:type="dxa" w:w="1183"/>
          </w:tcPr>
          <w:p>
            <w:pPr>
              <w:pStyle w:val="Compact"/>
              <w:spacing w:after="20" w:before="20"/>
            </w:pPr>
            <w:r>
              <w:rPr>
                <w:sz w:val="16"/>
              </w:rPr>
              <w:t xml:space="preserve">github.com/microsoft/agent-lightning</w:t>
            </w:r>
          </w:p>
        </w:tc>
      </w:tr>
      <w:tr>
        <w:tc>
          <w:tcPr>
            <w:tcW w:type="dxa" w:w="1242"/>
            <w:shd w:val="clear" w:color="auto" w:fill="FAFAFA"/>
          </w:tcPr>
          <w:p>
            <w:pPr>
              <w:pStyle w:val="Compact"/>
              <w:spacing w:after="20" w:before="20"/>
            </w:pPr>
            <w:r>
              <w:rPr>
                <w:sz w:val="16"/>
              </w:rPr>
              <w:t xml:space="preserve">ART + RULER [81]</w:t>
            </w:r>
          </w:p>
        </w:tc>
        <w:tc>
          <w:tcPr>
            <w:tcW w:type="dxa" w:w="1692"/>
            <w:shd w:val="clear" w:color="auto" w:fill="FAFAFA"/>
          </w:tcPr>
          <w:p>
            <w:pPr>
              <w:pStyle w:val="Compact"/>
              <w:spacing w:after="20" w:before="20"/>
            </w:pPr>
            <w:r>
              <w:rPr>
                <w:sz w:val="16"/>
              </w:rPr>
              <w:t xml:space="preserve">GRPO with relative LLM-judge rewards</w:t>
            </w:r>
          </w:p>
        </w:tc>
        <w:tc>
          <w:tcPr>
            <w:tcW w:type="dxa" w:w="1219"/>
            <w:shd w:val="clear" w:color="auto" w:fill="FAFAFA"/>
          </w:tcPr>
          <w:p>
            <w:pPr>
              <w:pStyle w:val="Compact"/>
              <w:spacing w:after="20" w:before="20"/>
            </w:pPr>
            <w:r>
              <w:rPr>
                <w:sz w:val="16"/>
              </w:rPr>
              <w:t xml:space="preserve">Weights (LoRA)</w:t>
            </w:r>
          </w:p>
        </w:tc>
        <w:tc>
          <w:tcPr>
            <w:tcW w:type="dxa" w:w="1183"/>
            <w:shd w:val="clear" w:color="auto" w:fill="FAFAFA"/>
          </w:tcPr>
          <w:p>
            <w:pPr>
              <w:pStyle w:val="Compact"/>
              <w:spacing w:after="20" w:before="20"/>
            </w:pPr>
            <w:r>
              <w:rPr>
                <w:sz w:val="16"/>
              </w:rPr>
              <w:t xml:space="preserve">Group-relative judge</w:t>
            </w:r>
          </w:p>
        </w:tc>
        <w:tc>
          <w:tcPr>
            <w:tcW w:type="dxa" w:w="2090"/>
            <w:shd w:val="clear" w:color="auto" w:fill="FAFAFA"/>
          </w:tcPr>
          <w:p>
            <w:pPr>
              <w:pStyle w:val="Compact"/>
              <w:spacing w:after="20" w:before="20"/>
            </w:pPr>
            <w:r>
              <w:rPr>
                <w:sz w:val="16"/>
              </w:rPr>
              <w:t xml:space="preserve">Matches or beats hand-crafted rewards on 3 of 4 benchmarks (vendor docs)</w:t>
            </w:r>
          </w:p>
        </w:tc>
        <w:tc>
          <w:tcPr>
            <w:tcW w:type="dxa" w:w="1183"/>
            <w:shd w:val="clear" w:color="auto" w:fill="FAFAFA"/>
          </w:tcPr>
          <w:p>
            <w:pPr>
              <w:pStyle w:val="Compact"/>
              <w:spacing w:after="20" w:before="20"/>
            </w:pPr>
            <w:r>
              <w:rPr>
                <w:sz w:val="16"/>
              </w:rPr>
              <w:t xml:space="preserve">Emerging</w:t>
            </w:r>
          </w:p>
        </w:tc>
        <w:tc>
          <w:tcPr>
            <w:tcW w:type="dxa" w:w="1183"/>
            <w:shd w:val="clear" w:color="auto" w:fill="FAFAFA"/>
          </w:tcPr>
          <w:p>
            <w:pPr>
              <w:pStyle w:val="Compact"/>
              <w:spacing w:after="20" w:before="20"/>
            </w:pPr>
            <w:r>
              <w:rPr>
                <w:sz w:val="16"/>
              </w:rPr>
              <w:t xml:space="preserve">github.com/OpenPipe/ART</w:t>
            </w:r>
          </w:p>
        </w:tc>
      </w:tr>
      <w:tr>
        <w:tc>
          <w:tcPr>
            <w:tcW w:type="dxa" w:w="1242"/>
          </w:tcPr>
          <w:p>
            <w:pPr>
              <w:pStyle w:val="Compact"/>
              <w:spacing w:after="20" w:before="20"/>
            </w:pPr>
            <w:r>
              <w:rPr>
                <w:sz w:val="16"/>
              </w:rPr>
              <w:t xml:space="preserve">verl [82], RAGEN [83], SkyRL [84]</w:t>
            </w:r>
          </w:p>
        </w:tc>
        <w:tc>
          <w:tcPr>
            <w:tcW w:type="dxa" w:w="1692"/>
          </w:tcPr>
          <w:p>
            <w:pPr>
              <w:pStyle w:val="Compact"/>
              <w:spacing w:after="20" w:before="20"/>
            </w:pPr>
            <w:r>
              <w:rPr>
                <w:sz w:val="16"/>
              </w:rPr>
              <w:t xml:space="preserve">Scalable multi-turn agent RL</w:t>
            </w:r>
          </w:p>
        </w:tc>
        <w:tc>
          <w:tcPr>
            <w:tcW w:type="dxa" w:w="1219"/>
          </w:tcPr>
          <w:p>
            <w:pPr>
              <w:pStyle w:val="Compact"/>
              <w:spacing w:after="20" w:before="20"/>
            </w:pPr>
            <w:r>
              <w:rPr>
                <w:sz w:val="16"/>
              </w:rPr>
              <w:t xml:space="preserve">Weights</w:t>
            </w:r>
          </w:p>
        </w:tc>
        <w:tc>
          <w:tcPr>
            <w:tcW w:type="dxa" w:w="1183"/>
          </w:tcPr>
          <w:p>
            <w:pPr>
              <w:pStyle w:val="Compact"/>
              <w:spacing w:after="20" w:before="20"/>
            </w:pPr>
            <w:r>
              <w:rPr>
                <w:sz w:val="16"/>
              </w:rPr>
              <w:t xml:space="preserve">Environment reward</w:t>
            </w:r>
          </w:p>
        </w:tc>
        <w:tc>
          <w:tcPr>
            <w:tcW w:type="dxa" w:w="2090"/>
          </w:tcPr>
          <w:p>
            <w:pPr>
              <w:pStyle w:val="Compact"/>
              <w:spacing w:after="20" w:before="20"/>
            </w:pPr>
            <w:r>
              <w:rPr>
                <w:sz w:val="16"/>
              </w:rPr>
              <w:t xml:space="preserve">Infrastructure; RAGEN reports an</w:t>
            </w:r>
            <w:r>
              <w:rPr>
                <w:sz w:val="16"/>
              </w:rPr>
              <w:t xml:space="preserve"> </w:t>
            </w:r>
            <w:r>
              <w:rPr>
                <w:sz w:val="16"/>
              </w:rPr>
              <w:t xml:space="preserve">“Echo Trap”</w:t>
            </w:r>
            <w:r>
              <w:rPr>
                <w:sz w:val="16"/>
              </w:rPr>
              <w:t xml:space="preserve"> </w:t>
            </w:r>
            <w:r>
              <w:rPr>
                <w:sz w:val="16"/>
              </w:rPr>
              <w:t xml:space="preserve">instability in multi-turn agent RL and a stabilised variant</w:t>
            </w:r>
          </w:p>
        </w:tc>
        <w:tc>
          <w:tcPr>
            <w:tcW w:type="dxa" w:w="1183"/>
          </w:tcPr>
          <w:p>
            <w:pPr>
              <w:pStyle w:val="Compact"/>
              <w:spacing w:after="20" w:before="20"/>
            </w:pPr>
            <w:r>
              <w:rPr>
                <w:sz w:val="16"/>
              </w:rPr>
              <w:t xml:space="preserve">Established (verl); emerging (others)</w:t>
            </w:r>
          </w:p>
        </w:tc>
        <w:tc>
          <w:tcPr>
            <w:tcW w:type="dxa" w:w="1183"/>
          </w:tcPr>
          <w:p>
            <w:pPr>
              <w:pStyle w:val="Compact"/>
              <w:spacing w:after="20" w:before="20"/>
            </w:pPr>
            <w:r>
              <w:rPr>
                <w:sz w:val="16"/>
              </w:rPr>
              <w:t xml:space="preserve">GitHub</w:t>
            </w:r>
          </w:p>
        </w:tc>
      </w:tr>
      <w:tr>
        <w:tc>
          <w:tcPr>
            <w:tcW w:type="dxa" w:w="1242"/>
            <w:shd w:val="clear" w:color="auto" w:fill="FAFAFA"/>
          </w:tcPr>
          <w:p>
            <w:pPr>
              <w:pStyle w:val="Compact"/>
              <w:spacing w:after="20" w:before="20"/>
            </w:pPr>
            <w:r>
              <w:rPr>
                <w:sz w:val="16"/>
              </w:rPr>
              <w:t xml:space="preserve">Voyager skills [85]</w:t>
            </w:r>
          </w:p>
        </w:tc>
        <w:tc>
          <w:tcPr>
            <w:tcW w:type="dxa" w:w="1692"/>
            <w:shd w:val="clear" w:color="auto" w:fill="FAFAFA"/>
          </w:tcPr>
          <w:p>
            <w:pPr>
              <w:pStyle w:val="Compact"/>
              <w:spacing w:after="20" w:before="20"/>
            </w:pPr>
            <w:r>
              <w:rPr>
                <w:sz w:val="16"/>
              </w:rPr>
              <w:t xml:space="preserve">Skill library (code) learned from exploration</w:t>
            </w:r>
          </w:p>
        </w:tc>
        <w:tc>
          <w:tcPr>
            <w:tcW w:type="dxa" w:w="1219"/>
            <w:shd w:val="clear" w:color="auto" w:fill="FAFAFA"/>
          </w:tcPr>
          <w:p>
            <w:pPr>
              <w:pStyle w:val="Compact"/>
              <w:spacing w:after="20" w:before="20"/>
            </w:pPr>
            <w:r>
              <w:rPr>
                <w:sz w:val="16"/>
              </w:rPr>
              <w:t xml:space="preserve">Reusable skills</w:t>
            </w:r>
          </w:p>
        </w:tc>
        <w:tc>
          <w:tcPr>
            <w:tcW w:type="dxa" w:w="1183"/>
            <w:shd w:val="clear" w:color="auto" w:fill="FAFAFA"/>
          </w:tcPr>
          <w:p>
            <w:pPr>
              <w:pStyle w:val="Compact"/>
              <w:spacing w:after="20" w:before="20"/>
            </w:pPr>
            <w:r>
              <w:rPr>
                <w:sz w:val="16"/>
              </w:rPr>
              <w:t xml:space="preserve">Environment feedback</w:t>
            </w:r>
          </w:p>
        </w:tc>
        <w:tc>
          <w:tcPr>
            <w:tcW w:type="dxa" w:w="2090"/>
            <w:shd w:val="clear" w:color="auto" w:fill="FAFAFA"/>
          </w:tcPr>
          <w:p>
            <w:pPr>
              <w:pStyle w:val="Compact"/>
              <w:spacing w:after="20" w:before="20"/>
            </w:pPr>
            <w:r>
              <w:rPr>
                <w:sz w:val="16"/>
              </w:rPr>
              <w:t xml:space="preserve">3.3× more unique items and tech-tree milestones up to 15.3× faster than prior SOTA (Minecraft)</w:t>
            </w:r>
          </w:p>
        </w:tc>
        <w:tc>
          <w:tcPr>
            <w:tcW w:type="dxa" w:w="1183"/>
            <w:shd w:val="clear" w:color="auto" w:fill="FAFAFA"/>
          </w:tcPr>
          <w:p>
            <w:pPr>
              <w:pStyle w:val="Compact"/>
              <w:spacing w:after="20" w:before="20"/>
            </w:pPr>
            <w:r>
              <w:rPr>
                <w:sz w:val="16"/>
              </w:rPr>
              <w:t xml:space="preserve">Established</w:t>
            </w:r>
          </w:p>
        </w:tc>
        <w:tc>
          <w:tcPr>
            <w:tcW w:type="dxa" w:w="1183"/>
            <w:shd w:val="clear" w:color="auto" w:fill="FAFAFA"/>
          </w:tcPr>
          <w:p>
            <w:pPr>
              <w:pStyle w:val="Compact"/>
              <w:spacing w:after="20" w:before="20"/>
            </w:pPr>
            <w:r>
              <w:rPr>
                <w:sz w:val="16"/>
              </w:rPr>
              <w:t xml:space="preserve">github.com/MineDojo/Voyager</w:t>
            </w:r>
          </w:p>
        </w:tc>
      </w:tr>
      <w:tr>
        <w:tc>
          <w:tcPr>
            <w:tcW w:type="dxa" w:w="1242"/>
          </w:tcPr>
          <w:p>
            <w:pPr>
              <w:pStyle w:val="Compact"/>
              <w:spacing w:after="20" w:before="20"/>
            </w:pPr>
            <w:r>
              <w:rPr>
                <w:sz w:val="16"/>
              </w:rPr>
              <w:t xml:space="preserve">Agent Workflow Memory [89]</w:t>
            </w:r>
          </w:p>
        </w:tc>
        <w:tc>
          <w:tcPr>
            <w:tcW w:type="dxa" w:w="1692"/>
          </w:tcPr>
          <w:p>
            <w:pPr>
              <w:pStyle w:val="Compact"/>
              <w:spacing w:after="20" w:before="20"/>
            </w:pPr>
            <w:r>
              <w:rPr>
                <w:sz w:val="16"/>
              </w:rPr>
              <w:t xml:space="preserve">Induce reusable workflows</w:t>
            </w:r>
          </w:p>
        </w:tc>
        <w:tc>
          <w:tcPr>
            <w:tcW w:type="dxa" w:w="1219"/>
          </w:tcPr>
          <w:p>
            <w:pPr>
              <w:pStyle w:val="Compact"/>
              <w:spacing w:after="20" w:before="20"/>
            </w:pPr>
            <w:r>
              <w:rPr>
                <w:sz w:val="16"/>
              </w:rPr>
              <w:t xml:space="preserve">Memory</w:t>
            </w:r>
          </w:p>
        </w:tc>
        <w:tc>
          <w:tcPr>
            <w:tcW w:type="dxa" w:w="1183"/>
          </w:tcPr>
          <w:p>
            <w:pPr>
              <w:pStyle w:val="Compact"/>
              <w:spacing w:after="20" w:before="20"/>
            </w:pPr>
            <w:r>
              <w:rPr>
                <w:sz w:val="16"/>
              </w:rPr>
              <w:t xml:space="preserve">Success signal</w:t>
            </w:r>
          </w:p>
        </w:tc>
        <w:tc>
          <w:tcPr>
            <w:tcW w:type="dxa" w:w="2090"/>
          </w:tcPr>
          <w:p>
            <w:pPr>
              <w:pStyle w:val="Compact"/>
              <w:spacing w:after="20" w:before="20"/>
            </w:pPr>
            <w:r>
              <w:rPr>
                <w:sz w:val="16"/>
              </w:rPr>
              <w:t xml:space="preserve">+24.6% and +51.1% relative on Mind2Web and WebArena</w:t>
            </w:r>
          </w:p>
        </w:tc>
        <w:tc>
          <w:tcPr>
            <w:tcW w:type="dxa" w:w="1183"/>
          </w:tcPr>
          <w:p>
            <w:pPr>
              <w:pStyle w:val="Compact"/>
              <w:spacing w:after="20" w:before="20"/>
            </w:pPr>
            <w:r>
              <w:rPr>
                <w:sz w:val="16"/>
              </w:rPr>
              <w:t xml:space="preserve">Established</w:t>
            </w:r>
          </w:p>
        </w:tc>
        <w:tc>
          <w:tcPr>
            <w:tcW w:type="dxa" w:w="1183"/>
          </w:tcPr>
          <w:p>
            <w:pPr>
              <w:pStyle w:val="Compact"/>
              <w:spacing w:after="20" w:before="20"/>
            </w:pPr>
            <w:r>
              <w:rPr>
                <w:sz w:val="16"/>
              </w:rPr>
              <w:t xml:space="preserve">Paper code</w:t>
            </w:r>
          </w:p>
        </w:tc>
      </w:tr>
      <w:tr>
        <w:tc>
          <w:tcPr>
            <w:tcW w:type="dxa" w:w="1242"/>
            <w:shd w:val="clear" w:color="auto" w:fill="FAFAFA"/>
          </w:tcPr>
          <w:p>
            <w:pPr>
              <w:pStyle w:val="Compact"/>
              <w:spacing w:after="20" w:before="20"/>
            </w:pPr>
            <w:r>
              <w:rPr>
                <w:sz w:val="16"/>
              </w:rPr>
              <w:t xml:space="preserve">Dynamic Cheatsheet [87]</w:t>
            </w:r>
          </w:p>
        </w:tc>
        <w:tc>
          <w:tcPr>
            <w:tcW w:type="dxa" w:w="1692"/>
            <w:shd w:val="clear" w:color="auto" w:fill="FAFAFA"/>
          </w:tcPr>
          <w:p>
            <w:pPr>
              <w:pStyle w:val="Compact"/>
              <w:spacing w:after="20" w:before="20"/>
            </w:pPr>
            <w:r>
              <w:rPr>
                <w:sz w:val="16"/>
              </w:rPr>
              <w:t xml:space="preserve">Test-time adaptive memory</w:t>
            </w:r>
          </w:p>
        </w:tc>
        <w:tc>
          <w:tcPr>
            <w:tcW w:type="dxa" w:w="1219"/>
            <w:shd w:val="clear" w:color="auto" w:fill="FAFAFA"/>
          </w:tcPr>
          <w:p>
            <w:pPr>
              <w:pStyle w:val="Compact"/>
              <w:spacing w:after="20" w:before="20"/>
            </w:pPr>
            <w:r>
              <w:rPr>
                <w:sz w:val="16"/>
              </w:rPr>
              <w:t xml:space="preserve">Curated strategies</w:t>
            </w:r>
          </w:p>
        </w:tc>
        <w:tc>
          <w:tcPr>
            <w:tcW w:type="dxa" w:w="1183"/>
            <w:shd w:val="clear" w:color="auto" w:fill="FAFAFA"/>
          </w:tcPr>
          <w:p>
            <w:pPr>
              <w:pStyle w:val="Compact"/>
              <w:spacing w:after="20" w:before="20"/>
            </w:pPr>
            <w:r>
              <w:rPr>
                <w:sz w:val="16"/>
              </w:rPr>
              <w:t xml:space="preserve">Self-assessment</w:t>
            </w:r>
          </w:p>
        </w:tc>
        <w:tc>
          <w:tcPr>
            <w:tcW w:type="dxa" w:w="2090"/>
            <w:shd w:val="clear" w:color="auto" w:fill="FAFAFA"/>
          </w:tcPr>
          <w:p>
            <w:pPr>
              <w:pStyle w:val="Compact"/>
              <w:spacing w:after="20" w:before="20"/>
            </w:pPr>
            <w:r>
              <w:rPr>
                <w:sz w:val="16"/>
              </w:rPr>
              <w:t xml:space="preserve">Game of 24: 10% to 99% (GPT-4o)</w:t>
            </w:r>
          </w:p>
        </w:tc>
        <w:tc>
          <w:tcPr>
            <w:tcW w:type="dxa" w:w="1183"/>
            <w:shd w:val="clear" w:color="auto" w:fill="FAFAFA"/>
          </w:tcPr>
          <w:p>
            <w:pPr>
              <w:pStyle w:val="Compact"/>
              <w:spacing w:after="20" w:before="20"/>
            </w:pPr>
            <w:r>
              <w:rPr>
                <w:sz w:val="16"/>
              </w:rPr>
              <w:t xml:space="preserve">Emerging</w:t>
            </w:r>
          </w:p>
        </w:tc>
        <w:tc>
          <w:tcPr>
            <w:tcW w:type="dxa" w:w="1183"/>
            <w:shd w:val="clear" w:color="auto" w:fill="FAFAFA"/>
          </w:tcPr>
          <w:p>
            <w:pPr>
              <w:pStyle w:val="Compact"/>
              <w:spacing w:after="20" w:before="20"/>
            </w:pPr>
            <w:r>
              <w:rPr>
                <w:sz w:val="16"/>
              </w:rPr>
              <w:t xml:space="preserve">github.com/suzgunmirac/dynamic-cheatsheet</w:t>
            </w:r>
          </w:p>
        </w:tc>
      </w:tr>
      <w:tr>
        <w:tc>
          <w:tcPr>
            <w:tcW w:type="dxa" w:w="1242"/>
          </w:tcPr>
          <w:p>
            <w:pPr>
              <w:pStyle w:val="Compact"/>
              <w:spacing w:after="20" w:before="20"/>
            </w:pPr>
            <w:r>
              <w:rPr>
                <w:sz w:val="16"/>
              </w:rPr>
              <w:t xml:space="preserve">ReasoningBank [88]</w:t>
            </w:r>
          </w:p>
        </w:tc>
        <w:tc>
          <w:tcPr>
            <w:tcW w:type="dxa" w:w="1692"/>
          </w:tcPr>
          <w:p>
            <w:pPr>
              <w:pStyle w:val="Compact"/>
              <w:spacing w:after="20" w:before="20"/>
            </w:pPr>
            <w:r>
              <w:rPr>
                <w:sz w:val="16"/>
              </w:rPr>
              <w:t xml:space="preserve">Memory of strategies from successes and failures; memory-aware test-time scaling</w:t>
            </w:r>
          </w:p>
        </w:tc>
        <w:tc>
          <w:tcPr>
            <w:tcW w:type="dxa" w:w="1219"/>
          </w:tcPr>
          <w:p>
            <w:pPr>
              <w:pStyle w:val="Compact"/>
              <w:spacing w:after="20" w:before="20"/>
            </w:pPr>
            <w:r>
              <w:rPr>
                <w:sz w:val="16"/>
              </w:rPr>
              <w:t xml:space="preserve">Memory</w:t>
            </w:r>
          </w:p>
        </w:tc>
        <w:tc>
          <w:tcPr>
            <w:tcW w:type="dxa" w:w="1183"/>
          </w:tcPr>
          <w:p>
            <w:pPr>
              <w:pStyle w:val="Compact"/>
              <w:spacing w:after="20" w:before="20"/>
            </w:pPr>
            <w:r>
              <w:rPr>
                <w:sz w:val="16"/>
              </w:rPr>
              <w:t xml:space="preserve">Self-judged outcomes</w:t>
            </w:r>
          </w:p>
        </w:tc>
        <w:tc>
          <w:tcPr>
            <w:tcW w:type="dxa" w:w="2090"/>
          </w:tcPr>
          <w:p>
            <w:pPr>
              <w:pStyle w:val="Compact"/>
              <w:spacing w:after="20" w:before="20"/>
            </w:pPr>
            <w:r>
              <w:rPr>
                <w:sz w:val="16"/>
              </w:rPr>
              <w:t xml:space="preserve">Beats raw-trajectory memory on web and SWE tasks</w:t>
            </w:r>
          </w:p>
        </w:tc>
        <w:tc>
          <w:tcPr>
            <w:tcW w:type="dxa" w:w="1183"/>
          </w:tcPr>
          <w:p>
            <w:pPr>
              <w:pStyle w:val="Compact"/>
              <w:spacing w:after="20" w:before="20"/>
            </w:pPr>
            <w:r>
              <w:rPr>
                <w:sz w:val="16"/>
              </w:rPr>
              <w:t xml:space="preserve">Emerging</w:t>
            </w:r>
          </w:p>
        </w:tc>
        <w:tc>
          <w:tcPr>
            <w:tcW w:type="dxa" w:w="1183"/>
          </w:tcPr>
          <w:p>
            <w:pPr>
              <w:pStyle w:val="Compact"/>
              <w:spacing w:after="20" w:before="20"/>
            </w:pPr>
            <w:r>
              <w:rPr>
                <w:sz w:val="16"/>
              </w:rPr>
              <w:t xml:space="preserve">github.com/google-research/reasoning-bank</w:t>
            </w:r>
          </w:p>
        </w:tc>
      </w:tr>
      <w:tr>
        <w:tc>
          <w:tcPr>
            <w:tcW w:type="dxa" w:w="1242"/>
            <w:shd w:val="clear" w:color="auto" w:fill="FAFAFA"/>
          </w:tcPr>
          <w:p>
            <w:pPr>
              <w:pStyle w:val="Compact"/>
              <w:spacing w:after="20" w:before="20"/>
            </w:pPr>
            <w:r>
              <w:rPr>
                <w:sz w:val="16"/>
              </w:rPr>
              <w:t xml:space="preserve">ACE [86]</w:t>
            </w:r>
          </w:p>
        </w:tc>
        <w:tc>
          <w:tcPr>
            <w:tcW w:type="dxa" w:w="1692"/>
            <w:shd w:val="clear" w:color="auto" w:fill="FAFAFA"/>
          </w:tcPr>
          <w:p>
            <w:pPr>
              <w:pStyle w:val="Compact"/>
              <w:spacing w:after="20" w:before="20"/>
            </w:pPr>
            <w:r>
              <w:rPr>
                <w:sz w:val="16"/>
              </w:rPr>
              <w:t xml:space="preserve">Generate, reflect, curate an evolving</w:t>
            </w:r>
            <w:r>
              <w:rPr>
                <w:sz w:val="16"/>
              </w:rPr>
              <w:t xml:space="preserve"> </w:t>
            </w:r>
            <w:r>
              <w:rPr>
                <w:sz w:val="16"/>
              </w:rPr>
              <w:t xml:space="preserve">“playbook”</w:t>
            </w:r>
          </w:p>
        </w:tc>
        <w:tc>
          <w:tcPr>
            <w:tcW w:type="dxa" w:w="1219"/>
            <w:shd w:val="clear" w:color="auto" w:fill="FAFAFA"/>
          </w:tcPr>
          <w:p>
            <w:pPr>
              <w:pStyle w:val="Compact"/>
              <w:spacing w:after="20" w:before="20"/>
            </w:pPr>
            <w:r>
              <w:rPr>
                <w:sz w:val="16"/>
              </w:rPr>
              <w:t xml:space="preserve">System prompt and memory</w:t>
            </w:r>
          </w:p>
        </w:tc>
        <w:tc>
          <w:tcPr>
            <w:tcW w:type="dxa" w:w="1183"/>
            <w:shd w:val="clear" w:color="auto" w:fill="FAFAFA"/>
          </w:tcPr>
          <w:p>
            <w:pPr>
              <w:pStyle w:val="Compact"/>
              <w:spacing w:after="20" w:before="20"/>
            </w:pPr>
            <w:r>
              <w:rPr>
                <w:sz w:val="16"/>
              </w:rPr>
              <w:t xml:space="preserve">Execution feedback</w:t>
            </w:r>
          </w:p>
        </w:tc>
        <w:tc>
          <w:tcPr>
            <w:tcW w:type="dxa" w:w="2090"/>
            <w:shd w:val="clear" w:color="auto" w:fill="FAFAFA"/>
          </w:tcPr>
          <w:p>
            <w:pPr>
              <w:pStyle w:val="Compact"/>
              <w:spacing w:after="20" w:before="20"/>
            </w:pPr>
            <w:r>
              <w:rPr>
                <w:sz w:val="16"/>
              </w:rPr>
              <w:t xml:space="preserve">+10.6% on agents, +8.6% on finance; avoids</w:t>
            </w:r>
            <w:r>
              <w:rPr>
                <w:sz w:val="16"/>
              </w:rPr>
              <w:t xml:space="preserve"> </w:t>
            </w:r>
            <w:r>
              <w:rPr>
                <w:sz w:val="16"/>
              </w:rPr>
              <w:t xml:space="preserve">“context collapse”</w:t>
            </w:r>
          </w:p>
        </w:tc>
        <w:tc>
          <w:tcPr>
            <w:tcW w:type="dxa" w:w="1183"/>
            <w:shd w:val="clear" w:color="auto" w:fill="FAFAFA"/>
          </w:tcPr>
          <w:p>
            <w:pPr>
              <w:pStyle w:val="Compact"/>
              <w:spacing w:after="20" w:before="20"/>
            </w:pPr>
            <w:r>
              <w:rPr>
                <w:sz w:val="16"/>
              </w:rPr>
              <w:t xml:space="preserve">Current SOTA for context engineering</w:t>
            </w:r>
          </w:p>
        </w:tc>
        <w:tc>
          <w:tcPr>
            <w:tcW w:type="dxa" w:w="1183"/>
            <w:shd w:val="clear" w:color="auto" w:fill="FAFAFA"/>
          </w:tcPr>
          <w:p>
            <w:pPr>
              <w:pStyle w:val="Compact"/>
              <w:spacing w:after="20" w:before="20"/>
            </w:pPr>
            <w:r>
              <w:rPr>
                <w:sz w:val="16"/>
              </w:rPr>
              <w:t xml:space="preserve">github.com/ace-agent/ace</w:t>
            </w:r>
          </w:p>
        </w:tc>
      </w:tr>
      <w:tr>
        <w:tc>
          <w:tcPr>
            <w:tcW w:type="dxa" w:w="1242"/>
          </w:tcPr>
          <w:p>
            <w:pPr>
              <w:pStyle w:val="Compact"/>
              <w:spacing w:after="20" w:before="20"/>
            </w:pPr>
            <w:r>
              <w:rPr>
                <w:sz w:val="16"/>
              </w:rPr>
              <w:t xml:space="preserve">Context engineering practice [90]</w:t>
            </w:r>
          </w:p>
        </w:tc>
        <w:tc>
          <w:tcPr>
            <w:tcW w:type="dxa" w:w="1692"/>
          </w:tcPr>
          <w:p>
            <w:pPr>
              <w:pStyle w:val="Compact"/>
              <w:spacing w:after="20" w:before="20"/>
            </w:pPr>
            <w:r>
              <w:rPr>
                <w:sz w:val="16"/>
              </w:rPr>
              <w:t xml:space="preserve">Design discipline</w:t>
            </w:r>
          </w:p>
        </w:tc>
        <w:tc>
          <w:tcPr>
            <w:tcW w:type="dxa" w:w="1219"/>
          </w:tcPr>
          <w:p>
            <w:pPr>
              <w:pStyle w:val="Compact"/>
              <w:spacing w:after="20" w:before="20"/>
            </w:pPr>
            <w:r>
              <w:rPr>
                <w:sz w:val="16"/>
              </w:rPr>
              <w:t xml:space="preserve">Context selection, compaction, sub-agents</w:t>
            </w:r>
          </w:p>
        </w:tc>
        <w:tc>
          <w:tcPr>
            <w:tcW w:type="dxa" w:w="1183"/>
          </w:tcPr>
          <w:p>
            <w:pPr>
              <w:pStyle w:val="Compact"/>
              <w:spacing w:after="20" w:before="20"/>
            </w:pPr>
            <w:r>
              <w:rPr>
                <w:sz w:val="16"/>
              </w:rPr>
              <w:t xml:space="preserve">n/a</w:t>
            </w:r>
          </w:p>
        </w:tc>
        <w:tc>
          <w:tcPr>
            <w:tcW w:type="dxa" w:w="2090"/>
          </w:tcPr>
          <w:p>
            <w:pPr>
              <w:pStyle w:val="Compact"/>
              <w:spacing w:after="20" w:before="20"/>
            </w:pPr>
            <w:r>
              <w:rPr>
                <w:sz w:val="16"/>
              </w:rPr>
              <w:t xml:space="preserve">Practitioner guidance</w:t>
            </w:r>
          </w:p>
        </w:tc>
        <w:tc>
          <w:tcPr>
            <w:tcW w:type="dxa" w:w="1183"/>
          </w:tcPr>
          <w:p>
            <w:pPr>
              <w:pStyle w:val="Compact"/>
              <w:spacing w:after="20" w:before="20"/>
            </w:pPr>
            <w:r>
              <w:rPr>
                <w:sz w:val="16"/>
              </w:rPr>
              <w:t xml:space="preserve">Established practice</w:t>
            </w:r>
          </w:p>
        </w:tc>
        <w:tc>
          <w:tcPr>
            <w:tcW w:type="dxa" w:w="1183"/>
          </w:tcPr>
          <w:p>
            <w:pPr>
              <w:pStyle w:val="Compact"/>
              <w:spacing w:after="20" w:before="20"/>
            </w:pPr>
            <w:r>
              <w:rPr>
                <w:sz w:val="16"/>
              </w:rPr>
              <w:t xml:space="preserve">n/a</w:t>
            </w:r>
          </w:p>
        </w:tc>
      </w:tr>
      <w:tr>
        <w:tc>
          <w:tcPr>
            <w:tcW w:type="dxa" w:w="1242"/>
            <w:shd w:val="clear" w:color="auto" w:fill="FAFAFA"/>
          </w:tcPr>
          <w:p>
            <w:pPr>
              <w:pStyle w:val="Compact"/>
              <w:spacing w:after="20" w:before="20"/>
            </w:pPr>
            <w:r>
              <w:rPr>
                <w:sz w:val="16"/>
              </w:rPr>
              <w:t xml:space="preserve">Test-time compute [91, 92]</w:t>
            </w:r>
          </w:p>
        </w:tc>
        <w:tc>
          <w:tcPr>
            <w:tcW w:type="dxa" w:w="1692"/>
            <w:shd w:val="clear" w:color="auto" w:fill="FAFAFA"/>
          </w:tcPr>
          <w:p>
            <w:pPr>
              <w:pStyle w:val="Compact"/>
              <w:spacing w:after="20" w:before="20"/>
            </w:pPr>
            <w:r>
              <w:rPr>
                <w:sz w:val="16"/>
              </w:rPr>
              <w:t xml:space="preserve">Repeated sampling, verifiers, adaptive compute</w:t>
            </w:r>
          </w:p>
        </w:tc>
        <w:tc>
          <w:tcPr>
            <w:tcW w:type="dxa" w:w="1219"/>
            <w:shd w:val="clear" w:color="auto" w:fill="FAFAFA"/>
          </w:tcPr>
          <w:p>
            <w:pPr>
              <w:pStyle w:val="Compact"/>
              <w:spacing w:after="20" w:before="20"/>
            </w:pPr>
            <w:r>
              <w:rPr>
                <w:sz w:val="16"/>
              </w:rPr>
              <w:t xml:space="preserve">Inference budget</w:t>
            </w:r>
          </w:p>
        </w:tc>
        <w:tc>
          <w:tcPr>
            <w:tcW w:type="dxa" w:w="1183"/>
            <w:shd w:val="clear" w:color="auto" w:fill="FAFAFA"/>
          </w:tcPr>
          <w:p>
            <w:pPr>
              <w:pStyle w:val="Compact"/>
              <w:spacing w:after="20" w:before="20"/>
            </w:pPr>
            <w:r>
              <w:rPr>
                <w:sz w:val="16"/>
              </w:rPr>
              <w:t xml:space="preserve">Verifier</w:t>
            </w:r>
          </w:p>
        </w:tc>
        <w:tc>
          <w:tcPr>
            <w:tcW w:type="dxa" w:w="2090"/>
            <w:shd w:val="clear" w:color="auto" w:fill="FAFAFA"/>
          </w:tcPr>
          <w:p>
            <w:pPr>
              <w:pStyle w:val="Compact"/>
              <w:spacing w:after="20" w:before="20"/>
            </w:pPr>
            <w:r>
              <w:rPr>
                <w:sz w:val="16"/>
              </w:rPr>
              <w:t xml:space="preserve">Compute-optimal allocation &gt;4× more efficient than best-of-N; can outperform a 14× larger model on some problems</w:t>
            </w:r>
          </w:p>
        </w:tc>
        <w:tc>
          <w:tcPr>
            <w:tcW w:type="dxa" w:w="1183"/>
            <w:shd w:val="clear" w:color="auto" w:fill="FAFAFA"/>
          </w:tcPr>
          <w:p>
            <w:pPr>
              <w:pStyle w:val="Compact"/>
              <w:spacing w:after="20" w:before="20"/>
            </w:pPr>
            <w:r>
              <w:rPr>
                <w:sz w:val="16"/>
              </w:rPr>
              <w:t xml:space="preserve">Established</w:t>
            </w:r>
          </w:p>
        </w:tc>
        <w:tc>
          <w:tcPr>
            <w:tcW w:type="dxa" w:w="1183"/>
            <w:shd w:val="clear" w:color="auto" w:fill="FAFAFA"/>
          </w:tcPr>
          <w:p>
            <w:pPr>
              <w:pStyle w:val="Compact"/>
              <w:spacing w:after="20" w:before="20"/>
            </w:pPr>
            <w:r>
              <w:rPr>
                <w:sz w:val="16"/>
              </w:rPr>
              <w:t xml:space="preserve">n/a</w:t>
            </w:r>
          </w:p>
        </w:tc>
      </w:tr>
      <w:tr>
        <w:tc>
          <w:tcPr>
            <w:tcW w:type="dxa" w:w="1242"/>
          </w:tcPr>
          <w:p>
            <w:pPr>
              <w:pStyle w:val="Compact"/>
              <w:spacing w:after="20" w:before="20"/>
            </w:pPr>
            <w:r>
              <w:rPr>
                <w:sz w:val="16"/>
              </w:rPr>
              <w:t xml:space="preserve">Meta-Harness / AutoSaddler / HarnessCompass [63–65]</w:t>
            </w:r>
          </w:p>
        </w:tc>
        <w:tc>
          <w:tcPr>
            <w:tcW w:type="dxa" w:w="1692"/>
          </w:tcPr>
          <w:p>
            <w:pPr>
              <w:pStyle w:val="Compact"/>
              <w:spacing w:after="20" w:before="20"/>
            </w:pPr>
            <w:r>
              <w:rPr>
                <w:sz w:val="16"/>
              </w:rPr>
              <w:t xml:space="preserve">Agentic outer loop over harness code</w:t>
            </w:r>
          </w:p>
        </w:tc>
        <w:tc>
          <w:tcPr>
            <w:tcW w:type="dxa" w:w="1219"/>
          </w:tcPr>
          <w:p>
            <w:pPr>
              <w:pStyle w:val="Compact"/>
              <w:spacing w:after="20" w:before="20"/>
            </w:pPr>
            <w:r>
              <w:rPr>
                <w:sz w:val="16"/>
              </w:rPr>
              <w:t xml:space="preserve">Whole harness</w:t>
            </w:r>
          </w:p>
        </w:tc>
        <w:tc>
          <w:tcPr>
            <w:tcW w:type="dxa" w:w="1183"/>
          </w:tcPr>
          <w:p>
            <w:pPr>
              <w:pStyle w:val="Compact"/>
              <w:spacing w:after="20" w:before="20"/>
            </w:pPr>
            <w:r>
              <w:rPr>
                <w:sz w:val="16"/>
              </w:rPr>
              <w:t xml:space="preserve">Traces plus scores</w:t>
            </w:r>
          </w:p>
        </w:tc>
        <w:tc>
          <w:tcPr>
            <w:tcW w:type="dxa" w:w="2090"/>
          </w:tcPr>
          <w:p>
            <w:pPr>
              <w:pStyle w:val="Compact"/>
              <w:spacing w:after="20" w:before="20"/>
            </w:pPr>
            <w:r>
              <w:rPr>
                <w:sz w:val="16"/>
              </w:rPr>
              <w:t xml:space="preserve">+7.7 to +12 points on reported benchmarks</w:t>
            </w:r>
          </w:p>
        </w:tc>
        <w:tc>
          <w:tcPr>
            <w:tcW w:type="dxa" w:w="1183"/>
          </w:tcPr>
          <w:p>
            <w:pPr>
              <w:pStyle w:val="Compact"/>
              <w:spacing w:after="20" w:before="20"/>
            </w:pPr>
            <w:r>
              <w:rPr>
                <w:sz w:val="16"/>
              </w:rPr>
              <w:t xml:space="preserve">Emerging (2026)</w:t>
            </w:r>
          </w:p>
        </w:tc>
        <w:tc>
          <w:tcPr>
            <w:tcW w:type="dxa" w:w="1183"/>
          </w:tcPr>
          <w:p>
            <w:pPr>
              <w:pStyle w:val="Compact"/>
              <w:spacing w:after="20" w:before="20"/>
            </w:pPr>
            <w:r>
              <w:rPr>
                <w:sz w:val="16"/>
              </w:rPr>
              <w:t xml:space="preserve">Varies</w:t>
            </w:r>
          </w:p>
        </w:tc>
      </w:tr>
    </w:tbl>
    <w:bookmarkEnd w:id="32"/>
    <w:bookmarkStart w:id="33" w:name="unsolved-problems"/>
    <w:p>
      <w:pPr>
        <w:pStyle w:val="Heading1"/>
      </w:pPr>
      <w:r>
        <w:t xml:space="preserve">6. Unsolved problems</w:t>
      </w:r>
    </w:p>
    <w:p>
      <w:pPr>
        <w:pStyle w:val="Compact"/>
        <w:numPr>
          <w:ilvl w:val="0"/>
          <w:numId w:val="1012"/>
        </w:numPr>
      </w:pPr>
      <w:r>
        <w:rPr>
          <w:b/>
          <w:bCs/>
        </w:rPr>
        <w:t xml:space="preserve">Sim-to-real gap and simulation fidelity.</w:t>
      </w:r>
      <w:r>
        <w:t xml:space="preserve"> </w:t>
      </w:r>
      <w:r>
        <w:t xml:space="preserve">Optimisers exploit whatever the simulator gets wrong. User simulators and mocked tools are approximations; τ²-bench constrains its user simulator with tools and observable state to improve fidelity [21]. Agents also do markedly worse in dual-control settings than in no-user settings [21]. There is no standard metric for fidelity. We propose rank agreement between simulated and real outcomes across candidate harnesses (TA-18).</w:t>
      </w:r>
    </w:p>
    <w:p>
      <w:pPr>
        <w:pStyle w:val="Compact"/>
        <w:numPr>
          <w:ilvl w:val="0"/>
          <w:numId w:val="1012"/>
        </w:numPr>
      </w:pPr>
      <w:r>
        <w:rPr>
          <w:b/>
          <w:bCs/>
        </w:rPr>
        <w:t xml:space="preserve">Reward hacking.</w:t>
      </w:r>
      <w:r>
        <w:t xml:space="preserve"> </w:t>
      </w:r>
      <w:r>
        <w:t xml:space="preserve">Specification gaming is long documented [93]. Frontier models have been observed modifying tests or scoring code and finding loopholes [94]. Benchmark defects inflate scores by up to 100% in relative terms [96].</w:t>
      </w:r>
    </w:p>
    <w:p>
      <w:pPr>
        <w:pStyle w:val="Compact"/>
        <w:numPr>
          <w:ilvl w:val="0"/>
          <w:numId w:val="1012"/>
        </w:numPr>
      </w:pPr>
      <w:r>
        <w:rPr>
          <w:b/>
          <w:bCs/>
        </w:rPr>
        <w:t xml:space="preserve">Judge reliability.</w:t>
      </w:r>
      <w:r>
        <w:t xml:space="preserve"> </w:t>
      </w:r>
      <w:r>
        <w:t xml:space="preserve">Judges are biased and lenient, and can show high percent agreement while assigning very different scores [48, 49]. Calibration transfers poorly across tasks.</w:t>
      </w:r>
    </w:p>
    <w:p>
      <w:pPr>
        <w:pStyle w:val="Compact"/>
        <w:numPr>
          <w:ilvl w:val="0"/>
          <w:numId w:val="1012"/>
        </w:numPr>
      </w:pPr>
      <w:r>
        <w:rPr>
          <w:b/>
          <w:bCs/>
        </w:rPr>
        <w:t xml:space="preserve">Non-stationary tools and APIs.</w:t>
      </w:r>
      <w:r>
        <w:t xml:space="preserve"> </w:t>
      </w:r>
      <w:r>
        <w:t xml:space="preserve">Tool schemas, data and APIs change, and dynamic ground truth breaks static evaluation [6, 11]. Lucidic’s SDK detects tool drift by source hash (POC plan, Section 2.2). How optimised harnesses degrade under drift is largely unstudied.</w:t>
      </w:r>
    </w:p>
    <w:p>
      <w:pPr>
        <w:pStyle w:val="Compact"/>
        <w:numPr>
          <w:ilvl w:val="0"/>
          <w:numId w:val="1012"/>
        </w:numPr>
      </w:pPr>
      <w:r>
        <w:rPr>
          <w:b/>
          <w:bCs/>
        </w:rPr>
        <w:t xml:space="preserve">Long-horizon credit assignment.</w:t>
      </w:r>
      <w:r>
        <w:t xml:space="preserve"> </w:t>
      </w:r>
      <w:r>
        <w:t xml:space="preserve">Locating the decisive error step is hard even for frontier models [34]. Hierarchical credit assignment is an active area [80, 83].</w:t>
      </w:r>
    </w:p>
    <w:p>
      <w:pPr>
        <w:pStyle w:val="Compact"/>
        <w:numPr>
          <w:ilvl w:val="0"/>
          <w:numId w:val="1012"/>
        </w:numPr>
      </w:pPr>
      <w:r>
        <w:rPr>
          <w:b/>
          <w:bCs/>
        </w:rPr>
        <w:t xml:space="preserve">Overfitting to evaluation sets.</w:t>
      </w:r>
      <w:r>
        <w:t xml:space="preserve"> </w:t>
      </w:r>
      <w:r>
        <w:t xml:space="preserve">Agent benchmarks often lack adequate hold-outs [95]. Harness evolution overfits the evolution tasks [65] and saturates early [66].</w:t>
      </w:r>
    </w:p>
    <w:p>
      <w:pPr>
        <w:pStyle w:val="Compact"/>
        <w:numPr>
          <w:ilvl w:val="0"/>
          <w:numId w:val="1012"/>
        </w:numPr>
      </w:pPr>
      <w:r>
        <w:rPr>
          <w:b/>
          <w:bCs/>
        </w:rPr>
        <w:t xml:space="preserve">Multi-objective trade-offs.</w:t>
      </w:r>
      <w:r>
        <w:t xml:space="preserve"> </w:t>
      </w:r>
      <w:r>
        <w:t xml:space="preserve">Accuracy gains often cost steps and tokens [14]. Cost must be optimised jointly [95], and safety and policy compliance are hard constraints, not weights.</w:t>
      </w:r>
    </w:p>
    <w:p>
      <w:pPr>
        <w:pStyle w:val="Compact"/>
        <w:numPr>
          <w:ilvl w:val="0"/>
          <w:numId w:val="1012"/>
        </w:numPr>
      </w:pPr>
      <w:r>
        <w:rPr>
          <w:b/>
          <w:bCs/>
        </w:rPr>
        <w:t xml:space="preserve">Compositional generalisation across use cases.</w:t>
      </w:r>
      <w:r>
        <w:t xml:space="preserve"> </w:t>
      </w:r>
      <w:r>
        <w:t xml:space="preserve">Gains vary substantially across tasks [66, 67]. Whether a harness learned for IT helpdesk transfers to rep assist is untested.</w:t>
      </w:r>
    </w:p>
    <w:p>
      <w:pPr>
        <w:pStyle w:val="Compact"/>
        <w:numPr>
          <w:ilvl w:val="0"/>
          <w:numId w:val="1012"/>
        </w:numPr>
      </w:pPr>
      <w:r>
        <w:rPr>
          <w:b/>
          <w:bCs/>
        </w:rPr>
        <w:t xml:space="preserve">Joint harness and weight co-optimisation.</w:t>
      </w:r>
      <w:r>
        <w:t xml:space="preserve"> </w:t>
      </w:r>
      <w:r>
        <w:t xml:space="preserve">Alternating prompt and weight steps helps [77], and Lucidic claims co-training beats either alone [98]. But order effects, interference between components [65], and attribution of gains remain open.</w:t>
      </w:r>
    </w:p>
    <w:p>
      <w:pPr>
        <w:pStyle w:val="Compact"/>
        <w:numPr>
          <w:ilvl w:val="0"/>
          <w:numId w:val="1012"/>
        </w:numPr>
      </w:pPr>
      <w:r>
        <w:rPr>
          <w:b/>
          <w:bCs/>
        </w:rPr>
        <w:t xml:space="preserve">Evaluating the optimisers themselves.</w:t>
      </w:r>
      <w:r>
        <w:t xml:space="preserve"> </w:t>
      </w:r>
      <w:r>
        <w:t xml:space="preserve">HarnessOpt-Bench and Evo-Bench were created because the field lacked a protocol; both find large variance across tasks and seeds [66, 67].</w:t>
      </w:r>
    </w:p>
    <w:p>
      <w:pPr>
        <w:pStyle w:val="FirstParagraph"/>
      </w:pPr>
      <w:r>
        <w:rPr>
          <w:b/>
          <w:bCs/>
        </w:rPr>
        <w:t xml:space="preserve">Where the field may lead (our assessment).</w:t>
      </w:r>
    </w:p>
    <w:p>
      <w:pPr>
        <w:pStyle w:val="Compact"/>
        <w:numPr>
          <w:ilvl w:val="0"/>
          <w:numId w:val="1013"/>
        </w:numPr>
      </w:pPr>
      <w:r>
        <w:t xml:space="preserve">Optimisers that read full traces and code rather than scalar scores [61, 63].</w:t>
      </w:r>
    </w:p>
    <w:p>
      <w:pPr>
        <w:pStyle w:val="Compact"/>
        <w:numPr>
          <w:ilvl w:val="0"/>
          <w:numId w:val="1013"/>
        </w:numPr>
      </w:pPr>
      <w:r>
        <w:t xml:space="preserve">Generalisation-aware selection and constrained edit surfaces as standard [64, 65].</w:t>
      </w:r>
    </w:p>
    <w:p>
      <w:pPr>
        <w:pStyle w:val="Compact"/>
        <w:numPr>
          <w:ilvl w:val="0"/>
          <w:numId w:val="1013"/>
        </w:numPr>
      </w:pPr>
      <w:r>
        <w:t xml:space="preserve">Agentic retrieval over tools and skills as the default MCP pattern [8, 13, 18].</w:t>
      </w:r>
    </w:p>
    <w:p>
      <w:pPr>
        <w:pStyle w:val="Compact"/>
        <w:numPr>
          <w:ilvl w:val="0"/>
          <w:numId w:val="1013"/>
        </w:numPr>
      </w:pPr>
      <w:r>
        <w:t xml:space="preserve">Memory and playbooks that accumulate across deployments [86, 88].</w:t>
      </w:r>
    </w:p>
    <w:p>
      <w:pPr>
        <w:pStyle w:val="Compact"/>
        <w:numPr>
          <w:ilvl w:val="0"/>
          <w:numId w:val="1013"/>
        </w:numPr>
      </w:pPr>
      <w:r>
        <w:t xml:space="preserve">Joint search over routing, harness and weights under explicit cost and safety constraints [27, 31, 77].</w:t>
      </w:r>
    </w:p>
    <w:p>
      <w:pPr>
        <w:pStyle w:val="Compact"/>
        <w:numPr>
          <w:ilvl w:val="0"/>
          <w:numId w:val="1013"/>
        </w:numPr>
      </w:pPr>
      <w:r>
        <w:t xml:space="preserve">Audited, sealed evaluation boundaries becoming a procurement expectation [67].</w:t>
      </w:r>
    </w:p>
    <w:bookmarkEnd w:id="33"/>
    <w:bookmarkStart w:id="40" w:name="Xd690c191a4774ce2a340f86a6f0885711604e99"/>
    <w:p>
      <w:pPr>
        <w:pStyle w:val="Heading1"/>
      </w:pPr>
      <w:r>
        <w:t xml:space="preserve">7. Research-rigour questions for Lucidic, as POC test areas</w:t>
      </w:r>
    </w:p>
    <w:bookmarkStart w:id="34" w:name="metrics-ta-18"/>
    <w:p>
      <w:pPr>
        <w:pStyle w:val="Heading2"/>
      </w:pPr>
      <w:r>
        <w:t xml:space="preserve">7.1 Metrics (TA-18)</w:t>
      </w:r>
    </w:p>
    <w:p>
      <w:pPr>
        <w:pStyle w:val="FirstParagraph"/>
      </w:pPr>
      <w:r>
        <w:t xml:space="preserve">Lucidic should report, per task and per stratum, with confidence intervals:</w:t>
      </w:r>
    </w:p>
    <w:p>
      <w:pPr>
        <w:pStyle w:val="Compact"/>
        <w:numPr>
          <w:ilvl w:val="0"/>
          <w:numId w:val="1014"/>
        </w:numPr>
      </w:pPr>
      <w:r>
        <w:t xml:space="preserve">task success (strict and partial);</w:t>
      </w:r>
    </w:p>
    <w:p>
      <w:pPr>
        <w:pStyle w:val="Compact"/>
        <w:numPr>
          <w:ilvl w:val="0"/>
          <w:numId w:val="1014"/>
        </w:numPr>
      </w:pPr>
      <w:r>
        <w:t xml:space="preserve">tool-selection precision and recall, and argument accuracy;</w:t>
      </w:r>
    </w:p>
    <w:p>
      <w:pPr>
        <w:pStyle w:val="Compact"/>
        <w:numPr>
          <w:ilvl w:val="0"/>
          <w:numId w:val="1014"/>
        </w:numPr>
      </w:pPr>
      <w:r>
        <w:t xml:space="preserve">step efficiency (steps and tokens per success);</w:t>
      </w:r>
    </w:p>
    <w:p>
      <w:pPr>
        <w:pStyle w:val="Compact"/>
        <w:numPr>
          <w:ilvl w:val="0"/>
          <w:numId w:val="1014"/>
        </w:numPr>
      </w:pPr>
      <w:r>
        <w:t xml:space="preserve">cost per resolved task and latency p50/p95, both from Kairos;</w:t>
      </w:r>
    </w:p>
    <w:p>
      <w:pPr>
        <w:pStyle w:val="Compact"/>
        <w:numPr>
          <w:ilvl w:val="0"/>
          <w:numId w:val="1014"/>
        </w:numPr>
      </w:pPr>
      <w:r>
        <w:t xml:space="preserve">safety and policy violations;</w:t>
      </w:r>
    </w:p>
    <w:p>
      <w:pPr>
        <w:pStyle w:val="Compact"/>
        <w:numPr>
          <w:ilvl w:val="0"/>
          <w:numId w:val="1014"/>
        </w:numPr>
      </w:pPr>
      <w:r>
        <w:t xml:space="preserve">pass^k reliability (k = 1, 4, 8) as in τ-bench [20].</w:t>
      </w:r>
    </w:p>
    <w:p>
      <w:pPr>
        <w:pStyle w:val="FirstParagraph"/>
      </w:pPr>
      <w:r>
        <w:rPr>
          <w:i/>
          <w:iCs/>
        </w:rPr>
        <w:t xml:space="preserve">Question:</w:t>
      </w:r>
      <w:r>
        <w:t xml:space="preserve"> </w:t>
      </w:r>
      <w:r>
        <w:t xml:space="preserve">how were these computed in the τ²-bench, ServiceNow and Cresta results [99, 100]? Lucidic should share per-task outputs, pass^k figures, the splits used, and whether the empty-response issue reported for τ-bench [96] was controlled.</w:t>
      </w:r>
    </w:p>
    <w:bookmarkEnd w:id="34"/>
    <w:bookmarkStart w:id="35" w:name="task-taxonomy"/>
    <w:p>
      <w:pPr>
        <w:pStyle w:val="Heading2"/>
      </w:pPr>
      <w:r>
        <w:t xml:space="preserve">7.2 Task taxonomy</w:t>
      </w:r>
    </w:p>
    <w:p>
      <w:pPr>
        <w:pStyle w:val="FirstParagraph"/>
      </w:pPr>
      <w:r>
        <w:rPr>
          <w:i/>
          <w:iCs/>
        </w:rPr>
        <w:t xml:space="preserve">Question:</w:t>
      </w:r>
      <w:r>
        <w:t xml:space="preserve"> </w:t>
      </w:r>
      <w:r>
        <w:t xml:space="preserve">how does Lucidic categorise use cases? Proposed Verizon taxonomy for stratification:</w:t>
      </w:r>
    </w:p>
    <w:p>
      <w:pPr>
        <w:pStyle w:val="Compact"/>
        <w:numPr>
          <w:ilvl w:val="0"/>
          <w:numId w:val="1015"/>
        </w:numPr>
      </w:pPr>
      <w:r>
        <w:t xml:space="preserve">intent class;</w:t>
      </w:r>
    </w:p>
    <w:p>
      <w:pPr>
        <w:pStyle w:val="Compact"/>
        <w:numPr>
          <w:ilvl w:val="0"/>
          <w:numId w:val="1015"/>
        </w:numPr>
      </w:pPr>
      <w:r>
        <w:t xml:space="preserve">tool dependency (none, single, multi, interdependent);</w:t>
      </w:r>
    </w:p>
    <w:p>
      <w:pPr>
        <w:pStyle w:val="Compact"/>
        <w:numPr>
          <w:ilvl w:val="0"/>
          <w:numId w:val="1015"/>
        </w:numPr>
      </w:pPr>
      <w:r>
        <w:t xml:space="preserve">horizon (turns, tool calls);</w:t>
      </w:r>
    </w:p>
    <w:p>
      <w:pPr>
        <w:pStyle w:val="Compact"/>
        <w:numPr>
          <w:ilvl w:val="0"/>
          <w:numId w:val="1015"/>
        </w:numPr>
      </w:pPr>
      <w:r>
        <w:t xml:space="preserve">control mode (agent-only vs dual-control, as in τ²-bench [21]);</w:t>
      </w:r>
    </w:p>
    <w:p>
      <w:pPr>
        <w:pStyle w:val="Compact"/>
        <w:numPr>
          <w:ilvl w:val="0"/>
          <w:numId w:val="1015"/>
        </w:numPr>
      </w:pPr>
      <w:r>
        <w:t xml:space="preserve">data sensitivity tier;</w:t>
      </w:r>
    </w:p>
    <w:p>
      <w:pPr>
        <w:pStyle w:val="Compact"/>
        <w:numPr>
          <w:ilvl w:val="0"/>
          <w:numId w:val="1015"/>
        </w:numPr>
      </w:pPr>
      <w:r>
        <w:t xml:space="preserve">reversibility of actions (read-only vs write).</w:t>
      </w:r>
    </w:p>
    <w:bookmarkEnd w:id="35"/>
    <w:bookmarkStart w:id="36" w:name="optimisation-objective-and-signal-ta-16"/>
    <w:p>
      <w:pPr>
        <w:pStyle w:val="Heading2"/>
      </w:pPr>
      <w:r>
        <w:t xml:space="preserve">7.3 Optimisation objective and signal (TA-16)</w:t>
      </w:r>
    </w:p>
    <w:p>
      <w:pPr>
        <w:pStyle w:val="FirstParagraph"/>
      </w:pPr>
      <w:r>
        <w:rPr>
          <w:i/>
          <w:iCs/>
        </w:rPr>
        <w:t xml:space="preserve">Questions:</w:t>
      </w:r>
    </w:p>
    <w:p>
      <w:pPr>
        <w:pStyle w:val="Compact"/>
        <w:numPr>
          <w:ilvl w:val="0"/>
          <w:numId w:val="1016"/>
        </w:numPr>
      </w:pPr>
      <w:r>
        <w:t xml:space="preserve">What exactly is the reward? A rule-based outcome, an LLM judge (which model and rubric), human labels, or a mixture?</w:t>
      </w:r>
    </w:p>
    <w:p>
      <w:pPr>
        <w:pStyle w:val="Compact"/>
        <w:numPr>
          <w:ilvl w:val="0"/>
          <w:numId w:val="1016"/>
        </w:numPr>
      </w:pPr>
      <w:r>
        <w:t xml:space="preserve">How is the judge calibrated, and against how many human labels?</w:t>
      </w:r>
    </w:p>
    <w:p>
      <w:pPr>
        <w:pStyle w:val="Compact"/>
        <w:numPr>
          <w:ilvl w:val="0"/>
          <w:numId w:val="1016"/>
        </w:numPr>
      </w:pPr>
      <w:r>
        <w:t xml:space="preserve">How are cost, latency and safety combined (weights, constraints, or a Pareto front)?</w:t>
      </w:r>
    </w:p>
    <w:p>
      <w:pPr>
        <w:pStyle w:val="Compact"/>
        <w:numPr>
          <w:ilvl w:val="0"/>
          <w:numId w:val="1016"/>
        </w:numPr>
      </w:pPr>
      <w:r>
        <w:t xml:space="preserve">What prevents the optimiser from seeing or influencing the evaluator?</w:t>
      </w:r>
    </w:p>
    <w:bookmarkEnd w:id="36"/>
    <w:bookmarkStart w:id="37" w:name="baselines-ta-18"/>
    <w:p>
      <w:pPr>
        <w:pStyle w:val="Heading2"/>
      </w:pPr>
      <w:r>
        <w:t xml:space="preserve">7.4 Baselines (TA-18)</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050"/>
        <w:gridCol w:w="5061"/>
        <w:gridCol w:w="3679"/>
      </w:tblGrid>
      <w:tr>
        <w:trPr>
          <w:tblHeader w:val="on"/>
          <w:tblHeader w:val="true"/>
        </w:trPr>
        <w:tc>
          <w:tcPr>
            <w:tcW w:type="dxa" w:w="1051"/>
            <w:shd w:val="clear" w:color="auto" w:fill="1F1F1F"/>
          </w:tcPr>
          <w:p>
            <w:pPr>
              <w:pStyle w:val="Compact"/>
              <w:spacing w:after="20" w:before="20"/>
            </w:pPr>
            <w:r>
              <w:rPr>
                <w:b/>
                <w:color w:val="FFFFFF"/>
                <w:sz w:val="18"/>
              </w:rPr>
              <w:t xml:space="preserve">ID</w:t>
            </w:r>
          </w:p>
        </w:tc>
        <w:tc>
          <w:tcPr>
            <w:tcW w:type="dxa" w:w="5061"/>
            <w:shd w:val="clear" w:color="auto" w:fill="1F1F1F"/>
          </w:tcPr>
          <w:p>
            <w:pPr>
              <w:pStyle w:val="Compact"/>
              <w:spacing w:after="20" w:before="20"/>
            </w:pPr>
            <w:r>
              <w:rPr>
                <w:b/>
                <w:color w:val="FFFFFF"/>
                <w:sz w:val="18"/>
              </w:rPr>
              <w:t xml:space="preserve">Baseline</w:t>
            </w:r>
          </w:p>
        </w:tc>
        <w:tc>
          <w:tcPr>
            <w:tcW w:type="dxa" w:w="3680"/>
            <w:shd w:val="clear" w:color="auto" w:fill="1F1F1F"/>
          </w:tcPr>
          <w:p>
            <w:pPr>
              <w:pStyle w:val="Compact"/>
              <w:spacing w:after="20" w:before="20"/>
            </w:pPr>
            <w:r>
              <w:rPr>
                <w:b/>
                <w:color w:val="FFFFFF"/>
                <w:sz w:val="18"/>
              </w:rPr>
              <w:t xml:space="preserve">Purpose</w:t>
            </w:r>
          </w:p>
        </w:tc>
      </w:tr>
      <w:tr>
        <w:tc>
          <w:tcPr>
            <w:tcW w:type="dxa" w:w="1051"/>
          </w:tcPr>
          <w:p>
            <w:pPr>
              <w:pStyle w:val="Compact"/>
              <w:spacing w:after="20" w:before="20"/>
            </w:pPr>
            <w:r>
              <w:rPr>
                <w:sz w:val="18"/>
              </w:rPr>
              <w:t xml:space="preserve">B0</w:t>
            </w:r>
          </w:p>
        </w:tc>
        <w:tc>
          <w:tcPr>
            <w:tcW w:type="dxa" w:w="5061"/>
          </w:tcPr>
          <w:p>
            <w:pPr>
              <w:pStyle w:val="Compact"/>
              <w:spacing w:after="20" w:before="20"/>
            </w:pPr>
            <w:r>
              <w:rPr>
                <w:sz w:val="18"/>
              </w:rPr>
              <w:t xml:space="preserve">Current production harness and model, route-pinned</w:t>
            </w:r>
          </w:p>
        </w:tc>
        <w:tc>
          <w:tcPr>
            <w:tcW w:type="dxa" w:w="3680"/>
          </w:tcPr>
          <w:p>
            <w:pPr>
              <w:pStyle w:val="Compact"/>
              <w:spacing w:after="20" w:before="20"/>
            </w:pPr>
            <w:r>
              <w:rPr>
                <w:sz w:val="18"/>
              </w:rPr>
              <w:t xml:space="preserve">Status quo</w:t>
            </w:r>
          </w:p>
        </w:tc>
      </w:tr>
      <w:tr>
        <w:tc>
          <w:tcPr>
            <w:tcW w:type="dxa" w:w="1051"/>
            <w:shd w:val="clear" w:color="auto" w:fill="FAFAFA"/>
          </w:tcPr>
          <w:p>
            <w:pPr>
              <w:pStyle w:val="Compact"/>
              <w:spacing w:after="20" w:before="20"/>
            </w:pPr>
            <w:r>
              <w:rPr>
                <w:sz w:val="18"/>
              </w:rPr>
              <w:t xml:space="preserve">B1</w:t>
            </w:r>
          </w:p>
        </w:tc>
        <w:tc>
          <w:tcPr>
            <w:tcW w:type="dxa" w:w="5061"/>
            <w:shd w:val="clear" w:color="auto" w:fill="FAFAFA"/>
          </w:tcPr>
          <w:p>
            <w:pPr>
              <w:pStyle w:val="Compact"/>
              <w:spacing w:after="20" w:before="20"/>
            </w:pPr>
            <w:r>
              <w:rPr>
                <w:sz w:val="18"/>
              </w:rPr>
              <w:t xml:space="preserve">Best hand-tuned prompt (Verizon engineers, time-boxed to [N] days)</w:t>
            </w:r>
          </w:p>
        </w:tc>
        <w:tc>
          <w:tcPr>
            <w:tcW w:type="dxa" w:w="3680"/>
            <w:shd w:val="clear" w:color="auto" w:fill="FAFAFA"/>
          </w:tcPr>
          <w:p>
            <w:pPr>
              <w:pStyle w:val="Compact"/>
              <w:spacing w:after="20" w:before="20"/>
            </w:pPr>
            <w:r>
              <w:rPr>
                <w:sz w:val="18"/>
              </w:rPr>
              <w:t xml:space="preserve">Value over expert effort</w:t>
            </w:r>
          </w:p>
        </w:tc>
      </w:tr>
      <w:tr>
        <w:tc>
          <w:tcPr>
            <w:tcW w:type="dxa" w:w="1051"/>
          </w:tcPr>
          <w:p>
            <w:pPr>
              <w:pStyle w:val="Compact"/>
              <w:spacing w:after="20" w:before="20"/>
            </w:pPr>
            <w:r>
              <w:rPr>
                <w:sz w:val="18"/>
              </w:rPr>
              <w:t xml:space="preserve">B2</w:t>
            </w:r>
          </w:p>
        </w:tc>
        <w:tc>
          <w:tcPr>
            <w:tcW w:type="dxa" w:w="5061"/>
          </w:tcPr>
          <w:p>
            <w:pPr>
              <w:pStyle w:val="Compact"/>
              <w:spacing w:after="20" w:before="20"/>
            </w:pPr>
            <w:r>
              <w:rPr>
                <w:sz w:val="18"/>
              </w:rPr>
              <w:t xml:space="preserve">Open-source optimiser (DSPy MIPROv2 and GEPA) on the same data, simulator, reward and rollout budget</w:t>
            </w:r>
          </w:p>
        </w:tc>
        <w:tc>
          <w:tcPr>
            <w:tcW w:type="dxa" w:w="3680"/>
          </w:tcPr>
          <w:p>
            <w:pPr>
              <w:pStyle w:val="Compact"/>
              <w:spacing w:after="20" w:before="20"/>
            </w:pPr>
            <w:r>
              <w:rPr>
                <w:sz w:val="18"/>
              </w:rPr>
              <w:t xml:space="preserve">Value over free tooling</w:t>
            </w:r>
          </w:p>
        </w:tc>
      </w:tr>
      <w:tr>
        <w:tc>
          <w:tcPr>
            <w:tcW w:type="dxa" w:w="1051"/>
            <w:shd w:val="clear" w:color="auto" w:fill="FAFAFA"/>
          </w:tcPr>
          <w:p>
            <w:pPr>
              <w:pStyle w:val="Compact"/>
              <w:spacing w:after="20" w:before="20"/>
            </w:pPr>
            <w:r>
              <w:rPr>
                <w:sz w:val="18"/>
              </w:rPr>
              <w:t xml:space="preserve">B3</w:t>
            </w:r>
          </w:p>
        </w:tc>
        <w:tc>
          <w:tcPr>
            <w:tcW w:type="dxa" w:w="5061"/>
            <w:shd w:val="clear" w:color="auto" w:fill="FAFAFA"/>
          </w:tcPr>
          <w:p>
            <w:pPr>
              <w:pStyle w:val="Compact"/>
              <w:spacing w:after="20" w:before="20"/>
            </w:pPr>
            <w:r>
              <w:rPr>
                <w:sz w:val="18"/>
              </w:rPr>
              <w:t xml:space="preserve">Untuned frontier model via Kairos</w:t>
            </w:r>
          </w:p>
        </w:tc>
        <w:tc>
          <w:tcPr>
            <w:tcW w:type="dxa" w:w="3680"/>
            <w:shd w:val="clear" w:color="auto" w:fill="FAFAFA"/>
          </w:tcPr>
          <w:p>
            <w:pPr>
              <w:pStyle w:val="Compact"/>
              <w:spacing w:after="20" w:before="20"/>
            </w:pPr>
            <w:r>
              <w:rPr>
                <w:sz w:val="18"/>
              </w:rPr>
              <w:t xml:space="preserve">Value over</w:t>
            </w:r>
            <w:r>
              <w:rPr>
                <w:sz w:val="18"/>
              </w:rPr>
              <w:t xml:space="preserve"> </w:t>
            </w:r>
            <w:r>
              <w:rPr>
                <w:sz w:val="18"/>
              </w:rPr>
              <w:t xml:space="preserve">“just use a bigger model”</w:t>
            </w:r>
          </w:p>
        </w:tc>
      </w:tr>
      <w:tr>
        <w:tc>
          <w:tcPr>
            <w:tcW w:type="dxa" w:w="1051"/>
          </w:tcPr>
          <w:p>
            <w:pPr>
              <w:pStyle w:val="Compact"/>
              <w:spacing w:after="20" w:before="20"/>
            </w:pPr>
            <w:r>
              <w:rPr>
                <w:sz w:val="18"/>
              </w:rPr>
              <w:t xml:space="preserve">B4</w:t>
            </w:r>
          </w:p>
        </w:tc>
        <w:tc>
          <w:tcPr>
            <w:tcW w:type="dxa" w:w="5061"/>
          </w:tcPr>
          <w:p>
            <w:pPr>
              <w:pStyle w:val="Compact"/>
              <w:spacing w:after="20" w:before="20"/>
            </w:pPr>
            <w:r>
              <w:rPr>
                <w:sz w:val="18"/>
              </w:rPr>
              <w:t xml:space="preserve">B3 plus B2</w:t>
            </w:r>
          </w:p>
        </w:tc>
        <w:tc>
          <w:tcPr>
            <w:tcW w:type="dxa" w:w="3680"/>
          </w:tcPr>
          <w:p>
            <w:pPr>
              <w:pStyle w:val="Compact"/>
              <w:spacing w:after="20" w:before="20"/>
            </w:pPr>
            <w:r>
              <w:rPr>
                <w:sz w:val="18"/>
              </w:rPr>
              <w:t xml:space="preserve">Strongest low-lock-in alternative</w:t>
            </w:r>
          </w:p>
        </w:tc>
      </w:tr>
      <w:tr>
        <w:tc>
          <w:tcPr>
            <w:tcW w:type="dxa" w:w="1051"/>
            <w:shd w:val="clear" w:color="auto" w:fill="FAFAFA"/>
          </w:tcPr>
          <w:p>
            <w:pPr>
              <w:pStyle w:val="Compact"/>
              <w:spacing w:after="20" w:before="20"/>
            </w:pPr>
            <w:r>
              <w:rPr>
                <w:sz w:val="18"/>
              </w:rPr>
              <w:t xml:space="preserve">B5</w:t>
            </w:r>
          </w:p>
        </w:tc>
        <w:tc>
          <w:tcPr>
            <w:tcW w:type="dxa" w:w="5061"/>
            <w:shd w:val="clear" w:color="auto" w:fill="FAFAFA"/>
          </w:tcPr>
          <w:p>
            <w:pPr>
              <w:pStyle w:val="Compact"/>
              <w:spacing w:after="20" w:before="20"/>
            </w:pPr>
            <w:r>
              <w:rPr>
                <w:sz w:val="18"/>
              </w:rPr>
              <w:t xml:space="preserve">Weights-only SFT on filtered successful traces</w:t>
            </w:r>
          </w:p>
        </w:tc>
        <w:tc>
          <w:tcPr>
            <w:tcW w:type="dxa" w:w="3680"/>
            <w:shd w:val="clear" w:color="auto" w:fill="FAFAFA"/>
          </w:tcPr>
          <w:p>
            <w:pPr>
              <w:pStyle w:val="Compact"/>
              <w:spacing w:after="20" w:before="20"/>
            </w:pPr>
            <w:r>
              <w:rPr>
                <w:sz w:val="18"/>
              </w:rPr>
              <w:t xml:space="preserve">Value of RL and co-training over simple fine-tuning</w:t>
            </w:r>
          </w:p>
        </w:tc>
      </w:tr>
    </w:tbl>
    <w:p>
      <w:pPr>
        <w:pStyle w:val="BodyText"/>
      </w:pPr>
      <w:r>
        <w:t xml:space="preserve">All comparisons use the</w:t>
      </w:r>
      <w:r>
        <w:t xml:space="preserve"> </w:t>
      </w:r>
      <w:r>
        <w:rPr>
          <w:b/>
          <w:bCs/>
        </w:rPr>
        <w:t xml:space="preserve">sealed time-split test set</w:t>
      </w:r>
      <w:r>
        <w:t xml:space="preserve">,</w:t>
      </w:r>
      <w:r>
        <w:t xml:space="preserve"> </w:t>
      </w:r>
      <w:r>
        <w:rPr>
          <w:b/>
          <w:bCs/>
        </w:rPr>
        <w:t xml:space="preserve">paired per-task analysis</w:t>
      </w:r>
      <w:r>
        <w:t xml:space="preserve">, bootstrap confidence intervals clustered by session, a</w:t>
      </w:r>
      <w:r>
        <w:t xml:space="preserve"> </w:t>
      </w:r>
      <w:r>
        <w:rPr>
          <w:b/>
          <w:bCs/>
        </w:rPr>
        <w:t xml:space="preserve">pre-registered primary metric</w:t>
      </w:r>
      <w:r>
        <w:t xml:space="preserve">, and multiple-comparison correction [97]. Optimisation compute and dollar cost are reported alongside accuracy [95].</w:t>
      </w:r>
    </w:p>
    <w:bookmarkEnd w:id="37"/>
    <w:bookmarkStart w:id="38" w:name="proposed-verizon-evaluation-protocol"/>
    <w:p>
      <w:pPr>
        <w:pStyle w:val="Heading2"/>
      </w:pPr>
      <w:r>
        <w:t xml:space="preserve">7.5 Proposed Verizon evaluation protocol</w:t>
      </w:r>
    </w:p>
    <w:p>
      <w:pPr>
        <w:pStyle w:val="Compact"/>
        <w:numPr>
          <w:ilvl w:val="0"/>
          <w:numId w:val="1017"/>
        </w:numPr>
      </w:pPr>
      <w:r>
        <w:rPr>
          <w:b/>
          <w:bCs/>
        </w:rPr>
        <w:t xml:space="preserve">Pre-register</w:t>
      </w:r>
      <w:r>
        <w:t xml:space="preserve"> </w:t>
      </w:r>
      <w:r>
        <w:t xml:space="preserve">the primary metric, the strata, the thresholds, and the minimum detectable effect, with a sample-size calculation following [97].</w:t>
      </w:r>
    </w:p>
    <w:p>
      <w:pPr>
        <w:pStyle w:val="Compact"/>
        <w:numPr>
          <w:ilvl w:val="0"/>
          <w:numId w:val="1017"/>
        </w:numPr>
      </w:pPr>
      <w:r>
        <w:rPr>
          <w:b/>
          <w:bCs/>
        </w:rPr>
        <w:t xml:space="preserve">Build splits</w:t>
      </w:r>
      <w:r>
        <w:t xml:space="preserve"> </w:t>
      </w:r>
      <w:r>
        <w:t xml:space="preserve">by time, as in Section 3.4. Verizon holds the sealed test set.</w:t>
      </w:r>
    </w:p>
    <w:p>
      <w:pPr>
        <w:pStyle w:val="Compact"/>
        <w:numPr>
          <w:ilvl w:val="0"/>
          <w:numId w:val="1017"/>
        </w:numPr>
      </w:pPr>
      <w:r>
        <w:rPr>
          <w:b/>
          <w:bCs/>
        </w:rPr>
        <w:t xml:space="preserve">Validate the judge</w:t>
      </w:r>
      <w:r>
        <w:t xml:space="preserve"> </w:t>
      </w:r>
      <w:r>
        <w:t xml:space="preserve">on [N] SME-labelled sessions: κ ≥ [target], position-swap consistency, PPI-adjusted estimates [52].</w:t>
      </w:r>
    </w:p>
    <w:p>
      <w:pPr>
        <w:pStyle w:val="Compact"/>
        <w:numPr>
          <w:ilvl w:val="0"/>
          <w:numId w:val="1017"/>
        </w:numPr>
      </w:pPr>
      <w:r>
        <w:rPr>
          <w:b/>
          <w:bCs/>
        </w:rPr>
        <w:t xml:space="preserve">Validate the simulator.</w:t>
      </w:r>
      <w:r>
        <w:t xml:space="preserve"> </w:t>
      </w:r>
      <w:r>
        <w:t xml:space="preserve">Run B0 and at least [3] variants in both simulation and shadow. Require Kendall τ ≥ [target] between simulated and real rankings, and absolute gaps ≤ [X] pp.</w:t>
      </w:r>
    </w:p>
    <w:p>
      <w:pPr>
        <w:pStyle w:val="Compact"/>
        <w:numPr>
          <w:ilvl w:val="0"/>
          <w:numId w:val="1017"/>
        </w:numPr>
      </w:pPr>
      <w:r>
        <w:rPr>
          <w:b/>
          <w:bCs/>
        </w:rPr>
        <w:t xml:space="preserve">Run the budget-matched comparison</w:t>
      </w:r>
      <w:r>
        <w:t xml:space="preserve"> </w:t>
      </w:r>
      <w:r>
        <w:t xml:space="preserve">of B0–B5 and the Lucidic variants, with k ≥ [4] trials per task.</w:t>
      </w:r>
    </w:p>
    <w:p>
      <w:pPr>
        <w:pStyle w:val="Compact"/>
        <w:numPr>
          <w:ilvl w:val="0"/>
          <w:numId w:val="1017"/>
        </w:numPr>
      </w:pPr>
      <w:r>
        <w:rPr>
          <w:b/>
          <w:bCs/>
        </w:rPr>
        <w:t xml:space="preserve">Audit for reward hacking.</w:t>
      </w:r>
      <w:r>
        <w:t xml:space="preserve"> </w:t>
      </w:r>
      <w:r>
        <w:t xml:space="preserve">Review [N] top-scoring trajectories by hand; re-score with a held-out judge; check diffs against the edit surface.</w:t>
      </w:r>
    </w:p>
    <w:p>
      <w:pPr>
        <w:pStyle w:val="Compact"/>
        <w:numPr>
          <w:ilvl w:val="0"/>
          <w:numId w:val="1017"/>
        </w:numPr>
      </w:pPr>
      <w:r>
        <w:rPr>
          <w:b/>
          <w:bCs/>
        </w:rPr>
        <w:t xml:space="preserve">Verify on Verizon infrastructure.</w:t>
      </w:r>
      <w:r>
        <w:t xml:space="preserve"> </w:t>
      </w:r>
      <w:r>
        <w:t xml:space="preserve">Run the exported harness and weights behind Kairos on the sealed test set (POC plan, TA-08).</w:t>
      </w:r>
    </w:p>
    <w:p>
      <w:pPr>
        <w:pStyle w:val="Compact"/>
        <w:numPr>
          <w:ilvl w:val="0"/>
          <w:numId w:val="1017"/>
        </w:numPr>
      </w:pPr>
      <w:r>
        <w:rPr>
          <w:b/>
          <w:bCs/>
        </w:rPr>
        <w:t xml:space="preserve">Confirm prospectively</w:t>
      </w:r>
      <w:r>
        <w:t xml:space="preserve"> </w:t>
      </w:r>
      <w:r>
        <w:t xml:space="preserve">with [2] weeks of Kairos shadow traffic before any testimonial.</w:t>
      </w:r>
    </w:p>
    <w:bookmarkEnd w:id="38"/>
    <w:bookmarkStart w:id="39" w:name="ablation-plan"/>
    <w:p>
      <w:pPr>
        <w:pStyle w:val="Heading2"/>
      </w:pPr>
      <w:r>
        <w:t xml:space="preserve">7.6 Ablation plan</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056"/>
        <w:gridCol w:w="5020"/>
        <w:gridCol w:w="3715"/>
      </w:tblGrid>
      <w:tr>
        <w:trPr>
          <w:tblHeader w:val="on"/>
          <w:tblHeader w:val="true"/>
        </w:trPr>
        <w:tc>
          <w:tcPr>
            <w:tcW w:type="dxa" w:w="1056"/>
            <w:shd w:val="clear" w:color="auto" w:fill="1F1F1F"/>
          </w:tcPr>
          <w:p>
            <w:pPr>
              <w:pStyle w:val="Compact"/>
              <w:spacing w:after="20" w:before="20"/>
            </w:pPr>
            <w:r>
              <w:rPr>
                <w:b/>
                <w:color w:val="FFFFFF"/>
                <w:sz w:val="18"/>
              </w:rPr>
              <w:t xml:space="preserve">ID</w:t>
            </w:r>
          </w:p>
        </w:tc>
        <w:tc>
          <w:tcPr>
            <w:tcW w:type="dxa" w:w="5020"/>
            <w:shd w:val="clear" w:color="auto" w:fill="1F1F1F"/>
          </w:tcPr>
          <w:p>
            <w:pPr>
              <w:pStyle w:val="Compact"/>
              <w:spacing w:after="20" w:before="20"/>
            </w:pPr>
            <w:r>
              <w:rPr>
                <w:b/>
                <w:color w:val="FFFFFF"/>
                <w:sz w:val="18"/>
              </w:rPr>
              <w:t xml:space="preserve">Variant</w:t>
            </w:r>
          </w:p>
        </w:tc>
        <w:tc>
          <w:tcPr>
            <w:tcW w:type="dxa" w:w="3716"/>
            <w:shd w:val="clear" w:color="auto" w:fill="1F1F1F"/>
          </w:tcPr>
          <w:p>
            <w:pPr>
              <w:pStyle w:val="Compact"/>
              <w:spacing w:after="20" w:before="20"/>
            </w:pPr>
            <w:r>
              <w:rPr>
                <w:b/>
                <w:color w:val="FFFFFF"/>
                <w:sz w:val="18"/>
              </w:rPr>
              <w:t xml:space="preserve">Question answered</w:t>
            </w:r>
          </w:p>
        </w:tc>
      </w:tr>
      <w:tr>
        <w:tc>
          <w:tcPr>
            <w:tcW w:type="dxa" w:w="1056"/>
          </w:tcPr>
          <w:p>
            <w:pPr>
              <w:pStyle w:val="Compact"/>
              <w:spacing w:after="20" w:before="20"/>
            </w:pPr>
            <w:r>
              <w:rPr>
                <w:sz w:val="18"/>
              </w:rPr>
              <w:t xml:space="preserve">A1</w:t>
            </w:r>
          </w:p>
        </w:tc>
        <w:tc>
          <w:tcPr>
            <w:tcW w:type="dxa" w:w="5020"/>
          </w:tcPr>
          <w:p>
            <w:pPr>
              <w:pStyle w:val="Compact"/>
              <w:spacing w:after="20" w:before="20"/>
            </w:pPr>
            <w:r>
              <w:rPr>
                <w:sz w:val="18"/>
              </w:rPr>
              <w:t xml:space="preserve">Harness-only (production model fixed)</w:t>
            </w:r>
          </w:p>
        </w:tc>
        <w:tc>
          <w:tcPr>
            <w:tcW w:type="dxa" w:w="3716"/>
          </w:tcPr>
          <w:p>
            <w:pPr>
              <w:pStyle w:val="Compact"/>
              <w:spacing w:after="20" w:before="20"/>
            </w:pPr>
            <w:r>
              <w:rPr>
                <w:sz w:val="18"/>
              </w:rPr>
              <w:t xml:space="preserve">How much comes from the harness?</w:t>
            </w:r>
          </w:p>
        </w:tc>
      </w:tr>
      <w:tr>
        <w:tc>
          <w:tcPr>
            <w:tcW w:type="dxa" w:w="1056"/>
            <w:shd w:val="clear" w:color="auto" w:fill="FAFAFA"/>
          </w:tcPr>
          <w:p>
            <w:pPr>
              <w:pStyle w:val="Compact"/>
              <w:spacing w:after="20" w:before="20"/>
            </w:pPr>
            <w:r>
              <w:rPr>
                <w:sz w:val="18"/>
              </w:rPr>
              <w:t xml:space="preserve">A2</w:t>
            </w:r>
          </w:p>
        </w:tc>
        <w:tc>
          <w:tcPr>
            <w:tcW w:type="dxa" w:w="5020"/>
            <w:shd w:val="clear" w:color="auto" w:fill="FAFAFA"/>
          </w:tcPr>
          <w:p>
            <w:pPr>
              <w:pStyle w:val="Compact"/>
              <w:spacing w:after="20" w:before="20"/>
            </w:pPr>
            <w:r>
              <w:rPr>
                <w:sz w:val="18"/>
              </w:rPr>
              <w:t xml:space="preserve">Weights-only (production harness fixed)</w:t>
            </w:r>
          </w:p>
        </w:tc>
        <w:tc>
          <w:tcPr>
            <w:tcW w:type="dxa" w:w="3716"/>
            <w:shd w:val="clear" w:color="auto" w:fill="FAFAFA"/>
          </w:tcPr>
          <w:p>
            <w:pPr>
              <w:pStyle w:val="Compact"/>
              <w:spacing w:after="20" w:before="20"/>
            </w:pPr>
            <w:r>
              <w:rPr>
                <w:sz w:val="18"/>
              </w:rPr>
              <w:t xml:space="preserve">How much comes from the model?</w:t>
            </w:r>
          </w:p>
        </w:tc>
      </w:tr>
      <w:tr>
        <w:tc>
          <w:tcPr>
            <w:tcW w:type="dxa" w:w="1056"/>
          </w:tcPr>
          <w:p>
            <w:pPr>
              <w:pStyle w:val="Compact"/>
              <w:spacing w:after="20" w:before="20"/>
            </w:pPr>
            <w:r>
              <w:rPr>
                <w:sz w:val="18"/>
              </w:rPr>
              <w:t xml:space="preserve">A3</w:t>
            </w:r>
          </w:p>
        </w:tc>
        <w:tc>
          <w:tcPr>
            <w:tcW w:type="dxa" w:w="5020"/>
          </w:tcPr>
          <w:p>
            <w:pPr>
              <w:pStyle w:val="Compact"/>
              <w:spacing w:after="20" w:before="20"/>
            </w:pPr>
            <w:r>
              <w:rPr>
                <w:sz w:val="18"/>
              </w:rPr>
              <w:t xml:space="preserve">Joint (Lucidic co-training)</w:t>
            </w:r>
          </w:p>
        </w:tc>
        <w:tc>
          <w:tcPr>
            <w:tcW w:type="dxa" w:w="3716"/>
          </w:tcPr>
          <w:p>
            <w:pPr>
              <w:pStyle w:val="Compact"/>
              <w:spacing w:after="20" w:before="20"/>
            </w:pPr>
            <w:r>
              <w:rPr>
                <w:sz w:val="18"/>
              </w:rPr>
              <w:t xml:space="preserve">Is joint &gt; A1 + A2 (synergy), = (additive), or &lt; (interference)?</w:t>
            </w:r>
          </w:p>
        </w:tc>
      </w:tr>
      <w:tr>
        <w:tc>
          <w:tcPr>
            <w:tcW w:type="dxa" w:w="1056"/>
            <w:shd w:val="clear" w:color="auto" w:fill="FAFAFA"/>
          </w:tcPr>
          <w:p>
            <w:pPr>
              <w:pStyle w:val="Compact"/>
              <w:spacing w:after="20" w:before="20"/>
            </w:pPr>
            <w:r>
              <w:rPr>
                <w:sz w:val="18"/>
              </w:rPr>
              <w:t xml:space="preserve">A3-o</w:t>
            </w:r>
          </w:p>
        </w:tc>
        <w:tc>
          <w:tcPr>
            <w:tcW w:type="dxa" w:w="5020"/>
            <w:shd w:val="clear" w:color="auto" w:fill="FAFAFA"/>
          </w:tcPr>
          <w:p>
            <w:pPr>
              <w:pStyle w:val="Compact"/>
              <w:spacing w:after="20" w:before="20"/>
            </w:pPr>
            <w:r>
              <w:rPr>
                <w:sz w:val="18"/>
              </w:rPr>
              <w:t xml:space="preserve">Order variants: harness → weights → harness vs weights → harness</w:t>
            </w:r>
          </w:p>
        </w:tc>
        <w:tc>
          <w:tcPr>
            <w:tcW w:type="dxa" w:w="3716"/>
            <w:shd w:val="clear" w:color="auto" w:fill="FAFAFA"/>
          </w:tcPr>
          <w:p>
            <w:pPr>
              <w:pStyle w:val="Compact"/>
              <w:spacing w:after="20" w:before="20"/>
            </w:pPr>
            <w:r>
              <w:rPr>
                <w:sz w:val="18"/>
              </w:rPr>
              <w:t xml:space="preserve">Order effects [77]</w:t>
            </w:r>
          </w:p>
        </w:tc>
      </w:tr>
      <w:tr>
        <w:tc>
          <w:tcPr>
            <w:tcW w:type="dxa" w:w="1056"/>
          </w:tcPr>
          <w:p>
            <w:pPr>
              <w:pStyle w:val="Compact"/>
              <w:spacing w:after="20" w:before="20"/>
            </w:pPr>
            <w:r>
              <w:rPr>
                <w:sz w:val="18"/>
              </w:rPr>
              <w:t xml:space="preserve">A4</w:t>
            </w:r>
          </w:p>
        </w:tc>
        <w:tc>
          <w:tcPr>
            <w:tcW w:type="dxa" w:w="5020"/>
          </w:tcPr>
          <w:p>
            <w:pPr>
              <w:pStyle w:val="Compact"/>
              <w:spacing w:after="20" w:before="20"/>
            </w:pPr>
            <w:r>
              <w:rPr>
                <w:sz w:val="18"/>
              </w:rPr>
              <w:t xml:space="preserve">Joint minus memory / Training Modules</w:t>
            </w:r>
          </w:p>
        </w:tc>
        <w:tc>
          <w:tcPr>
            <w:tcW w:type="dxa" w:w="3716"/>
          </w:tcPr>
          <w:p>
            <w:pPr>
              <w:pStyle w:val="Compact"/>
              <w:spacing w:after="20" w:before="20"/>
            </w:pPr>
            <w:r>
              <w:rPr>
                <w:sz w:val="18"/>
              </w:rPr>
              <w:t xml:space="preserve">Value of memory</w:t>
            </w:r>
          </w:p>
        </w:tc>
      </w:tr>
      <w:tr>
        <w:tc>
          <w:tcPr>
            <w:tcW w:type="dxa" w:w="1056"/>
            <w:shd w:val="clear" w:color="auto" w:fill="FAFAFA"/>
          </w:tcPr>
          <w:p>
            <w:pPr>
              <w:pStyle w:val="Compact"/>
              <w:spacing w:after="20" w:before="20"/>
            </w:pPr>
            <w:r>
              <w:rPr>
                <w:sz w:val="18"/>
              </w:rPr>
              <w:t xml:space="preserve">A5a–e</w:t>
            </w:r>
          </w:p>
        </w:tc>
        <w:tc>
          <w:tcPr>
            <w:tcW w:type="dxa" w:w="5020"/>
            <w:shd w:val="clear" w:color="auto" w:fill="FAFAFA"/>
          </w:tcPr>
          <w:p>
            <w:pPr>
              <w:pStyle w:val="Compact"/>
              <w:spacing w:after="20" w:before="20"/>
            </w:pPr>
            <w:r>
              <w:rPr>
                <w:sz w:val="18"/>
              </w:rPr>
              <w:t xml:space="preserve">Single-component harness changes: system prompt; tool descriptions; tool set or retrieval; routing; guardrails and policies</w:t>
            </w:r>
          </w:p>
        </w:tc>
        <w:tc>
          <w:tcPr>
            <w:tcW w:type="dxa" w:w="3716"/>
            <w:shd w:val="clear" w:color="auto" w:fill="FAFAFA"/>
          </w:tcPr>
          <w:p>
            <w:pPr>
              <w:pStyle w:val="Compact"/>
              <w:spacing w:after="20" w:before="20"/>
            </w:pPr>
            <w:r>
              <w:rPr>
                <w:sz w:val="18"/>
              </w:rPr>
              <w:t xml:space="preserve">Attribution by component; interference [65]</w:t>
            </w:r>
          </w:p>
        </w:tc>
      </w:tr>
      <w:tr>
        <w:tc>
          <w:tcPr>
            <w:tcW w:type="dxa" w:w="1056"/>
          </w:tcPr>
          <w:p>
            <w:pPr>
              <w:pStyle w:val="Compact"/>
              <w:spacing w:after="20" w:before="20"/>
            </w:pPr>
            <w:r>
              <w:rPr>
                <w:sz w:val="18"/>
              </w:rPr>
              <w:t xml:space="preserve">A6</w:t>
            </w:r>
          </w:p>
        </w:tc>
        <w:tc>
          <w:tcPr>
            <w:tcW w:type="dxa" w:w="5020"/>
          </w:tcPr>
          <w:p>
            <w:pPr>
              <w:pStyle w:val="Compact"/>
              <w:spacing w:after="20" w:before="20"/>
            </w:pPr>
            <w:r>
              <w:rPr>
                <w:sz w:val="18"/>
              </w:rPr>
              <w:t xml:space="preserve">Harness transfer: optimise on use case 1, test on use case 2 (if run)</w:t>
            </w:r>
          </w:p>
        </w:tc>
        <w:tc>
          <w:tcPr>
            <w:tcW w:type="dxa" w:w="3716"/>
          </w:tcPr>
          <w:p>
            <w:pPr>
              <w:pStyle w:val="Compact"/>
              <w:spacing w:after="20" w:before="20"/>
            </w:pPr>
            <w:r>
              <w:rPr>
                <w:sz w:val="18"/>
              </w:rPr>
              <w:t xml:space="preserve">Compositional generalisation</w:t>
            </w:r>
          </w:p>
        </w:tc>
      </w:tr>
      <w:tr>
        <w:tc>
          <w:tcPr>
            <w:tcW w:type="dxa" w:w="1056"/>
            <w:shd w:val="clear" w:color="auto" w:fill="FAFAFA"/>
          </w:tcPr>
          <w:p>
            <w:pPr>
              <w:pStyle w:val="Compact"/>
              <w:spacing w:after="20" w:before="20"/>
            </w:pPr>
            <w:r>
              <w:rPr>
                <w:sz w:val="18"/>
              </w:rPr>
              <w:t xml:space="preserve">A7</w:t>
            </w:r>
          </w:p>
        </w:tc>
        <w:tc>
          <w:tcPr>
            <w:tcW w:type="dxa" w:w="5020"/>
            <w:shd w:val="clear" w:color="auto" w:fill="FAFAFA"/>
          </w:tcPr>
          <w:p>
            <w:pPr>
              <w:pStyle w:val="Compact"/>
              <w:spacing w:after="20" w:before="20"/>
            </w:pPr>
            <w:r>
              <w:rPr>
                <w:sz w:val="18"/>
              </w:rPr>
              <w:t xml:space="preserve">Budget sweep (25 / 50 / 100% of the rollout budget)</w:t>
            </w:r>
          </w:p>
        </w:tc>
        <w:tc>
          <w:tcPr>
            <w:tcW w:type="dxa" w:w="3716"/>
            <w:shd w:val="clear" w:color="auto" w:fill="FAFAFA"/>
          </w:tcPr>
          <w:p>
            <w:pPr>
              <w:pStyle w:val="Compact"/>
              <w:spacing w:after="20" w:before="20"/>
            </w:pPr>
            <w:r>
              <w:rPr>
                <w:sz w:val="18"/>
              </w:rPr>
              <w:t xml:space="preserve">Sample efficiency vs B2 [70]</w:t>
            </w:r>
          </w:p>
        </w:tc>
      </w:tr>
    </w:tbl>
    <w:bookmarkEnd w:id="39"/>
    <w:bookmarkEnd w:id="40"/>
    <w:bookmarkStart w:id="41" w:name="references"/>
    <w:p>
      <w:pPr>
        <w:pStyle w:val="Heading1"/>
      </w:pPr>
      <w:r>
        <w:t xml:space="preserve">8. References</w:t>
      </w:r>
    </w:p>
    <w:p>
      <w:pPr>
        <w:pStyle w:val="FirstParagraph"/>
      </w:pPr>
      <w:r>
        <w:t xml:space="preserve">All URLs accessed 12 October 2026. arXiv titles were confirmed on the arXiv abstract page.</w:t>
      </w:r>
    </w:p>
    <w:p>
      <w:pPr>
        <w:pStyle w:val="BodyText"/>
      </w:pPr>
      <w:r>
        <w:rPr>
          <w:b/>
          <w:bCs/>
        </w:rPr>
        <w:t xml:space="preserve">Tool selection and MCP</w:t>
      </w:r>
    </w:p>
    <w:p>
      <w:pPr>
        <w:pStyle w:val="Compact"/>
        <w:numPr>
          <w:ilvl w:val="0"/>
          <w:numId w:val="1018"/>
        </w:numPr>
      </w:pPr>
      <w:r>
        <w:t xml:space="preserve">Gan et al. </w:t>
      </w:r>
      <w:r>
        <w:rPr>
          <w:i/>
          <w:iCs/>
        </w:rPr>
        <w:t xml:space="preserve">RAG-MCP: Mitigating Prompt Bloat in LLM Tool Selection via Retrieval-Augmented Generation.</w:t>
      </w:r>
      <w:r>
        <w:t xml:space="preserve"> </w:t>
      </w:r>
      <w:r>
        <w:t xml:space="preserve">2025. https://arxiv.org/abs/2505.03275</w:t>
      </w:r>
    </w:p>
    <w:p>
      <w:pPr>
        <w:pStyle w:val="Compact"/>
        <w:numPr>
          <w:ilvl w:val="0"/>
          <w:numId w:val="1018"/>
        </w:numPr>
      </w:pPr>
      <w:r>
        <w:t xml:space="preserve">Shi et al. </w:t>
      </w:r>
      <w:r>
        <w:rPr>
          <w:i/>
          <w:iCs/>
        </w:rPr>
        <w:t xml:space="preserve">Retrieval Models Aren’t Tool-Savvy: Benchmarking Tool Retrieval for Large Language Models</w:t>
      </w:r>
      <w:r>
        <w:t xml:space="preserve"> </w:t>
      </w:r>
      <w:r>
        <w:t xml:space="preserve">(ToolRet). 2025. https://arxiv.org/abs/2503.01763 · https://github.com/mangopy/tool-retrieval-benchmark</w:t>
      </w:r>
    </w:p>
    <w:p>
      <w:pPr>
        <w:pStyle w:val="Compact"/>
        <w:numPr>
          <w:ilvl w:val="0"/>
          <w:numId w:val="1018"/>
        </w:numPr>
      </w:pPr>
      <w:r>
        <w:t xml:space="preserve">Patil et al. </w:t>
      </w:r>
      <w:r>
        <w:rPr>
          <w:i/>
          <w:iCs/>
        </w:rPr>
        <w:t xml:space="preserve">Gorilla: Large Language Model Connected with Massive APIs.</w:t>
      </w:r>
      <w:r>
        <w:t xml:space="preserve"> </w:t>
      </w:r>
      <w:r>
        <w:t xml:space="preserve">2023. https://arxiv.org/abs/2305.15334 · https://github.com/ShishirPatil/gorilla</w:t>
      </w:r>
    </w:p>
    <w:p>
      <w:pPr>
        <w:pStyle w:val="Compact"/>
        <w:numPr>
          <w:ilvl w:val="0"/>
          <w:numId w:val="1018"/>
        </w:numPr>
      </w:pPr>
      <w:r>
        <w:t xml:space="preserve">Qin et al. </w:t>
      </w:r>
      <w:r>
        <w:rPr>
          <w:i/>
          <w:iCs/>
        </w:rPr>
        <w:t xml:space="preserve">ToolLLM: Facilitating Large Language Models to Master 16000+ Real-world APIs.</w:t>
      </w:r>
      <w:r>
        <w:t xml:space="preserve"> </w:t>
      </w:r>
      <w:r>
        <w:t xml:space="preserve">2023. https://arxiv.org/abs/2307.16789 · https://github.com/OpenBMB/ToolBench</w:t>
      </w:r>
    </w:p>
    <w:p>
      <w:pPr>
        <w:pStyle w:val="Compact"/>
        <w:numPr>
          <w:ilvl w:val="0"/>
          <w:numId w:val="1018"/>
        </w:numPr>
      </w:pPr>
      <w:r>
        <w:t xml:space="preserve">Wang et al. </w:t>
      </w:r>
      <w:r>
        <w:rPr>
          <w:i/>
          <w:iCs/>
        </w:rPr>
        <w:t xml:space="preserve">MCP-Bench: Benchmarking Tool-Using LLM Agents with Complex Real-World Tasks via MCP Servers.</w:t>
      </w:r>
      <w:r>
        <w:t xml:space="preserve"> </w:t>
      </w:r>
      <w:r>
        <w:t xml:space="preserve">2025. https://arxiv.org/abs/2508.20453 · https://github.com/Accenture/mcp-bench</w:t>
      </w:r>
    </w:p>
    <w:p>
      <w:pPr>
        <w:pStyle w:val="Compact"/>
        <w:numPr>
          <w:ilvl w:val="0"/>
          <w:numId w:val="1018"/>
        </w:numPr>
      </w:pPr>
      <w:r>
        <w:t xml:space="preserve">Luo et al. </w:t>
      </w:r>
      <w:r>
        <w:rPr>
          <w:i/>
          <w:iCs/>
        </w:rPr>
        <w:t xml:space="preserve">MCP-Universe: Benchmarking Large Language Models with Real-World Model Context Protocol Servers.</w:t>
      </w:r>
      <w:r>
        <w:t xml:space="preserve"> </w:t>
      </w:r>
      <w:r>
        <w:t xml:space="preserve">2025. https://arxiv.org/abs/2508.14704 · https://github.com/SalesforceAIResearch/MCP-Universe</w:t>
      </w:r>
    </w:p>
    <w:p>
      <w:pPr>
        <w:pStyle w:val="Compact"/>
        <w:numPr>
          <w:ilvl w:val="0"/>
          <w:numId w:val="1018"/>
        </w:numPr>
      </w:pPr>
      <w:r>
        <w:t xml:space="preserve">Mo et al. </w:t>
      </w:r>
      <w:r>
        <w:rPr>
          <w:i/>
          <w:iCs/>
        </w:rPr>
        <w:t xml:space="preserve">LiveMCPBench: Can Agents Navigate an Ocean of MCP Tools?</w:t>
      </w:r>
      <w:r>
        <w:t xml:space="preserve"> </w:t>
      </w:r>
      <w:r>
        <w:t xml:space="preserve">2025. https://arxiv.org/abs/2508.01780 · https://github.com/icip-cas/LiveMCPBench</w:t>
      </w:r>
    </w:p>
    <w:p>
      <w:pPr>
        <w:pStyle w:val="Compact"/>
        <w:numPr>
          <w:ilvl w:val="0"/>
          <w:numId w:val="1018"/>
        </w:numPr>
      </w:pPr>
      <w:r>
        <w:t xml:space="preserve">Fei et al. </w:t>
      </w:r>
      <w:r>
        <w:rPr>
          <w:i/>
          <w:iCs/>
        </w:rPr>
        <w:t xml:space="preserve">MCP-Zero: Active Tool Discovery for Autonomous LLM Agents.</w:t>
      </w:r>
      <w:r>
        <w:t xml:space="preserve"> </w:t>
      </w:r>
      <w:r>
        <w:t xml:space="preserve">2025. https://arxiv.org/abs/2506.01056</w:t>
      </w:r>
    </w:p>
    <w:p>
      <w:pPr>
        <w:pStyle w:val="Compact"/>
        <w:numPr>
          <w:ilvl w:val="0"/>
          <w:numId w:val="1018"/>
        </w:numPr>
      </w:pPr>
      <w:r>
        <w:t xml:space="preserve">Lumer et al. </w:t>
      </w:r>
      <w:r>
        <w:rPr>
          <w:i/>
          <w:iCs/>
        </w:rPr>
        <w:t xml:space="preserve">Toolshed: Scale Tool-Equipped Agents with Advanced RAG-Tool Fusion and Tool Knowledge Bases.</w:t>
      </w:r>
      <w:r>
        <w:t xml:space="preserve"> </w:t>
      </w:r>
      <w:r>
        <w:t xml:space="preserve">2024. https://arxiv.org/abs/2410.14594</w:t>
      </w:r>
    </w:p>
    <w:p>
      <w:pPr>
        <w:pStyle w:val="Compact"/>
        <w:numPr>
          <w:ilvl w:val="0"/>
          <w:numId w:val="1018"/>
        </w:numPr>
      </w:pPr>
      <w:r>
        <w:t xml:space="preserve">Gaurav et al. </w:t>
      </w:r>
      <w:r>
        <w:rPr>
          <w:i/>
          <w:iCs/>
        </w:rPr>
        <w:t xml:space="preserve">Dynamic ReAct: Scalable Tool Selection for Large-Scale MCP Environments.</w:t>
      </w:r>
      <w:r>
        <w:t xml:space="preserve"> </w:t>
      </w:r>
      <w:r>
        <w:t xml:space="preserve">2025. https://arxiv.org/abs/2509.20386</w:t>
      </w:r>
    </w:p>
    <w:p>
      <w:pPr>
        <w:pStyle w:val="Compact"/>
        <w:numPr>
          <w:ilvl w:val="0"/>
          <w:numId w:val="1018"/>
        </w:numPr>
      </w:pPr>
      <w:r>
        <w:t xml:space="preserve">Li et al. </w:t>
      </w:r>
      <w:r>
        <w:rPr>
          <w:i/>
          <w:iCs/>
        </w:rPr>
        <w:t xml:space="preserve">ComplexMCP: Evaluation of LLM Agents in Dynamic, Interdependent, and Large-Scale Tool Sandbox.</w:t>
      </w:r>
      <w:r>
        <w:t xml:space="preserve"> </w:t>
      </w:r>
      <w:r>
        <w:t xml:space="preserve">2026. https://arxiv.org/abs/2605.10787</w:t>
      </w:r>
    </w:p>
    <w:p>
      <w:pPr>
        <w:pStyle w:val="Compact"/>
        <w:numPr>
          <w:ilvl w:val="0"/>
          <w:numId w:val="1018"/>
        </w:numPr>
      </w:pPr>
      <w:r>
        <w:t xml:space="preserve">Liu et al. </w:t>
      </w:r>
      <w:r>
        <w:rPr>
          <w:i/>
          <w:iCs/>
        </w:rPr>
        <w:t xml:space="preserve">MCPAgentBench: A Real-world Task Benchmark for Evaluating LLM Agent MCP Tool Use.</w:t>
      </w:r>
      <w:r>
        <w:t xml:space="preserve"> </w:t>
      </w:r>
      <w:r>
        <w:t xml:space="preserve">2025. https://arxiv.org/abs/2512.24565</w:t>
      </w:r>
    </w:p>
    <w:p>
      <w:pPr>
        <w:pStyle w:val="Compact"/>
        <w:numPr>
          <w:ilvl w:val="0"/>
          <w:numId w:val="1018"/>
        </w:numPr>
      </w:pPr>
      <w:r>
        <w:t xml:space="preserve">Tian et al. </w:t>
      </w:r>
      <w:r>
        <w:rPr>
          <w:i/>
          <w:iCs/>
        </w:rPr>
        <w:t xml:space="preserve">Toollery: Scaling LLM Agents to Thousands of Skills and Tools.</w:t>
      </w:r>
      <w:r>
        <w:t xml:space="preserve"> </w:t>
      </w:r>
      <w:r>
        <w:t xml:space="preserve">2026. https://arxiv.org/abs/2609.22218</w:t>
      </w:r>
    </w:p>
    <w:p>
      <w:pPr>
        <w:pStyle w:val="Compact"/>
        <w:numPr>
          <w:ilvl w:val="0"/>
          <w:numId w:val="1018"/>
        </w:numPr>
      </w:pPr>
      <w:r>
        <w:t xml:space="preserve">Hasan et al. </w:t>
      </w:r>
      <w:r>
        <w:rPr>
          <w:i/>
          <w:iCs/>
        </w:rPr>
        <w:t xml:space="preserve">Model Context Protocol (MCP) Tool Descriptions Are Smelly! Towards Improving AI Agent Efficiency with Augmented MCP Tool Descriptions.</w:t>
      </w:r>
      <w:r>
        <w:t xml:space="preserve"> </w:t>
      </w:r>
      <w:r>
        <w:t xml:space="preserve">2026. https://arxiv.org/abs/2602.14878</w:t>
      </w:r>
    </w:p>
    <w:p>
      <w:pPr>
        <w:pStyle w:val="Compact"/>
        <w:numPr>
          <w:ilvl w:val="0"/>
          <w:numId w:val="1018"/>
        </w:numPr>
      </w:pPr>
      <w:r>
        <w:t xml:space="preserve">Yuan et al. </w:t>
      </w:r>
      <w:r>
        <w:rPr>
          <w:i/>
          <w:iCs/>
        </w:rPr>
        <w:t xml:space="preserve">EASYTOOL: Enhancing LLM-based Agents with Concise Tool Instruction.</w:t>
      </w:r>
      <w:r>
        <w:t xml:space="preserve"> </w:t>
      </w:r>
      <w:r>
        <w:t xml:space="preserve">2024. https://arxiv.org/abs/2401.06201</w:t>
      </w:r>
    </w:p>
    <w:p>
      <w:pPr>
        <w:pStyle w:val="Compact"/>
        <w:numPr>
          <w:ilvl w:val="0"/>
          <w:numId w:val="1018"/>
        </w:numPr>
      </w:pPr>
      <w:r>
        <w:t xml:space="preserve">Qu et al. </w:t>
      </w:r>
      <w:r>
        <w:rPr>
          <w:i/>
          <w:iCs/>
        </w:rPr>
        <w:t xml:space="preserve">From Exploration to Mastery: Enabling LLMs to Master Tools via Self-Driven Interactions</w:t>
      </w:r>
      <w:r>
        <w:t xml:space="preserve"> </w:t>
      </w:r>
      <w:r>
        <w:t xml:space="preserve">(DRAFT). 2024. https://arxiv.org/abs/2410.08197</w:t>
      </w:r>
    </w:p>
    <w:p>
      <w:pPr>
        <w:pStyle w:val="Compact"/>
        <w:numPr>
          <w:ilvl w:val="0"/>
          <w:numId w:val="1018"/>
        </w:numPr>
      </w:pPr>
      <w:r>
        <w:t xml:space="preserve">Anthropic.</w:t>
      </w:r>
      <w:r>
        <w:t xml:space="preserve"> </w:t>
      </w:r>
      <w:r>
        <w:rPr>
          <w:i/>
          <w:iCs/>
        </w:rPr>
        <w:t xml:space="preserve">Writing effective tools for AI agents—using AI agents.</w:t>
      </w:r>
      <w:r>
        <w:t xml:space="preserve"> </w:t>
      </w:r>
      <w:r>
        <w:t xml:space="preserve">https://www.anthropic.com/engineering/writing-tools-for-agents</w:t>
      </w:r>
    </w:p>
    <w:p>
      <w:pPr>
        <w:pStyle w:val="Compact"/>
        <w:numPr>
          <w:ilvl w:val="0"/>
          <w:numId w:val="1018"/>
        </w:numPr>
      </w:pPr>
      <w:r>
        <w:t xml:space="preserve">Anthropic.</w:t>
      </w:r>
      <w:r>
        <w:t xml:space="preserve"> </w:t>
      </w:r>
      <w:r>
        <w:rPr>
          <w:i/>
          <w:iCs/>
        </w:rPr>
        <w:t xml:space="preserve">Tool search tool</w:t>
      </w:r>
      <w:r>
        <w:t xml:space="preserve"> </w:t>
      </w:r>
      <w:r>
        <w:t xml:space="preserve">(documentation) and</w:t>
      </w:r>
      <w:r>
        <w:t xml:space="preserve"> </w:t>
      </w:r>
      <w:r>
        <w:rPr>
          <w:i/>
          <w:iCs/>
        </w:rPr>
        <w:t xml:space="preserve">Introducing advanced tool use.</w:t>
      </w:r>
      <w:r>
        <w:t xml:space="preserve"> </w:t>
      </w:r>
      <w:r>
        <w:t xml:space="preserve">https://platform.claude.com/docs/en/agents-and-tools/tool-use/tool-search-tool · https://www.anthropic.com/engineering/advanced-tool-use</w:t>
      </w:r>
    </w:p>
    <w:p>
      <w:pPr>
        <w:pStyle w:val="Compact"/>
        <w:numPr>
          <w:ilvl w:val="0"/>
          <w:numId w:val="1018"/>
        </w:numPr>
      </w:pPr>
      <w:r>
        <w:t xml:space="preserve">Berkeley Function Calling Leaderboard (BFCL). https://gorilla.cs.berkeley.edu/leaderboard.html</w:t>
      </w:r>
    </w:p>
    <w:p>
      <w:pPr>
        <w:pStyle w:val="Compact"/>
        <w:numPr>
          <w:ilvl w:val="0"/>
          <w:numId w:val="1018"/>
        </w:numPr>
      </w:pPr>
      <w:r>
        <w:t xml:space="preserve">Yao et al. </w:t>
      </w:r>
      <w:r>
        <w:rPr>
          <w:i/>
          <w:iCs/>
        </w:rPr>
        <w:t xml:space="preserve">τ-bench: A Benchmark for Tool-Agent-User Interaction in Real-World Domains.</w:t>
      </w:r>
      <w:r>
        <w:t xml:space="preserve"> </w:t>
      </w:r>
      <w:r>
        <w:t xml:space="preserve">2024. https://arxiv.org/abs/2406.12045 · https://github.com/sierra-research/tau-bench</w:t>
      </w:r>
    </w:p>
    <w:p>
      <w:pPr>
        <w:pStyle w:val="Compact"/>
        <w:numPr>
          <w:ilvl w:val="0"/>
          <w:numId w:val="1018"/>
        </w:numPr>
      </w:pPr>
      <w:r>
        <w:t xml:space="preserve">Barres et al. </w:t>
      </w:r>
      <w:r>
        <w:rPr>
          <w:i/>
          <w:iCs/>
        </w:rPr>
        <w:t xml:space="preserve">τ²-Bench: Evaluating Conversational Agents in a Dual-Control Environment.</w:t>
      </w:r>
      <w:r>
        <w:t xml:space="preserve"> </w:t>
      </w:r>
      <w:r>
        <w:t xml:space="preserve">2025. https://arxiv.org/abs/2506.07982 · https://github.com/sierra-research/tau2-bench</w:t>
      </w:r>
    </w:p>
    <w:p>
      <w:pPr>
        <w:pStyle w:val="Compact"/>
        <w:numPr>
          <w:ilvl w:val="0"/>
          <w:numId w:val="1018"/>
        </w:numPr>
      </w:pPr>
      <w:r>
        <w:t xml:space="preserve">Yang et al. </w:t>
      </w:r>
      <w:r>
        <w:rPr>
          <w:i/>
          <w:iCs/>
        </w:rPr>
        <w:t xml:space="preserve">SWE-agent: Agent-Computer Interfaces Enable Automated Software Engineering.</w:t>
      </w:r>
      <w:r>
        <w:t xml:space="preserve"> </w:t>
      </w:r>
      <w:r>
        <w:t xml:space="preserve">2024. https://arxiv.org/abs/2405.15793 · https://github.com/SWE-agent/SWE-agent</w:t>
      </w:r>
    </w:p>
    <w:p>
      <w:pPr>
        <w:pStyle w:val="Compact"/>
        <w:numPr>
          <w:ilvl w:val="0"/>
          <w:numId w:val="1018"/>
        </w:numPr>
      </w:pPr>
      <w:r>
        <w:t xml:space="preserve">Model Context Protocol specification: Tools. https://modelcontextprotocol.io/specification/2025-06-18/server/tools</w:t>
      </w:r>
    </w:p>
    <w:p>
      <w:pPr>
        <w:pStyle w:val="FirstParagraph"/>
      </w:pPr>
      <w:r>
        <w:rPr>
          <w:b/>
          <w:bCs/>
        </w:rPr>
        <w:t xml:space="preserve">Routing and multi-agent systems</w:t>
      </w:r>
    </w:p>
    <w:p>
      <w:pPr>
        <w:pStyle w:val="Compact"/>
        <w:numPr>
          <w:ilvl w:val="0"/>
          <w:numId w:val="1019"/>
        </w:numPr>
      </w:pPr>
      <w:r>
        <w:t xml:space="preserve">Ong et al. </w:t>
      </w:r>
      <w:r>
        <w:rPr>
          <w:i/>
          <w:iCs/>
        </w:rPr>
        <w:t xml:space="preserve">RouteLLM: Learning to Route LLMs with Preference Data.</w:t>
      </w:r>
      <w:r>
        <w:t xml:space="preserve"> </w:t>
      </w:r>
      <w:r>
        <w:t xml:space="preserve">2024. https://arxiv.org/abs/2406.18665 · https://github.com/lm-sys/RouteLLM</w:t>
      </w:r>
    </w:p>
    <w:p>
      <w:pPr>
        <w:pStyle w:val="Compact"/>
        <w:numPr>
          <w:ilvl w:val="0"/>
          <w:numId w:val="1019"/>
        </w:numPr>
      </w:pPr>
      <w:r>
        <w:t xml:space="preserve">Chen et al. </w:t>
      </w:r>
      <w:r>
        <w:rPr>
          <w:i/>
          <w:iCs/>
        </w:rPr>
        <w:t xml:space="preserve">FrugalGPT.</w:t>
      </w:r>
      <w:r>
        <w:t xml:space="preserve"> </w:t>
      </w:r>
      <w:r>
        <w:t xml:space="preserve">2023. https://arxiv.org/abs/2305.05176</w:t>
      </w:r>
    </w:p>
    <w:p>
      <w:pPr>
        <w:pStyle w:val="Compact"/>
        <w:numPr>
          <w:ilvl w:val="0"/>
          <w:numId w:val="1019"/>
        </w:numPr>
      </w:pPr>
      <w:r>
        <w:t xml:space="preserve">Hu et al. </w:t>
      </w:r>
      <w:r>
        <w:rPr>
          <w:i/>
          <w:iCs/>
        </w:rPr>
        <w:t xml:space="preserve">RouterBench: A Benchmark for Multi-LLM Routing System.</w:t>
      </w:r>
      <w:r>
        <w:t xml:space="preserve"> </w:t>
      </w:r>
      <w:r>
        <w:t xml:space="preserve">2024. https://arxiv.org/abs/2403.12031</w:t>
      </w:r>
    </w:p>
    <w:p>
      <w:pPr>
        <w:pStyle w:val="Compact"/>
        <w:numPr>
          <w:ilvl w:val="0"/>
          <w:numId w:val="1019"/>
        </w:numPr>
      </w:pPr>
      <w:r>
        <w:t xml:space="preserve">Yue et al. </w:t>
      </w:r>
      <w:r>
        <w:rPr>
          <w:i/>
          <w:iCs/>
        </w:rPr>
        <w:t xml:space="preserve">MasRouter: Learning to Route LLMs for Multi-Agent Systems.</w:t>
      </w:r>
      <w:r>
        <w:t xml:space="preserve"> </w:t>
      </w:r>
      <w:r>
        <w:t xml:space="preserve">2025. https://arxiv.org/abs/2502.11133 · https://github.com/yanweiyue/masrouter</w:t>
      </w:r>
    </w:p>
    <w:p>
      <w:pPr>
        <w:pStyle w:val="Compact"/>
        <w:numPr>
          <w:ilvl w:val="0"/>
          <w:numId w:val="1019"/>
        </w:numPr>
      </w:pPr>
      <w:r>
        <w:t xml:space="preserve">Hu et al. </w:t>
      </w:r>
      <w:r>
        <w:rPr>
          <w:i/>
          <w:iCs/>
        </w:rPr>
        <w:t xml:space="preserve">Automated Design of Agentic Systems</w:t>
      </w:r>
      <w:r>
        <w:t xml:space="preserve"> </w:t>
      </w:r>
      <w:r>
        <w:t xml:space="preserve">(ADAS). 2024. https://arxiv.org/abs/2408.08435 · https://github.com/ShengranHu/ADAS</w:t>
      </w:r>
    </w:p>
    <w:p>
      <w:pPr>
        <w:pStyle w:val="Compact"/>
        <w:numPr>
          <w:ilvl w:val="0"/>
          <w:numId w:val="1019"/>
        </w:numPr>
      </w:pPr>
      <w:r>
        <w:t xml:space="preserve">Zhang et al. </w:t>
      </w:r>
      <w:r>
        <w:rPr>
          <w:i/>
          <w:iCs/>
        </w:rPr>
        <w:t xml:space="preserve">AFlow: Automating Agentic Workflow Generation.</w:t>
      </w:r>
      <w:r>
        <w:t xml:space="preserve"> </w:t>
      </w:r>
      <w:r>
        <w:t xml:space="preserve">2024. https://arxiv.org/abs/2410.10762 · https://github.com/FoundationAgents/AFlow</w:t>
      </w:r>
    </w:p>
    <w:p>
      <w:pPr>
        <w:pStyle w:val="Compact"/>
        <w:numPr>
          <w:ilvl w:val="0"/>
          <w:numId w:val="1019"/>
        </w:numPr>
      </w:pPr>
      <w:r>
        <w:t xml:space="preserve">Zhuge et al. </w:t>
      </w:r>
      <w:r>
        <w:rPr>
          <w:i/>
          <w:iCs/>
        </w:rPr>
        <w:t xml:space="preserve">Language Agents as Optimizable Graphs</w:t>
      </w:r>
      <w:r>
        <w:t xml:space="preserve"> </w:t>
      </w:r>
      <w:r>
        <w:t xml:space="preserve">(GPTSwarm). 2024. https://arxiv.org/abs/2402.16823 · https://github.com/metauto-ai/gptswarm</w:t>
      </w:r>
    </w:p>
    <w:p>
      <w:pPr>
        <w:pStyle w:val="Compact"/>
        <w:numPr>
          <w:ilvl w:val="0"/>
          <w:numId w:val="1019"/>
        </w:numPr>
      </w:pPr>
      <w:r>
        <w:t xml:space="preserve">Zhang et al. </w:t>
      </w:r>
      <w:r>
        <w:rPr>
          <w:i/>
          <w:iCs/>
        </w:rPr>
        <w:t xml:space="preserve">Multi-agent Architecture Search via Agentic Supernet</w:t>
      </w:r>
      <w:r>
        <w:t xml:space="preserve"> </w:t>
      </w:r>
      <w:r>
        <w:t xml:space="preserve">(MaAS). 2025. https://arxiv.org/abs/2502.04180 · https://github.com/bingreeky/MaAS</w:t>
      </w:r>
    </w:p>
    <w:p>
      <w:pPr>
        <w:pStyle w:val="Compact"/>
        <w:numPr>
          <w:ilvl w:val="0"/>
          <w:numId w:val="1019"/>
        </w:numPr>
      </w:pPr>
      <w:r>
        <w:t xml:space="preserve">Wang et al. </w:t>
      </w:r>
      <w:r>
        <w:rPr>
          <w:i/>
          <w:iCs/>
        </w:rPr>
        <w:t xml:space="preserve">Mixture-of-Agents Enhances Large Language Model Capabilities.</w:t>
      </w:r>
      <w:r>
        <w:t xml:space="preserve"> </w:t>
      </w:r>
      <w:r>
        <w:t xml:space="preserve">2024. https://arxiv.org/abs/2406.04692</w:t>
      </w:r>
    </w:p>
    <w:p>
      <w:pPr>
        <w:pStyle w:val="Compact"/>
        <w:numPr>
          <w:ilvl w:val="0"/>
          <w:numId w:val="1019"/>
        </w:numPr>
      </w:pPr>
      <w:r>
        <w:t xml:space="preserve">Cemri et al. </w:t>
      </w:r>
      <w:r>
        <w:rPr>
          <w:i/>
          <w:iCs/>
        </w:rPr>
        <w:t xml:space="preserve">Why Do Multi-Agent LLM Systems Fail?</w:t>
      </w:r>
      <w:r>
        <w:t xml:space="preserve"> </w:t>
      </w:r>
      <w:r>
        <w:t xml:space="preserve">(MAST). 2025. https://arxiv.org/abs/2503.13657 · https://github.com/multi-agent-systems-failure-taxonomy/MAST</w:t>
      </w:r>
    </w:p>
    <w:p>
      <w:pPr>
        <w:pStyle w:val="Compact"/>
        <w:numPr>
          <w:ilvl w:val="0"/>
          <w:numId w:val="1019"/>
        </w:numPr>
      </w:pPr>
      <w:r>
        <w:t xml:space="preserve">Zhang et al. </w:t>
      </w:r>
      <w:r>
        <w:rPr>
          <w:i/>
          <w:iCs/>
        </w:rPr>
        <w:t xml:space="preserve">Which Agent Causes Task Failures and When?</w:t>
      </w:r>
      <w:r>
        <w:t xml:space="preserve"> </w:t>
      </w:r>
      <w:r>
        <w:t xml:space="preserve">(Who&amp;When). 2025. https://arxiv.org/abs/2505.00212</w:t>
      </w:r>
    </w:p>
    <w:p>
      <w:pPr>
        <w:pStyle w:val="Compact"/>
        <w:numPr>
          <w:ilvl w:val="0"/>
          <w:numId w:val="1019"/>
        </w:numPr>
      </w:pPr>
      <w:r>
        <w:t xml:space="preserve">Anthropic.</w:t>
      </w:r>
      <w:r>
        <w:t xml:space="preserve"> </w:t>
      </w:r>
      <w:r>
        <w:rPr>
          <w:i/>
          <w:iCs/>
        </w:rPr>
        <w:t xml:space="preserve">Building effective agents.</w:t>
      </w:r>
      <w:r>
        <w:t xml:space="preserve"> </w:t>
      </w:r>
      <w:r>
        <w:t xml:space="preserve">https://www.anthropic.com/engineering/building-effective-agents</w:t>
      </w:r>
    </w:p>
    <w:p>
      <w:pPr>
        <w:pStyle w:val="Compact"/>
        <w:numPr>
          <w:ilvl w:val="0"/>
          <w:numId w:val="1019"/>
        </w:numPr>
      </w:pPr>
      <w:r>
        <w:t xml:space="preserve">LangChain.</w:t>
      </w:r>
      <w:r>
        <w:t xml:space="preserve"> </w:t>
      </w:r>
      <w:r>
        <w:rPr>
          <w:i/>
          <w:iCs/>
        </w:rPr>
        <w:t xml:space="preserve">langgraph-supervisor.</w:t>
      </w:r>
      <w:r>
        <w:t xml:space="preserve"> </w:t>
      </w:r>
      <w:r>
        <w:t xml:space="preserve">https://github.com/langchain-ai/langgraph-supervisor-py</w:t>
      </w:r>
    </w:p>
    <w:p>
      <w:pPr>
        <w:pStyle w:val="Compact"/>
        <w:numPr>
          <w:ilvl w:val="0"/>
          <w:numId w:val="1019"/>
        </w:numPr>
      </w:pPr>
      <w:r>
        <w:t xml:space="preserve">OpenAI.</w:t>
      </w:r>
      <w:r>
        <w:t xml:space="preserve"> </w:t>
      </w:r>
      <w:r>
        <w:rPr>
          <w:i/>
          <w:iCs/>
        </w:rPr>
        <w:t xml:space="preserve">Agents SDK: Handoffs.</w:t>
      </w:r>
      <w:r>
        <w:t xml:space="preserve"> </w:t>
      </w:r>
      <w:r>
        <w:t xml:space="preserve">https://openai.github.io/openai-agents-python/handoffs/</w:t>
      </w:r>
    </w:p>
    <w:p>
      <w:pPr>
        <w:pStyle w:val="Compact"/>
        <w:numPr>
          <w:ilvl w:val="0"/>
          <w:numId w:val="1019"/>
        </w:numPr>
      </w:pPr>
      <w:r>
        <w:t xml:space="preserve">LiteLLM.</w:t>
      </w:r>
      <w:r>
        <w:t xml:space="preserve"> </w:t>
      </w:r>
      <w:r>
        <w:rPr>
          <w:i/>
          <w:iCs/>
        </w:rPr>
        <w:t xml:space="preserve">Router: load balancing and routing strategies.</w:t>
      </w:r>
      <w:r>
        <w:t xml:space="preserve"> </w:t>
      </w:r>
      <w:r>
        <w:t xml:space="preserve">https://docs.litellm.ai/docs/routing</w:t>
      </w:r>
    </w:p>
    <w:p>
      <w:pPr>
        <w:pStyle w:val="Compact"/>
        <w:numPr>
          <w:ilvl w:val="0"/>
          <w:numId w:val="1019"/>
        </w:numPr>
      </w:pPr>
      <w:r>
        <w:t xml:space="preserve">LiteLLM.</w:t>
      </w:r>
      <w:r>
        <w:t xml:space="preserve"> </w:t>
      </w:r>
      <w:r>
        <w:rPr>
          <w:i/>
          <w:iCs/>
        </w:rPr>
        <w:t xml:space="preserve">[Beta] Auto Routing.</w:t>
      </w:r>
      <w:r>
        <w:t xml:space="preserve"> </w:t>
      </w:r>
      <w:r>
        <w:t xml:space="preserve">https://docs.litellm.ai/docs/proxy/auto_routing</w:t>
      </w:r>
    </w:p>
    <w:p>
      <w:pPr>
        <w:pStyle w:val="FirstParagraph"/>
      </w:pPr>
      <w:r>
        <w:rPr>
          <w:b/>
          <w:bCs/>
        </w:rPr>
        <w:t xml:space="preserve">Data, judges and rewards</w:t>
      </w:r>
    </w:p>
    <w:p>
      <w:pPr>
        <w:pStyle w:val="Compact"/>
        <w:numPr>
          <w:ilvl w:val="0"/>
          <w:numId w:val="1020"/>
        </w:numPr>
      </w:pPr>
      <w:r>
        <w:t xml:space="preserve">Wang et al. </w:t>
      </w:r>
      <w:r>
        <w:rPr>
          <w:i/>
          <w:iCs/>
        </w:rPr>
        <w:t xml:space="preserve">Self-Instruct.</w:t>
      </w:r>
      <w:r>
        <w:t xml:space="preserve"> </w:t>
      </w:r>
      <w:r>
        <w:t xml:space="preserve">2022. https://arxiv.org/abs/2212.10560</w:t>
      </w:r>
    </w:p>
    <w:p>
      <w:pPr>
        <w:pStyle w:val="Compact"/>
        <w:numPr>
          <w:ilvl w:val="0"/>
          <w:numId w:val="1020"/>
        </w:numPr>
      </w:pPr>
      <w:r>
        <w:t xml:space="preserve">Mitra et al. </w:t>
      </w:r>
      <w:r>
        <w:rPr>
          <w:i/>
          <w:iCs/>
        </w:rPr>
        <w:t xml:space="preserve">AgentInstruct: Toward Generative Teaching with Agentic Flows.</w:t>
      </w:r>
      <w:r>
        <w:t xml:space="preserve"> </w:t>
      </w:r>
      <w:r>
        <w:t xml:space="preserve">2024. https://arxiv.org/abs/2407.03502</w:t>
      </w:r>
    </w:p>
    <w:p>
      <w:pPr>
        <w:pStyle w:val="Compact"/>
        <w:numPr>
          <w:ilvl w:val="0"/>
          <w:numId w:val="1020"/>
        </w:numPr>
      </w:pPr>
      <w:r>
        <w:t xml:space="preserve">Liu et al. </w:t>
      </w:r>
      <w:r>
        <w:rPr>
          <w:i/>
          <w:iCs/>
        </w:rPr>
        <w:t xml:space="preserve">APIGen: Automated Pipeline for Generating Verifiable and Diverse Function-Calling Datasets.</w:t>
      </w:r>
      <w:r>
        <w:t xml:space="preserve"> </w:t>
      </w:r>
      <w:r>
        <w:t xml:space="preserve">2024. https://arxiv.org/abs/2406.18518</w:t>
      </w:r>
    </w:p>
    <w:p>
      <w:pPr>
        <w:pStyle w:val="Compact"/>
        <w:numPr>
          <w:ilvl w:val="0"/>
          <w:numId w:val="1020"/>
        </w:numPr>
      </w:pPr>
      <w:r>
        <w:t xml:space="preserve">Prabhakar et al. </w:t>
      </w:r>
      <w:r>
        <w:rPr>
          <w:i/>
          <w:iCs/>
        </w:rPr>
        <w:t xml:space="preserve">APIGen-MT: Agentic Pipeline for Multi-Turn Data Generation via Simulated Agent-Human Interplay.</w:t>
      </w:r>
      <w:r>
        <w:t xml:space="preserve"> </w:t>
      </w:r>
      <w:r>
        <w:t xml:space="preserve">2025. https://arxiv.org/abs/2504.03601</w:t>
      </w:r>
    </w:p>
    <w:p>
      <w:pPr>
        <w:pStyle w:val="Compact"/>
        <w:numPr>
          <w:ilvl w:val="0"/>
          <w:numId w:val="1020"/>
        </w:numPr>
      </w:pPr>
      <w:r>
        <w:t xml:space="preserve">Liu et al. </w:t>
      </w:r>
      <w:r>
        <w:rPr>
          <w:i/>
          <w:iCs/>
        </w:rPr>
        <w:t xml:space="preserve">ToolACE: Winning the Points of LLM Function Calling.</w:t>
      </w:r>
      <w:r>
        <w:t xml:space="preserve"> </w:t>
      </w:r>
      <w:r>
        <w:t xml:space="preserve">2024. https://arxiv.org/abs/2409.00920</w:t>
      </w:r>
    </w:p>
    <w:p>
      <w:pPr>
        <w:pStyle w:val="Compact"/>
        <w:numPr>
          <w:ilvl w:val="0"/>
          <w:numId w:val="1020"/>
        </w:numPr>
      </w:pPr>
      <w:r>
        <w:t xml:space="preserve">Qi et al. </w:t>
      </w:r>
      <w:r>
        <w:rPr>
          <w:i/>
          <w:iCs/>
        </w:rPr>
        <w:t xml:space="preserve">WebRL: Training LLM Web Agents via Self-Evolving Online Curriculum Reinforcement Learning.</w:t>
      </w:r>
      <w:r>
        <w:t xml:space="preserve"> </w:t>
      </w:r>
      <w:r>
        <w:t xml:space="preserve">2024. https://arxiv.org/abs/2411.02337</w:t>
      </w:r>
    </w:p>
    <w:p>
      <w:pPr>
        <w:pStyle w:val="Compact"/>
        <w:numPr>
          <w:ilvl w:val="0"/>
          <w:numId w:val="1020"/>
        </w:numPr>
      </w:pPr>
      <w:r>
        <w:t xml:space="preserve">Zheng et al. </w:t>
      </w:r>
      <w:r>
        <w:rPr>
          <w:i/>
          <w:iCs/>
        </w:rPr>
        <w:t xml:space="preserve">Judging LLM-as-a-Judge with MT-Bench and Chatbot Arena.</w:t>
      </w:r>
      <w:r>
        <w:t xml:space="preserve"> </w:t>
      </w:r>
      <w:r>
        <w:t xml:space="preserve">2023. https://arxiv.org/abs/2306.05685</w:t>
      </w:r>
    </w:p>
    <w:p>
      <w:pPr>
        <w:pStyle w:val="Compact"/>
        <w:numPr>
          <w:ilvl w:val="0"/>
          <w:numId w:val="1020"/>
        </w:numPr>
      </w:pPr>
      <w:r>
        <w:t xml:space="preserve">Zhuge et al. </w:t>
      </w:r>
      <w:r>
        <w:rPr>
          <w:i/>
          <w:iCs/>
        </w:rPr>
        <w:t xml:space="preserve">Agent-as-a-Judge: Evaluate Agents with Agents.</w:t>
      </w:r>
      <w:r>
        <w:t xml:space="preserve"> </w:t>
      </w:r>
      <w:r>
        <w:t xml:space="preserve">2024. https://arxiv.org/abs/2410.10934</w:t>
      </w:r>
    </w:p>
    <w:p>
      <w:pPr>
        <w:pStyle w:val="Compact"/>
        <w:numPr>
          <w:ilvl w:val="0"/>
          <w:numId w:val="1020"/>
        </w:numPr>
      </w:pPr>
      <w:r>
        <w:t xml:space="preserve">Wang et al. </w:t>
      </w:r>
      <w:r>
        <w:rPr>
          <w:i/>
          <w:iCs/>
        </w:rPr>
        <w:t xml:space="preserve">Large Language Models are not Fair Evaluators.</w:t>
      </w:r>
      <w:r>
        <w:t xml:space="preserve"> </w:t>
      </w:r>
      <w:r>
        <w:t xml:space="preserve">2023. https://arxiv.org/abs/2305.17926</w:t>
      </w:r>
    </w:p>
    <w:p>
      <w:pPr>
        <w:pStyle w:val="Compact"/>
        <w:numPr>
          <w:ilvl w:val="0"/>
          <w:numId w:val="1020"/>
        </w:numPr>
      </w:pPr>
      <w:r>
        <w:t xml:space="preserve">Thakur et al. </w:t>
      </w:r>
      <w:r>
        <w:rPr>
          <w:i/>
          <w:iCs/>
        </w:rPr>
        <w:t xml:space="preserve">Judging the Judges: Evaluating Alignment and Vulnerabilities in LLMs-as-Judges.</w:t>
      </w:r>
      <w:r>
        <w:t xml:space="preserve"> </w:t>
      </w:r>
      <w:r>
        <w:t xml:space="preserve">2024. https://arxiv.org/abs/2406.12624</w:t>
      </w:r>
    </w:p>
    <w:p>
      <w:pPr>
        <w:pStyle w:val="Compact"/>
        <w:numPr>
          <w:ilvl w:val="0"/>
          <w:numId w:val="1020"/>
        </w:numPr>
      </w:pPr>
      <w:r>
        <w:t xml:space="preserve">Lambert et al. </w:t>
      </w:r>
      <w:r>
        <w:rPr>
          <w:i/>
          <w:iCs/>
        </w:rPr>
        <w:t xml:space="preserve">RewardBench: Evaluating Reward Models for Language Modeling.</w:t>
      </w:r>
      <w:r>
        <w:t xml:space="preserve"> </w:t>
      </w:r>
      <w:r>
        <w:t xml:space="preserve">2024. https://arxiv.org/abs/2403.13787</w:t>
      </w:r>
    </w:p>
    <w:p>
      <w:pPr>
        <w:pStyle w:val="Compact"/>
        <w:numPr>
          <w:ilvl w:val="0"/>
          <w:numId w:val="1020"/>
        </w:numPr>
      </w:pPr>
      <w:r>
        <w:t xml:space="preserve">Rafailov et al. </w:t>
      </w:r>
      <w:r>
        <w:rPr>
          <w:i/>
          <w:iCs/>
        </w:rPr>
        <w:t xml:space="preserve">Direct Preference Optimization.</w:t>
      </w:r>
      <w:r>
        <w:t xml:space="preserve"> </w:t>
      </w:r>
      <w:r>
        <w:t xml:space="preserve">2023. https://arxiv.org/abs/2305.18290</w:t>
      </w:r>
    </w:p>
    <w:p>
      <w:pPr>
        <w:pStyle w:val="Compact"/>
        <w:numPr>
          <w:ilvl w:val="0"/>
          <w:numId w:val="1020"/>
        </w:numPr>
      </w:pPr>
      <w:r>
        <w:t xml:space="preserve">Angelopoulos et al. </w:t>
      </w:r>
      <w:r>
        <w:rPr>
          <w:i/>
          <w:iCs/>
        </w:rPr>
        <w:t xml:space="preserve">Prediction-Powered Inference.</w:t>
      </w:r>
      <w:r>
        <w:t xml:space="preserve"> </w:t>
      </w:r>
      <w:r>
        <w:t xml:space="preserve">2023. https://arxiv.org/abs/2301.09633</w:t>
      </w:r>
    </w:p>
    <w:p>
      <w:pPr>
        <w:pStyle w:val="Compact"/>
        <w:numPr>
          <w:ilvl w:val="0"/>
          <w:numId w:val="1020"/>
        </w:numPr>
      </w:pPr>
      <w:r>
        <w:t xml:space="preserve">Lee et al. </w:t>
      </w:r>
      <w:r>
        <w:rPr>
          <w:i/>
          <w:iCs/>
        </w:rPr>
        <w:t xml:space="preserve">Deduplicating Training Data Makes Language Models Better.</w:t>
      </w:r>
      <w:r>
        <w:t xml:space="preserve"> </w:t>
      </w:r>
      <w:r>
        <w:t xml:space="preserve">2021. https://arxiv.org/abs/2107.06499</w:t>
      </w:r>
    </w:p>
    <w:p>
      <w:pPr>
        <w:pStyle w:val="Compact"/>
        <w:numPr>
          <w:ilvl w:val="0"/>
          <w:numId w:val="1020"/>
        </w:numPr>
      </w:pPr>
      <w:r>
        <w:t xml:space="preserve">White et al. </w:t>
      </w:r>
      <w:r>
        <w:rPr>
          <w:i/>
          <w:iCs/>
        </w:rPr>
        <w:t xml:space="preserve">LiveBench: A Challenging, Contamination-Limited LLM Benchmark.</w:t>
      </w:r>
      <w:r>
        <w:t xml:space="preserve"> </w:t>
      </w:r>
      <w:r>
        <w:t xml:space="preserve">2024. https://arxiv.org/abs/2406.19314</w:t>
      </w:r>
    </w:p>
    <w:p>
      <w:pPr>
        <w:pStyle w:val="Compact"/>
        <w:numPr>
          <w:ilvl w:val="0"/>
          <w:numId w:val="1020"/>
        </w:numPr>
      </w:pPr>
      <w:r>
        <w:t xml:space="preserve">Jain et al. </w:t>
      </w:r>
      <w:r>
        <w:rPr>
          <w:i/>
          <w:iCs/>
        </w:rPr>
        <w:t xml:space="preserve">LiveCodeBench: Holistic and Contamination Free Evaluation of Large Language Models for Code.</w:t>
      </w:r>
      <w:r>
        <w:t xml:space="preserve"> </w:t>
      </w:r>
      <w:r>
        <w:t xml:space="preserve">2024. https://arxiv.org/abs/2403.07974</w:t>
      </w:r>
    </w:p>
    <w:p>
      <w:pPr>
        <w:pStyle w:val="FirstParagraph"/>
      </w:pPr>
      <w:r>
        <w:rPr>
          <w:b/>
          <w:bCs/>
        </w:rPr>
        <w:t xml:space="preserve">Code-based and harness optimisation</w:t>
      </w:r>
    </w:p>
    <w:p>
      <w:pPr>
        <w:pStyle w:val="Compact"/>
        <w:numPr>
          <w:ilvl w:val="0"/>
          <w:numId w:val="1021"/>
        </w:numPr>
      </w:pPr>
      <w:r>
        <w:t xml:space="preserve">Zhang et al. </w:t>
      </w:r>
      <w:r>
        <w:rPr>
          <w:i/>
          <w:iCs/>
        </w:rPr>
        <w:t xml:space="preserve">Darwin Gödel Machine: Open-Ended Evolution of Self-Improving Agents.</w:t>
      </w:r>
      <w:r>
        <w:t xml:space="preserve"> </w:t>
      </w:r>
      <w:r>
        <w:t xml:space="preserve">2025. https://arxiv.org/abs/2505.22954 · https://github.com/jennyzzt/dgm</w:t>
      </w:r>
    </w:p>
    <w:p>
      <w:pPr>
        <w:pStyle w:val="Compact"/>
        <w:numPr>
          <w:ilvl w:val="0"/>
          <w:numId w:val="1021"/>
        </w:numPr>
      </w:pPr>
      <w:r>
        <w:t xml:space="preserve">Wang et al. </w:t>
      </w:r>
      <w:r>
        <w:rPr>
          <w:i/>
          <w:iCs/>
        </w:rPr>
        <w:t xml:space="preserve">Huxley-Gödel Machine.</w:t>
      </w:r>
      <w:r>
        <w:t xml:space="preserve"> </w:t>
      </w:r>
      <w:r>
        <w:t xml:space="preserve">2025. https://arxiv.org/abs/2510.21614 · https://github.com/metauto-ai/HGM</w:t>
      </w:r>
    </w:p>
    <w:p>
      <w:pPr>
        <w:pStyle w:val="Compact"/>
        <w:numPr>
          <w:ilvl w:val="0"/>
          <w:numId w:val="1021"/>
        </w:numPr>
      </w:pPr>
      <w:r>
        <w:t xml:space="preserve">Novikov et al. </w:t>
      </w:r>
      <w:r>
        <w:rPr>
          <w:i/>
          <w:iCs/>
        </w:rPr>
        <w:t xml:space="preserve">AlphaEvolve: A coding agent for scientific and algorithmic discovery.</w:t>
      </w:r>
      <w:r>
        <w:t xml:space="preserve"> </w:t>
      </w:r>
      <w:r>
        <w:t xml:space="preserve">2025. https://arxiv.org/abs/2506.13131 · https://deepmind.google/discover/blog/alphaevolve-a-gemini-powered-coding-agent-for-designing-advanced-algorithms/</w:t>
      </w:r>
    </w:p>
    <w:p>
      <w:pPr>
        <w:pStyle w:val="Compact"/>
        <w:numPr>
          <w:ilvl w:val="0"/>
          <w:numId w:val="1021"/>
        </w:numPr>
      </w:pPr>
      <w:r>
        <w:t xml:space="preserve">OpenEvolve (open-source AlphaEvolve-style framework). https://github.com/codelion/openevolve</w:t>
      </w:r>
    </w:p>
    <w:p>
      <w:pPr>
        <w:pStyle w:val="Compact"/>
        <w:numPr>
          <w:ilvl w:val="0"/>
          <w:numId w:val="1021"/>
        </w:numPr>
      </w:pPr>
      <w:r>
        <w:t xml:space="preserve">Robeyns et al. </w:t>
      </w:r>
      <w:r>
        <w:rPr>
          <w:i/>
          <w:iCs/>
        </w:rPr>
        <w:t xml:space="preserve">A Self-Improving Coding Agent.</w:t>
      </w:r>
      <w:r>
        <w:t xml:space="preserve"> </w:t>
      </w:r>
      <w:r>
        <w:t xml:space="preserve">2025. https://arxiv.org/abs/2504.15228 · https://github.com/MaximeRobeyns/self_improving_coding_agent</w:t>
      </w:r>
    </w:p>
    <w:p>
      <w:pPr>
        <w:pStyle w:val="Compact"/>
        <w:numPr>
          <w:ilvl w:val="0"/>
          <w:numId w:val="1021"/>
        </w:numPr>
      </w:pPr>
      <w:r>
        <w:t xml:space="preserve">Cheng et al. </w:t>
      </w:r>
      <w:r>
        <w:rPr>
          <w:i/>
          <w:iCs/>
        </w:rPr>
        <w:t xml:space="preserve">Trace is the Next AutoDiff</w:t>
      </w:r>
      <w:r>
        <w:t xml:space="preserve"> </w:t>
      </w:r>
      <w:r>
        <w:t xml:space="preserve">(Trace / OptoPrime). 2024. https://arxiv.org/abs/2406.16218 · https://github.com/microsoft/Trace</w:t>
      </w:r>
    </w:p>
    <w:p>
      <w:pPr>
        <w:pStyle w:val="Compact"/>
        <w:numPr>
          <w:ilvl w:val="0"/>
          <w:numId w:val="1021"/>
        </w:numPr>
      </w:pPr>
      <w:r>
        <w:t xml:space="preserve">Zelikman et al. </w:t>
      </w:r>
      <w:r>
        <w:rPr>
          <w:i/>
          <w:iCs/>
        </w:rPr>
        <w:t xml:space="preserve">Self-Taught Optimizer (STOP).</w:t>
      </w:r>
      <w:r>
        <w:t xml:space="preserve"> </w:t>
      </w:r>
      <w:r>
        <w:t xml:space="preserve">2023. https://arxiv.org/abs/2310.02304</w:t>
      </w:r>
    </w:p>
    <w:p>
      <w:pPr>
        <w:pStyle w:val="Compact"/>
        <w:numPr>
          <w:ilvl w:val="0"/>
          <w:numId w:val="1021"/>
        </w:numPr>
      </w:pPr>
      <w:r>
        <w:t xml:space="preserve">Lee et al. </w:t>
      </w:r>
      <w:r>
        <w:rPr>
          <w:i/>
          <w:iCs/>
        </w:rPr>
        <w:t xml:space="preserve">Meta-Harness: End-to-End Optimization of Model Harnesses.</w:t>
      </w:r>
      <w:r>
        <w:t xml:space="preserve"> </w:t>
      </w:r>
      <w:r>
        <w:t xml:space="preserve">2026. https://arxiv.org/abs/2603.28052</w:t>
      </w:r>
    </w:p>
    <w:p>
      <w:pPr>
        <w:pStyle w:val="Compact"/>
        <w:numPr>
          <w:ilvl w:val="0"/>
          <w:numId w:val="1021"/>
        </w:numPr>
      </w:pPr>
      <w:r>
        <w:t xml:space="preserve">Park et al. </w:t>
      </w:r>
      <w:r>
        <w:rPr>
          <w:i/>
          <w:iCs/>
        </w:rPr>
        <w:t xml:space="preserve">AutoSaddler: Automatic Harness Optimization with Durable Updates from Agent Execution Traces.</w:t>
      </w:r>
      <w:r>
        <w:t xml:space="preserve"> </w:t>
      </w:r>
      <w:r>
        <w:t xml:space="preserve">2026. https://arxiv.org/abs/2608.23041</w:t>
      </w:r>
    </w:p>
    <w:p>
      <w:pPr>
        <w:pStyle w:val="Compact"/>
        <w:numPr>
          <w:ilvl w:val="0"/>
          <w:numId w:val="1021"/>
        </w:numPr>
      </w:pPr>
      <w:r>
        <w:t xml:space="preserve">Zhang et al. </w:t>
      </w:r>
      <w:r>
        <w:rPr>
          <w:i/>
          <w:iCs/>
        </w:rPr>
        <w:t xml:space="preserve">HarnessCompass: Guiding Automatic Harness Evolution toward Generalizable and Effective Agent Harnesses.</w:t>
      </w:r>
      <w:r>
        <w:t xml:space="preserve"> </w:t>
      </w:r>
      <w:r>
        <w:t xml:space="preserve">2026. https://arxiv.org/abs/2608.01918</w:t>
      </w:r>
    </w:p>
    <w:p>
      <w:pPr>
        <w:pStyle w:val="Compact"/>
        <w:numPr>
          <w:ilvl w:val="0"/>
          <w:numId w:val="1021"/>
        </w:numPr>
      </w:pPr>
      <w:r>
        <w:t xml:space="preserve">Huang et al. </w:t>
      </w:r>
      <w:r>
        <w:rPr>
          <w:i/>
          <w:iCs/>
        </w:rPr>
        <w:t xml:space="preserve">Evo-Bench: Can Language Models Improve Agent Harness?</w:t>
      </w:r>
      <w:r>
        <w:t xml:space="preserve"> </w:t>
      </w:r>
      <w:r>
        <w:t xml:space="preserve">2026. https://arxiv.org/abs/2608.09096</w:t>
      </w:r>
    </w:p>
    <w:p>
      <w:pPr>
        <w:pStyle w:val="Compact"/>
        <w:numPr>
          <w:ilvl w:val="0"/>
          <w:numId w:val="1021"/>
        </w:numPr>
      </w:pPr>
      <w:r>
        <w:t xml:space="preserve">Ursekar et al. </w:t>
      </w:r>
      <w:r>
        <w:rPr>
          <w:i/>
          <w:iCs/>
        </w:rPr>
        <w:t xml:space="preserve">HarnessOpt-Bench: Evaluating LLMs at Harness Optimization.</w:t>
      </w:r>
      <w:r>
        <w:t xml:space="preserve"> </w:t>
      </w:r>
      <w:r>
        <w:t xml:space="preserve">2026. https://arxiv.org/abs/2608.06301</w:t>
      </w:r>
    </w:p>
    <w:p>
      <w:pPr>
        <w:pStyle w:val="FirstParagraph"/>
      </w:pPr>
      <w:r>
        <w:rPr>
          <w:b/>
          <w:bCs/>
        </w:rPr>
        <w:t xml:space="preserve">Optimisation techniques, memory and test-time compute</w:t>
      </w:r>
    </w:p>
    <w:p>
      <w:pPr>
        <w:pStyle w:val="Compact"/>
        <w:numPr>
          <w:ilvl w:val="0"/>
          <w:numId w:val="1022"/>
        </w:numPr>
      </w:pPr>
      <w:r>
        <w:t xml:space="preserve">Shinn et al. </w:t>
      </w:r>
      <w:r>
        <w:rPr>
          <w:i/>
          <w:iCs/>
        </w:rPr>
        <w:t xml:space="preserve">Reflexion.</w:t>
      </w:r>
      <w:r>
        <w:t xml:space="preserve"> </w:t>
      </w:r>
      <w:r>
        <w:t xml:space="preserve">2023. https://arxiv.org/abs/2303.11366</w:t>
      </w:r>
    </w:p>
    <w:p>
      <w:pPr>
        <w:pStyle w:val="Compact"/>
        <w:numPr>
          <w:ilvl w:val="0"/>
          <w:numId w:val="1022"/>
        </w:numPr>
      </w:pPr>
      <w:r>
        <w:t xml:space="preserve">Madaan et al. </w:t>
      </w:r>
      <w:r>
        <w:rPr>
          <w:i/>
          <w:iCs/>
        </w:rPr>
        <w:t xml:space="preserve">Self-Refine.</w:t>
      </w:r>
      <w:r>
        <w:t xml:space="preserve"> </w:t>
      </w:r>
      <w:r>
        <w:t xml:space="preserve">2023. https://arxiv.org/abs/2303.17651</w:t>
      </w:r>
    </w:p>
    <w:p>
      <w:pPr>
        <w:pStyle w:val="Compact"/>
        <w:numPr>
          <w:ilvl w:val="0"/>
          <w:numId w:val="1022"/>
        </w:numPr>
      </w:pPr>
      <w:r>
        <w:t xml:space="preserve">Agrawal et al. </w:t>
      </w:r>
      <w:r>
        <w:rPr>
          <w:i/>
          <w:iCs/>
        </w:rPr>
        <w:t xml:space="preserve">GEPA: Reflective Prompt Evolution Can Outperform Reinforcement Learning.</w:t>
      </w:r>
      <w:r>
        <w:t xml:space="preserve"> </w:t>
      </w:r>
      <w:r>
        <w:t xml:space="preserve">2025. https://arxiv.org/abs/2507.19457 · https://github.com/gepa-ai/gepa</w:t>
      </w:r>
    </w:p>
    <w:p>
      <w:pPr>
        <w:pStyle w:val="Compact"/>
        <w:numPr>
          <w:ilvl w:val="0"/>
          <w:numId w:val="1022"/>
        </w:numPr>
      </w:pPr>
      <w:r>
        <w:t xml:space="preserve">Guo et al. </w:t>
      </w:r>
      <w:r>
        <w:rPr>
          <w:i/>
          <w:iCs/>
        </w:rPr>
        <w:t xml:space="preserve">EvoPrompt.</w:t>
      </w:r>
      <w:r>
        <w:t xml:space="preserve"> </w:t>
      </w:r>
      <w:r>
        <w:t xml:space="preserve">2023. https://arxiv.org/abs/2309.08532 · https://github.com/beeevita/EvoPrompt</w:t>
      </w:r>
    </w:p>
    <w:p>
      <w:pPr>
        <w:pStyle w:val="Compact"/>
        <w:numPr>
          <w:ilvl w:val="0"/>
          <w:numId w:val="1022"/>
        </w:numPr>
      </w:pPr>
      <w:r>
        <w:t xml:space="preserve">Fernando et al. </w:t>
      </w:r>
      <w:r>
        <w:rPr>
          <w:i/>
          <w:iCs/>
        </w:rPr>
        <w:t xml:space="preserve">Promptbreeder.</w:t>
      </w:r>
      <w:r>
        <w:t xml:space="preserve"> </w:t>
      </w:r>
      <w:r>
        <w:t xml:space="preserve">2023. https://arxiv.org/abs/2309.16797</w:t>
      </w:r>
    </w:p>
    <w:p>
      <w:pPr>
        <w:pStyle w:val="Compact"/>
        <w:numPr>
          <w:ilvl w:val="0"/>
          <w:numId w:val="1022"/>
        </w:numPr>
      </w:pPr>
      <w:r>
        <w:t xml:space="preserve">Yang et al. </w:t>
      </w:r>
      <w:r>
        <w:rPr>
          <w:i/>
          <w:iCs/>
        </w:rPr>
        <w:t xml:space="preserve">Large Language Models as Optimizers</w:t>
      </w:r>
      <w:r>
        <w:t xml:space="preserve"> </w:t>
      </w:r>
      <w:r>
        <w:t xml:space="preserve">(OPRO). 2023. https://arxiv.org/abs/2309.03409</w:t>
      </w:r>
    </w:p>
    <w:p>
      <w:pPr>
        <w:pStyle w:val="Compact"/>
        <w:numPr>
          <w:ilvl w:val="0"/>
          <w:numId w:val="1022"/>
        </w:numPr>
      </w:pPr>
      <w:r>
        <w:t xml:space="preserve">Pryzant et al. </w:t>
      </w:r>
      <w:r>
        <w:rPr>
          <w:i/>
          <w:iCs/>
        </w:rPr>
        <w:t xml:space="preserve">Automatic Prompt Optimization with</w:t>
      </w:r>
      <w:r>
        <w:rPr>
          <w:i/>
          <w:iCs/>
        </w:rPr>
        <w:t xml:space="preserve"> </w:t>
      </w:r>
      <w:r>
        <w:rPr>
          <w:i/>
          <w:iCs/>
        </w:rPr>
        <w:t xml:space="preserve">“Gradient Descent”</w:t>
      </w:r>
      <w:r>
        <w:rPr>
          <w:i/>
          <w:iCs/>
        </w:rPr>
        <w:t xml:space="preserve"> </w:t>
      </w:r>
      <w:r>
        <w:rPr>
          <w:i/>
          <w:iCs/>
        </w:rPr>
        <w:t xml:space="preserve">and Beam Search</w:t>
      </w:r>
      <w:r>
        <w:t xml:space="preserve"> </w:t>
      </w:r>
      <w:r>
        <w:t xml:space="preserve">(ProTeGi). 2023. https://arxiv.org/abs/2305.03495</w:t>
      </w:r>
    </w:p>
    <w:p>
      <w:pPr>
        <w:pStyle w:val="Compact"/>
        <w:numPr>
          <w:ilvl w:val="0"/>
          <w:numId w:val="1022"/>
        </w:numPr>
      </w:pPr>
      <w:r>
        <w:t xml:space="preserve">Khattab et al. </w:t>
      </w:r>
      <w:r>
        <w:rPr>
          <w:i/>
          <w:iCs/>
        </w:rPr>
        <w:t xml:space="preserve">DSPy.</w:t>
      </w:r>
      <w:r>
        <w:t xml:space="preserve"> </w:t>
      </w:r>
      <w:r>
        <w:t xml:space="preserve">2023. https://arxiv.org/abs/2310.03714 · https://github.com/stanfordnlp/dspy</w:t>
      </w:r>
    </w:p>
    <w:p>
      <w:pPr>
        <w:pStyle w:val="Compact"/>
        <w:numPr>
          <w:ilvl w:val="0"/>
          <w:numId w:val="1022"/>
        </w:numPr>
      </w:pPr>
      <w:r>
        <w:t xml:space="preserve">Opsahl-Ong et al. </w:t>
      </w:r>
      <w:r>
        <w:rPr>
          <w:i/>
          <w:iCs/>
        </w:rPr>
        <w:t xml:space="preserve">Optimizing Instructions and Demonstrations for Multi-Stage Language Model Programs</w:t>
      </w:r>
      <w:r>
        <w:t xml:space="preserve"> </w:t>
      </w:r>
      <w:r>
        <w:t xml:space="preserve">(MIPRO). 2024. https://arxiv.org/abs/2406.11695</w:t>
      </w:r>
    </w:p>
    <w:p>
      <w:pPr>
        <w:pStyle w:val="Compact"/>
        <w:numPr>
          <w:ilvl w:val="0"/>
          <w:numId w:val="1022"/>
        </w:numPr>
      </w:pPr>
      <w:r>
        <w:t xml:space="preserve">Soylu et al. </w:t>
      </w:r>
      <w:r>
        <w:rPr>
          <w:i/>
          <w:iCs/>
        </w:rPr>
        <w:t xml:space="preserve">Fine-Tuning and Prompt Optimization: Two Great Steps that Work Better Together</w:t>
      </w:r>
      <w:r>
        <w:t xml:space="preserve"> </w:t>
      </w:r>
      <w:r>
        <w:t xml:space="preserve">(BetterTogether). EMNLP 2024. https://arxiv.org/abs/2407.10930</w:t>
      </w:r>
    </w:p>
    <w:p>
      <w:pPr>
        <w:pStyle w:val="Compact"/>
        <w:numPr>
          <w:ilvl w:val="0"/>
          <w:numId w:val="1022"/>
        </w:numPr>
      </w:pPr>
      <w:r>
        <w:t xml:space="preserve">Yuksekgonul et al. </w:t>
      </w:r>
      <w:r>
        <w:rPr>
          <w:i/>
          <w:iCs/>
        </w:rPr>
        <w:t xml:space="preserve">TextGrad: Automatic</w:t>
      </w:r>
      <w:r>
        <w:rPr>
          <w:i/>
          <w:iCs/>
        </w:rPr>
        <w:t xml:space="preserve"> </w:t>
      </w:r>
      <w:r>
        <w:rPr>
          <w:i/>
          <w:iCs/>
        </w:rPr>
        <w:t xml:space="preserve">“Differentiation”</w:t>
      </w:r>
      <w:r>
        <w:rPr>
          <w:i/>
          <w:iCs/>
        </w:rPr>
        <w:t xml:space="preserve"> </w:t>
      </w:r>
      <w:r>
        <w:rPr>
          <w:i/>
          <w:iCs/>
        </w:rPr>
        <w:t xml:space="preserve">via Text.</w:t>
      </w:r>
      <w:r>
        <w:t xml:space="preserve"> </w:t>
      </w:r>
      <w:r>
        <w:t xml:space="preserve">2024. https://arxiv.org/abs/2406.07496 · https://github.com/zou-group/textgrad</w:t>
      </w:r>
    </w:p>
    <w:p>
      <w:pPr>
        <w:pStyle w:val="Compact"/>
        <w:numPr>
          <w:ilvl w:val="0"/>
          <w:numId w:val="1022"/>
        </w:numPr>
      </w:pPr>
      <w:r>
        <w:t xml:space="preserve">Shao et al. </w:t>
      </w:r>
      <w:r>
        <w:rPr>
          <w:i/>
          <w:iCs/>
        </w:rPr>
        <w:t xml:space="preserve">DeepSeekMath</w:t>
      </w:r>
      <w:r>
        <w:t xml:space="preserve"> </w:t>
      </w:r>
      <w:r>
        <w:t xml:space="preserve">(introduces GRPO). 2024. https://arxiv.org/abs/2402.03300</w:t>
      </w:r>
    </w:p>
    <w:p>
      <w:pPr>
        <w:pStyle w:val="Compact"/>
        <w:numPr>
          <w:ilvl w:val="0"/>
          <w:numId w:val="1022"/>
        </w:numPr>
      </w:pPr>
      <w:r>
        <w:t xml:space="preserve">Luo et al. </w:t>
      </w:r>
      <w:r>
        <w:rPr>
          <w:i/>
          <w:iCs/>
        </w:rPr>
        <w:t xml:space="preserve">Agent Lightning: Train ANY AI Agents with Reinforcement Learning.</w:t>
      </w:r>
      <w:r>
        <w:t xml:space="preserve"> </w:t>
      </w:r>
      <w:r>
        <w:t xml:space="preserve">2025. https://arxiv.org/abs/2508.03680 · https://github.com/microsoft/agent-lightning</w:t>
      </w:r>
    </w:p>
    <w:p>
      <w:pPr>
        <w:pStyle w:val="Compact"/>
        <w:numPr>
          <w:ilvl w:val="0"/>
          <w:numId w:val="1022"/>
        </w:numPr>
      </w:pPr>
      <w:r>
        <w:t xml:space="preserve">OpenPipe.</w:t>
      </w:r>
      <w:r>
        <w:t xml:space="preserve"> </w:t>
      </w:r>
      <w:r>
        <w:rPr>
          <w:i/>
          <w:iCs/>
        </w:rPr>
        <w:t xml:space="preserve">ART</w:t>
      </w:r>
      <w:r>
        <w:t xml:space="preserve"> </w:t>
      </w:r>
      <w:r>
        <w:t xml:space="preserve">and</w:t>
      </w:r>
      <w:r>
        <w:t xml:space="preserve"> </w:t>
      </w:r>
      <w:r>
        <w:rPr>
          <w:i/>
          <w:iCs/>
        </w:rPr>
        <w:t xml:space="preserve">RULER.</w:t>
      </w:r>
      <w:r>
        <w:t xml:space="preserve"> </w:t>
      </w:r>
      <w:r>
        <w:t xml:space="preserve">https://github.com/OpenPipe/ART · https://art.openpipe.ai/fundamentals/ruler/</w:t>
      </w:r>
    </w:p>
    <w:p>
      <w:pPr>
        <w:pStyle w:val="Compact"/>
        <w:numPr>
          <w:ilvl w:val="0"/>
          <w:numId w:val="1022"/>
        </w:numPr>
      </w:pPr>
      <w:r>
        <w:t xml:space="preserve">Sheng et al. </w:t>
      </w:r>
      <w:r>
        <w:rPr>
          <w:i/>
          <w:iCs/>
        </w:rPr>
        <w:t xml:space="preserve">HybridFlow: A Flexible and Efficient RLHF Framework</w:t>
      </w:r>
      <w:r>
        <w:t xml:space="preserve"> </w:t>
      </w:r>
      <w:r>
        <w:t xml:space="preserve">(verl). 2024. https://arxiv.org/abs/2409.19256 · https://github.com/volcengine/verl</w:t>
      </w:r>
    </w:p>
    <w:p>
      <w:pPr>
        <w:pStyle w:val="Compact"/>
        <w:numPr>
          <w:ilvl w:val="0"/>
          <w:numId w:val="1022"/>
        </w:numPr>
      </w:pPr>
      <w:r>
        <w:t xml:space="preserve">Wang et al. </w:t>
      </w:r>
      <w:r>
        <w:rPr>
          <w:i/>
          <w:iCs/>
        </w:rPr>
        <w:t xml:space="preserve">RAGEN: Understanding Self-Evolution in LLM Agents via Multi-Turn Reinforcement Learning.</w:t>
      </w:r>
      <w:r>
        <w:t xml:space="preserve"> </w:t>
      </w:r>
      <w:r>
        <w:t xml:space="preserve">2025. https://arxiv.org/abs/2504.20073</w:t>
      </w:r>
    </w:p>
    <w:p>
      <w:pPr>
        <w:pStyle w:val="Compact"/>
        <w:numPr>
          <w:ilvl w:val="0"/>
          <w:numId w:val="1022"/>
        </w:numPr>
      </w:pPr>
      <w:r>
        <w:t xml:space="preserve">SkyRL. https://github.com/NovaSky-AI/SkyRL</w:t>
      </w:r>
    </w:p>
    <w:p>
      <w:pPr>
        <w:pStyle w:val="Compact"/>
        <w:numPr>
          <w:ilvl w:val="0"/>
          <w:numId w:val="1022"/>
        </w:numPr>
      </w:pPr>
      <w:r>
        <w:t xml:space="preserve">Wang et al. </w:t>
      </w:r>
      <w:r>
        <w:rPr>
          <w:i/>
          <w:iCs/>
        </w:rPr>
        <w:t xml:space="preserve">Voyager: An Open-Ended Embodied Agent with Large Language Models.</w:t>
      </w:r>
      <w:r>
        <w:t xml:space="preserve"> </w:t>
      </w:r>
      <w:r>
        <w:t xml:space="preserve">2023. https://arxiv.org/abs/2305.16291 · https://github.com/MineDojo/Voyager</w:t>
      </w:r>
    </w:p>
    <w:p>
      <w:pPr>
        <w:pStyle w:val="Compact"/>
        <w:numPr>
          <w:ilvl w:val="0"/>
          <w:numId w:val="1022"/>
        </w:numPr>
      </w:pPr>
      <w:r>
        <w:t xml:space="preserve">Zhang et al. </w:t>
      </w:r>
      <w:r>
        <w:rPr>
          <w:i/>
          <w:iCs/>
        </w:rPr>
        <w:t xml:space="preserve">Agentic Context Engineering (ACE).</w:t>
      </w:r>
      <w:r>
        <w:t xml:space="preserve"> </w:t>
      </w:r>
      <w:r>
        <w:t xml:space="preserve">2025. https://arxiv.org/abs/2510.04618 · https://github.com/ace-agent/ace</w:t>
      </w:r>
    </w:p>
    <w:p>
      <w:pPr>
        <w:pStyle w:val="Compact"/>
        <w:numPr>
          <w:ilvl w:val="0"/>
          <w:numId w:val="1022"/>
        </w:numPr>
      </w:pPr>
      <w:r>
        <w:t xml:space="preserve">Suzgun et al. </w:t>
      </w:r>
      <w:r>
        <w:rPr>
          <w:i/>
          <w:iCs/>
        </w:rPr>
        <w:t xml:space="preserve">Dynamic Cheatsheet: Test-Time Learning with Adaptive Memory.</w:t>
      </w:r>
      <w:r>
        <w:t xml:space="preserve"> </w:t>
      </w:r>
      <w:r>
        <w:t xml:space="preserve">2025. https://arxiv.org/abs/2504.07952 · https://github.com/suzgunmirac/dynamic-cheatsheet</w:t>
      </w:r>
    </w:p>
    <w:p>
      <w:pPr>
        <w:pStyle w:val="Compact"/>
        <w:numPr>
          <w:ilvl w:val="0"/>
          <w:numId w:val="1022"/>
        </w:numPr>
      </w:pPr>
      <w:r>
        <w:t xml:space="preserve">Ouyang et al. </w:t>
      </w:r>
      <w:r>
        <w:rPr>
          <w:i/>
          <w:iCs/>
        </w:rPr>
        <w:t xml:space="preserve">ReasoningBank: Scaling Agent Self-Evolving with Reasoning Memory.</w:t>
      </w:r>
      <w:r>
        <w:t xml:space="preserve"> </w:t>
      </w:r>
      <w:r>
        <w:t xml:space="preserve">2025. https://arxiv.org/abs/2509.25140 · https://github.com/google-research/reasoning-bank</w:t>
      </w:r>
    </w:p>
    <w:p>
      <w:pPr>
        <w:pStyle w:val="Compact"/>
        <w:numPr>
          <w:ilvl w:val="0"/>
          <w:numId w:val="1022"/>
        </w:numPr>
      </w:pPr>
      <w:r>
        <w:t xml:space="preserve">Wang et al. </w:t>
      </w:r>
      <w:r>
        <w:rPr>
          <w:i/>
          <w:iCs/>
        </w:rPr>
        <w:t xml:space="preserve">Agent Workflow Memory.</w:t>
      </w:r>
      <w:r>
        <w:t xml:space="preserve"> </w:t>
      </w:r>
      <w:r>
        <w:t xml:space="preserve">2024. https://arxiv.org/abs/2409.07429</w:t>
      </w:r>
    </w:p>
    <w:p>
      <w:pPr>
        <w:pStyle w:val="Compact"/>
        <w:numPr>
          <w:ilvl w:val="0"/>
          <w:numId w:val="1022"/>
        </w:numPr>
      </w:pPr>
      <w:r>
        <w:t xml:space="preserve">Anthropic.</w:t>
      </w:r>
      <w:r>
        <w:t xml:space="preserve"> </w:t>
      </w:r>
      <w:r>
        <w:rPr>
          <w:i/>
          <w:iCs/>
        </w:rPr>
        <w:t xml:space="preserve">Effective context engineering for AI agents.</w:t>
      </w:r>
      <w:r>
        <w:t xml:space="preserve"> </w:t>
      </w:r>
      <w:r>
        <w:t xml:space="preserve">https://www.anthropic.com/engineering/effective-context-engineering-for-ai-agents</w:t>
      </w:r>
    </w:p>
    <w:p>
      <w:pPr>
        <w:pStyle w:val="Compact"/>
        <w:numPr>
          <w:ilvl w:val="0"/>
          <w:numId w:val="1022"/>
        </w:numPr>
      </w:pPr>
      <w:r>
        <w:t xml:space="preserve">Snell et al. </w:t>
      </w:r>
      <w:r>
        <w:rPr>
          <w:i/>
          <w:iCs/>
        </w:rPr>
        <w:t xml:space="preserve">Scaling LLM Test-Time Compute Optimally can be More Effective than Scaling Model Parameters.</w:t>
      </w:r>
      <w:r>
        <w:t xml:space="preserve"> </w:t>
      </w:r>
      <w:r>
        <w:t xml:space="preserve">2024. https://arxiv.org/abs/2408.03314</w:t>
      </w:r>
    </w:p>
    <w:p>
      <w:pPr>
        <w:pStyle w:val="Compact"/>
        <w:numPr>
          <w:ilvl w:val="0"/>
          <w:numId w:val="1022"/>
        </w:numPr>
      </w:pPr>
      <w:r>
        <w:t xml:space="preserve">Brown et al. </w:t>
      </w:r>
      <w:r>
        <w:rPr>
          <w:i/>
          <w:iCs/>
        </w:rPr>
        <w:t xml:space="preserve">Large Language Monkeys: Scaling Inference Compute with Repeated Sampling.</w:t>
      </w:r>
      <w:r>
        <w:t xml:space="preserve"> </w:t>
      </w:r>
      <w:r>
        <w:t xml:space="preserve">2024. https://arxiv.org/abs/2407.21787</w:t>
      </w:r>
    </w:p>
    <w:p>
      <w:pPr>
        <w:pStyle w:val="FirstParagraph"/>
      </w:pPr>
      <w:r>
        <w:rPr>
          <w:b/>
          <w:bCs/>
        </w:rPr>
        <w:t xml:space="preserve">Evaluation rigour and safety</w:t>
      </w:r>
    </w:p>
    <w:p>
      <w:pPr>
        <w:pStyle w:val="Compact"/>
        <w:numPr>
          <w:ilvl w:val="0"/>
          <w:numId w:val="1023"/>
        </w:numPr>
      </w:pPr>
      <w:r>
        <w:t xml:space="preserve">Amodei et al. </w:t>
      </w:r>
      <w:r>
        <w:rPr>
          <w:i/>
          <w:iCs/>
        </w:rPr>
        <w:t xml:space="preserve">Concrete Problems in AI Safety.</w:t>
      </w:r>
      <w:r>
        <w:t xml:space="preserve"> </w:t>
      </w:r>
      <w:r>
        <w:t xml:space="preserve">2016. https://arxiv.org/abs/1606.06565</w:t>
      </w:r>
    </w:p>
    <w:p>
      <w:pPr>
        <w:pStyle w:val="Compact"/>
        <w:numPr>
          <w:ilvl w:val="0"/>
          <w:numId w:val="1023"/>
        </w:numPr>
      </w:pPr>
      <w:r>
        <w:t xml:space="preserve">METR.</w:t>
      </w:r>
      <w:r>
        <w:t xml:space="preserve"> </w:t>
      </w:r>
      <w:r>
        <w:rPr>
          <w:i/>
          <w:iCs/>
        </w:rPr>
        <w:t xml:space="preserve">Recent Frontier Models Are Reward Hacking.</w:t>
      </w:r>
      <w:r>
        <w:t xml:space="preserve"> </w:t>
      </w:r>
      <w:r>
        <w:t xml:space="preserve">5 June 2025. https://metr.org/blog/2025-06-05-recent-reward-hacking/</w:t>
      </w:r>
    </w:p>
    <w:p>
      <w:pPr>
        <w:pStyle w:val="Compact"/>
        <w:numPr>
          <w:ilvl w:val="0"/>
          <w:numId w:val="1023"/>
        </w:numPr>
      </w:pPr>
      <w:r>
        <w:t xml:space="preserve">Kapoor et al. </w:t>
      </w:r>
      <w:r>
        <w:rPr>
          <w:i/>
          <w:iCs/>
        </w:rPr>
        <w:t xml:space="preserve">AI Agents That Matter.</w:t>
      </w:r>
      <w:r>
        <w:t xml:space="preserve"> </w:t>
      </w:r>
      <w:r>
        <w:t xml:space="preserve">2024. https://arxiv.org/abs/2407.01502</w:t>
      </w:r>
    </w:p>
    <w:p>
      <w:pPr>
        <w:pStyle w:val="Compact"/>
        <w:numPr>
          <w:ilvl w:val="0"/>
          <w:numId w:val="1023"/>
        </w:numPr>
      </w:pPr>
      <w:r>
        <w:t xml:space="preserve">Zhu et al. </w:t>
      </w:r>
      <w:r>
        <w:rPr>
          <w:i/>
          <w:iCs/>
        </w:rPr>
        <w:t xml:space="preserve">Establishing Best Practices for Building Rigorous Agentic Benchmarks</w:t>
      </w:r>
      <w:r>
        <w:t xml:space="preserve"> </w:t>
      </w:r>
      <w:r>
        <w:t xml:space="preserve">(ABC). 2025. https://arxiv.org/abs/2507.02825</w:t>
      </w:r>
    </w:p>
    <w:p>
      <w:pPr>
        <w:pStyle w:val="Compact"/>
        <w:numPr>
          <w:ilvl w:val="0"/>
          <w:numId w:val="1023"/>
        </w:numPr>
      </w:pPr>
      <w:r>
        <w:t xml:space="preserve">Miller.</w:t>
      </w:r>
      <w:r>
        <w:t xml:space="preserve"> </w:t>
      </w:r>
      <w:r>
        <w:rPr>
          <w:i/>
          <w:iCs/>
        </w:rPr>
        <w:t xml:space="preserve">Adding Error Bars to Evals: A Statistical Approach to Language Model Evaluations.</w:t>
      </w:r>
      <w:r>
        <w:t xml:space="preserve"> </w:t>
      </w:r>
      <w:r>
        <w:t xml:space="preserve">2024. https://arxiv.org/abs/2411.00640</w:t>
      </w:r>
    </w:p>
    <w:p>
      <w:pPr>
        <w:pStyle w:val="FirstParagraph"/>
      </w:pPr>
      <w:r>
        <w:rPr>
          <w:b/>
          <w:bCs/>
        </w:rPr>
        <w:t xml:space="preserve">Lucidic AI (vendor sources; claims not independently verified)</w:t>
      </w:r>
    </w:p>
    <w:p>
      <w:pPr>
        <w:pStyle w:val="Compact"/>
        <w:numPr>
          <w:ilvl w:val="0"/>
          <w:numId w:val="1024"/>
        </w:numPr>
      </w:pPr>
      <w:r>
        <w:t xml:space="preserve">Lucidic AI home page (</w:t>
      </w:r>
      <w:r>
        <w:t xml:space="preserve">“co-training harnesses and models”</w:t>
      </w:r>
      <w:r>
        <w:t xml:space="preserve">, genetic search plus RL). https://lucidic.ai/</w:t>
      </w:r>
    </w:p>
    <w:p>
      <w:pPr>
        <w:pStyle w:val="Compact"/>
        <w:numPr>
          <w:ilvl w:val="0"/>
          <w:numId w:val="1024"/>
        </w:numPr>
      </w:pPr>
      <w:r>
        <w:t xml:space="preserve">Lucidic AI Research (includes</w:t>
      </w:r>
      <w:r>
        <w:t xml:space="preserve"> </w:t>
      </w:r>
      <w:r>
        <w:t xml:space="preserve">“Making GPT-4.1-mini as Good as GPT-5.2”</w:t>
      </w:r>
      <w:r>
        <w:t xml:space="preserve">: τ²-bench 53% to 72%, vendor-reported). https://lucidic.ai/research</w:t>
      </w:r>
    </w:p>
    <w:p>
      <w:pPr>
        <w:pStyle w:val="Compact"/>
        <w:numPr>
          <w:ilvl w:val="0"/>
          <w:numId w:val="1024"/>
        </w:numPr>
      </w:pPr>
      <w:r>
        <w:t xml:space="preserve">Lucidic AI Case Studies (ServiceNow: 1,150 tasks, 65% vs 51.1% for the strongest frontier model; Cresta FECT; anonymous 75% to 92%; all vendor-reported). https://lucidic.ai/case-studies</w:t>
      </w:r>
    </w:p>
    <w:bookmarkEnd w:id="41"/>
    <w:sectPr>
      <w:footerReference w:type="default" r:id="rId9"/>
      <w:footnotePr>
        <w:numRestart w:val="eachSect"/>
      </w:footnotePr>
      <w:pgMar w:bottom="1152" w:left="1224" w:right="1224"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Verizon — Harness optimisation research note · v0.1 · [classification label] · Page </w:t>
    </w:r>
    <w:r>
      <w:rPr>
        <w:color w:val="555555"/>
        <w:sz w:val="16"/>
      </w:rPr>
      <w:fldChar w:fldCharType="begin"/>
    </w:r>
    <w:r>
      <w:rPr>
        <w:color w:val="555555"/>
        <w:sz w:val="16"/>
      </w:rPr>
      <w:instrText xml:space="preserve">PAGE</w:instrText>
    </w:r>
    <w:r>
      <w:rPr>
        <w:color w:val="555555"/>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56">
    <w:nsid w:val="0A994156"/>
    <w:multiLevelType w:val="multilevel"/>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abstractNum w:abstractNumId="994168">
    <w:nsid w:val="0A994168"/>
    <w:multiLevelType w:val="multilevel"/>
    <w:lvl w:ilvl="0">
      <w:start w:val="68"/>
      <w:numFmt w:val="decimal"/>
      <w:lvlText w:val="%1."/>
      <w:lvlJc w:val="left"/>
      <w:pPr>
        <w:ind w:left="720" w:hanging="360"/>
      </w:pPr>
    </w:lvl>
    <w:lvl w:ilvl="1">
      <w:start w:val="68"/>
      <w:numFmt w:val="decimal"/>
      <w:lvlText w:val="%2."/>
      <w:lvlJc w:val="left"/>
      <w:pPr>
        <w:ind w:left="1440" w:hanging="360"/>
      </w:pPr>
    </w:lvl>
    <w:lvl w:ilvl="2">
      <w:start w:val="68"/>
      <w:numFmt w:val="decimal"/>
      <w:lvlText w:val="%3."/>
      <w:lvlJc w:val="left"/>
      <w:pPr>
        <w:ind w:left="2160" w:hanging="360"/>
      </w:pPr>
    </w:lvl>
    <w:lvl w:ilvl="3">
      <w:start w:val="68"/>
      <w:numFmt w:val="decimal"/>
      <w:lvlText w:val="%4."/>
      <w:lvlJc w:val="left"/>
      <w:pPr>
        <w:ind w:left="2880" w:hanging="360"/>
      </w:pPr>
    </w:lvl>
    <w:lvl w:ilvl="4">
      <w:start w:val="68"/>
      <w:numFmt w:val="decimal"/>
      <w:lvlText w:val="%5."/>
      <w:lvlJc w:val="left"/>
      <w:pPr>
        <w:ind w:left="3600" w:hanging="360"/>
      </w:pPr>
    </w:lvl>
    <w:lvl w:ilvl="5">
      <w:start w:val="68"/>
      <w:numFmt w:val="decimal"/>
      <w:lvlText w:val="%6."/>
      <w:lvlJc w:val="left"/>
      <w:pPr>
        <w:ind w:left="4320" w:hanging="360"/>
      </w:pPr>
    </w:lvl>
    <w:lvl w:ilvl="6">
      <w:start w:val="68"/>
      <w:numFmt w:val="decimal"/>
      <w:lvlText w:val="%7."/>
      <w:lvlJc w:val="left"/>
      <w:pPr>
        <w:ind w:left="5040" w:hanging="360"/>
      </w:pPr>
    </w:lvl>
    <w:lvl w:ilvl="7">
      <w:start w:val="68"/>
      <w:numFmt w:val="decimal"/>
      <w:lvlText w:val="%8."/>
      <w:lvlJc w:val="left"/>
      <w:pPr>
        <w:ind w:left="5760" w:hanging="360"/>
      </w:pPr>
    </w:lvl>
    <w:lvl w:ilvl="8">
      <w:start w:val="68"/>
      <w:numFmt w:val="decimal"/>
      <w:lvlText w:val="%9."/>
      <w:lvlJc w:val="left"/>
      <w:pPr>
        <w:ind w:left="6480" w:hanging="360"/>
      </w:pPr>
    </w:lvl>
  </w:abstractNum>
  <w:abstractNum w:abstractNumId="994193">
    <w:nsid w:val="0A994193"/>
    <w:multiLevelType w:val="multilevel"/>
    <w:lvl w:ilvl="0">
      <w:start w:val="93"/>
      <w:numFmt w:val="decimal"/>
      <w:lvlText w:val="%1."/>
      <w:lvlJc w:val="left"/>
      <w:pPr>
        <w:ind w:left="720" w:hanging="360"/>
      </w:pPr>
    </w:lvl>
    <w:lvl w:ilvl="1">
      <w:start w:val="93"/>
      <w:numFmt w:val="decimal"/>
      <w:lvlText w:val="%2."/>
      <w:lvlJc w:val="left"/>
      <w:pPr>
        <w:ind w:left="1440" w:hanging="360"/>
      </w:pPr>
    </w:lvl>
    <w:lvl w:ilvl="2">
      <w:start w:val="93"/>
      <w:numFmt w:val="decimal"/>
      <w:lvlText w:val="%3."/>
      <w:lvlJc w:val="left"/>
      <w:pPr>
        <w:ind w:left="2160" w:hanging="360"/>
      </w:pPr>
    </w:lvl>
    <w:lvl w:ilvl="3">
      <w:start w:val="93"/>
      <w:numFmt w:val="decimal"/>
      <w:lvlText w:val="%4."/>
      <w:lvlJc w:val="left"/>
      <w:pPr>
        <w:ind w:left="2880" w:hanging="360"/>
      </w:pPr>
    </w:lvl>
    <w:lvl w:ilvl="4">
      <w:start w:val="93"/>
      <w:numFmt w:val="decimal"/>
      <w:lvlText w:val="%5."/>
      <w:lvlJc w:val="left"/>
      <w:pPr>
        <w:ind w:left="3600" w:hanging="360"/>
      </w:pPr>
    </w:lvl>
    <w:lvl w:ilvl="5">
      <w:start w:val="93"/>
      <w:numFmt w:val="decimal"/>
      <w:lvlText w:val="%6."/>
      <w:lvlJc w:val="left"/>
      <w:pPr>
        <w:ind w:left="4320" w:hanging="360"/>
      </w:pPr>
    </w:lvl>
    <w:lvl w:ilvl="6">
      <w:start w:val="93"/>
      <w:numFmt w:val="decimal"/>
      <w:lvlText w:val="%7."/>
      <w:lvlJc w:val="left"/>
      <w:pPr>
        <w:ind w:left="5040" w:hanging="360"/>
      </w:pPr>
    </w:lvl>
    <w:lvl w:ilvl="7">
      <w:start w:val="93"/>
      <w:numFmt w:val="decimal"/>
      <w:lvlText w:val="%8."/>
      <w:lvlJc w:val="left"/>
      <w:pPr>
        <w:ind w:left="5760" w:hanging="360"/>
      </w:pPr>
    </w:lvl>
    <w:lvl w:ilvl="8">
      <w:start w:val="93"/>
      <w:numFmt w:val="decimal"/>
      <w:lvlText w:val="%9."/>
      <w:lvlJc w:val="left"/>
      <w:pPr>
        <w:ind w:left="6480" w:hanging="360"/>
      </w:pPr>
    </w:lvl>
  </w:abstractNum>
  <w:abstractNum w:abstractNumId="994198">
    <w:nsid w:val="0A994198"/>
    <w:multiLevelType w:val="multilevel"/>
    <w:lvl w:ilvl="0">
      <w:start w:val="98"/>
      <w:numFmt w:val="decimal"/>
      <w:lvlText w:val="%1."/>
      <w:lvlJc w:val="left"/>
      <w:pPr>
        <w:ind w:left="720" w:hanging="360"/>
      </w:pPr>
    </w:lvl>
    <w:lvl w:ilvl="1">
      <w:start w:val="98"/>
      <w:numFmt w:val="decimal"/>
      <w:lvlText w:val="%2."/>
      <w:lvlJc w:val="left"/>
      <w:pPr>
        <w:ind w:left="1440" w:hanging="360"/>
      </w:pPr>
    </w:lvl>
    <w:lvl w:ilvl="2">
      <w:start w:val="98"/>
      <w:numFmt w:val="decimal"/>
      <w:lvlText w:val="%3."/>
      <w:lvlJc w:val="left"/>
      <w:pPr>
        <w:ind w:left="2160" w:hanging="360"/>
      </w:pPr>
    </w:lvl>
    <w:lvl w:ilvl="3">
      <w:start w:val="98"/>
      <w:numFmt w:val="decimal"/>
      <w:lvlText w:val="%4."/>
      <w:lvlJc w:val="left"/>
      <w:pPr>
        <w:ind w:left="2880" w:hanging="360"/>
      </w:pPr>
    </w:lvl>
    <w:lvl w:ilvl="4">
      <w:start w:val="98"/>
      <w:numFmt w:val="decimal"/>
      <w:lvlText w:val="%5."/>
      <w:lvlJc w:val="left"/>
      <w:pPr>
        <w:ind w:left="3600" w:hanging="360"/>
      </w:pPr>
    </w:lvl>
    <w:lvl w:ilvl="5">
      <w:start w:val="98"/>
      <w:numFmt w:val="decimal"/>
      <w:lvlText w:val="%6."/>
      <w:lvlJc w:val="left"/>
      <w:pPr>
        <w:ind w:left="4320" w:hanging="360"/>
      </w:pPr>
    </w:lvl>
    <w:lvl w:ilvl="6">
      <w:start w:val="98"/>
      <w:numFmt w:val="decimal"/>
      <w:lvlText w:val="%7."/>
      <w:lvlJc w:val="left"/>
      <w:pPr>
        <w:ind w:left="5040" w:hanging="360"/>
      </w:pPr>
    </w:lvl>
    <w:lvl w:ilvl="7">
      <w:start w:val="98"/>
      <w:numFmt w:val="decimal"/>
      <w:lvlText w:val="%8."/>
      <w:lvlJc w:val="left"/>
      <w:pPr>
        <w:ind w:left="5760" w:hanging="360"/>
      </w:pPr>
    </w:lvl>
    <w:lvl w:ilvl="8">
      <w:start w:val="9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0">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1">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22">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23">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024">
    <w:abstractNumId w:val="9941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1F1F"/>
      <w:sz w:val="21"/>
    </w:rPr>
  </w:style>
  <w:style w:styleId="BodyText" w:type="paragraph">
    <w:name w:val="Body Text"/>
    <w:basedOn w:val="Normal"/>
    <w:link w:val="BodyTextChar"/>
    <w:qFormat/>
    <w:pPr>
      <w:spacing w:after="120" w:before="0"/>
    </w:pPr>
    <w:rPr>
      <w:rFonts w:ascii="Calibri" w:cs="Calibri" w:eastAsia="Calibri" w:hAnsi="Calibri"/>
      <w:color w:val="1F1F1F"/>
      <w:sz w:val="21"/>
    </w:rPr>
  </w:style>
  <w:style w:customStyle="1" w:styleId="FirstParagraph" w:type="paragraph">
    <w:name w:val="First Paragraph"/>
    <w:basedOn w:val="BodyText"/>
    <w:next w:val="BodyText"/>
    <w:qFormat/>
    <w:pPr>
      <w:spacing w:after="120" w:before="0"/>
    </w:pPr>
    <w:rPr>
      <w:rFonts w:ascii="Calibri" w:cs="Calibri" w:eastAsia="Calibri" w:hAnsi="Calibri"/>
      <w:color w:val="1F1F1F"/>
      <w:sz w:val="21"/>
    </w:rPr>
  </w:style>
  <w:style w:customStyle="1" w:styleId="Compact" w:type="paragraph">
    <w:name w:val="Compact"/>
    <w:basedOn w:val="BodyText"/>
    <w:qFormat/>
    <w:pPr>
      <w:spacing w:after="36" w:before="36"/>
    </w:pPr>
    <w:rPr>
      <w:rFonts w:ascii="Calibri" w:cs="Calibri" w:eastAsia="Calibri" w:hAnsi="Calibri"/>
      <w:color w:val="1F1F1F"/>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b/>
      <w:color w:val="1F1F1F"/>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b w:val="0"/>
      <w:color w:val="555555"/>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Calibri" w:cs="Calibri" w:eastAsia="Calibri" w:hAnsi="Calibri"/>
      <w:b w:val="0"/>
      <w:color w:val="555555"/>
      <w:sz w:val="22"/>
      <w:szCs w:val="24"/>
    </w:rPr>
  </w:style>
  <w:style w:styleId="Date" w:type="paragraph">
    <w:name w:val="Date"/>
    <w:basedOn w:val="Title"/>
    <w:next w:val="BodyText"/>
    <w:qFormat/>
    <w:pPr>
      <w:keepNext/>
      <w:keepLines/>
    </w:pPr>
    <w:rPr>
      <w:rFonts w:ascii="Calibri" w:cs="Calibri" w:eastAsia="Calibri" w:hAnsi="Calibri"/>
      <w:b w:val="0"/>
      <w:color w:val="555555"/>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120" w:before="360"/>
      <w:outlineLvl w:val="0"/>
    </w:pPr>
    <w:rPr>
      <w:rFonts w:ascii="Calibri" w:cs="Calibri" w:eastAsia="Calibri" w:hAnsi="Calibri"/>
      <w:b/>
      <w:color w:val="CD040B"/>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Calibri" w:cs="Calibri" w:eastAsia="Calibri" w:hAnsi="Calibri"/>
      <w:b/>
      <w:color w:val="1F1F1F"/>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ascii="Calibri" w:cs="Calibri" w:eastAsia="Calibri" w:hAnsi="Calibri"/>
      <w:b/>
      <w:color w:val="1F1F1F"/>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cs="Calibri" w:eastAsia="Calibri" w:hAnsi="Calibri"/>
      <w:b w:val="0"/>
      <w:i/>
      <w:color w:val="555555"/>
      <w:sz w:val="18"/>
    </w:rPr>
  </w:style>
  <w:style w:customStyle="1" w:styleId="ImageCaption" w:type="paragraph">
    <w:name w:val="Image Caption"/>
    <w:basedOn w:val="Caption"/>
    <w:rPr>
      <w:rFonts w:ascii="Calibri" w:cs="Calibri" w:eastAsia="Calibri" w:hAnsi="Calibri"/>
      <w:b w:val="0"/>
      <w:i/>
      <w:color w:val="555555"/>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Harness Optimisation for Verizon Agents</dc:title>
  <dc:creator>Varun Saagar, Verizon</dc:creator>
  <cp:keywords/>
  <dcterms:created xsi:type="dcterms:W3CDTF">2026-10-12T15:09:07Z</dcterms:created>
  <dcterms:modified xsi:type="dcterms:W3CDTF">2026-10-12T15:09:07Z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October 2026 · Research note v0.1 · companion to the Lucidic POC plan</vt:lpwstr>
  </property>
  <property fmtid="{D5CDD505-2E9C-101B-9397-08002B2CF9AE}" pid="3" name="subtitle">
    <vt:lpwstr>State of the art, open problems and a POC evaluation protocol for the Lucidic AI pilot</vt:lpwstr>
  </property>
  <property fmtid="{D5CDD505-2E9C-101B-9397-08002B2CF9AE}" pid="4" name="toc-title">
    <vt:lpwstr>Contents</vt:lpwstr>
  </property>
</Properties>
</file>