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34A00"/>
          <w:sz w:val="36"/>
        </w:rPr>
        <w:t>[YOUR COMPANY NAME]</w:t>
      </w:r>
    </w:p>
    <w:p>
      <w:pPr>
        <w:jc w:val="center"/>
      </w:pPr>
      <w:r>
        <w:rPr>
          <w:color w:val="555555"/>
          <w:sz w:val="19"/>
        </w:rPr>
        <w:t>[Company Address, City, State, PIN]  |  Phone: [+91 XXXXX XXXXX]  |  Email: [your-email@example.com]</w:t>
      </w:r>
    </w:p>
    <w:p>
      <w:pPr>
        <w:jc w:val="center"/>
      </w:pPr>
      <w:r>
        <w:rPr>
          <w:color w:val="555555"/>
          <w:sz w:val="19"/>
        </w:rPr>
        <w:t>GSTIN: [GSTIN NUMBER]  |  Website: [www.example.com]</w:t>
      </w:r>
    </w:p>
    <w:p>
      <w:r>
        <w:br/>
      </w:r>
    </w:p>
    <w:p>
      <w:pPr>
        <w:spacing w:after="240"/>
        <w:jc w:val="center"/>
      </w:pPr>
      <w:r>
        <w:rPr>
          <w:b/>
          <w:color w:val="222222"/>
          <w:sz w:val="32"/>
        </w:rPr>
        <w:t>QUOTATION</w:t>
      </w:r>
    </w:p>
    <w:tbl>
      <w:tblPr>
        <w:tblW w:type="auto" w:w="0"/>
        <w:tblLayout w:type="autofit"/>
        <w:tblLook w:firstColumn="1" w:firstRow="1" w:lastColumn="0" w:lastRow="0" w:noHBand="0" w:noVBand="1" w:val="04A0"/>
      </w:tblPr>
      <w:tblGrid>
        <w:gridCol w:w="5100"/>
        <w:gridCol w:w="5100"/>
      </w:tblGrid>
      <w:tr>
        <w:tc>
          <w:tcPr>
            <w:tcW w:type="dxa" w:w="5100"/>
          </w:tcPr>
          <w:p>
            <w:r/>
            <w:r>
              <w:rPr>
                <w:b/>
              </w:rPr>
              <w:t>Quotation To:</w:t>
              <w:br/>
            </w:r>
            <w:r>
              <w:t>Mangal Grah Mandir, Amalner</w:t>
              <w:br/>
            </w:r>
            <w:r>
              <w:t>[Address, Amalner, Maharashtra]</w:t>
              <w:br/>
            </w:r>
            <w:r>
              <w:t>[Contact Person / Phone]</w:t>
            </w:r>
          </w:p>
        </w:tc>
        <w:tc>
          <w:tcPr>
            <w:tcW w:type="dxa" w:w="5100"/>
          </w:tcPr>
          <w:p>
            <w:pPr>
              <w:jc w:val="right"/>
            </w:pPr>
            <w:r/>
            <w:r>
              <w:rPr>
                <w:b/>
              </w:rPr>
              <w:t xml:space="preserve">Quotation No: </w:t>
            </w:r>
            <w:r>
              <w:t>[QTN/2026/001]</w:t>
              <w:br/>
            </w:r>
          </w:p>
          <w:p>
            <w:pPr>
              <w:jc w:val="right"/>
            </w:pPr>
            <w:r>
              <w:rPr>
                <w:b/>
              </w:rPr>
              <w:t xml:space="preserve">Date: </w:t>
            </w:r>
            <w:r>
              <w:t>21-Aug-2026</w:t>
              <w:br/>
            </w:r>
          </w:p>
          <w:p>
            <w:pPr>
              <w:jc w:val="right"/>
            </w:pPr>
            <w:r>
              <w:rPr>
                <w:b/>
              </w:rPr>
              <w:t xml:space="preserve">Valid Until: </w:t>
            </w:r>
            <w:r>
              <w:t>[Validity Date]</w:t>
            </w:r>
          </w:p>
        </w:tc>
      </w:tr>
    </w:tbl>
    <w:p/>
    <w:p>
      <w:r>
        <w:rPr>
          <w:b/>
        </w:rPr>
        <w:t xml:space="preserve">Subject: </w:t>
      </w:r>
      <w:r>
        <w:t>Quotation for Temple Stock, Inventory &amp; Accounts Management Software ("Mangal Gruh Mandir" Application)</w:t>
      </w:r>
    </w:p>
    <w:p/>
    <w:p>
      <w:r>
        <w:t>Dear Sir/Madam,</w:t>
        <w:br/>
        <w:br/>
        <w:t>Thank you for considering us for the digitization of Mangal Grah Mandir, Amalner's stock, inventory, donation, and accounts management processes. We are pleased to submit our quotation for the supply, hosting, and ongoing support of a customized web and desktop application built specifically for temple operations.</w:t>
      </w:r>
    </w:p>
    <w:p/>
    <w:p>
      <w:r>
        <w:rPr>
          <w:b/>
          <w:color w:val="B34A00"/>
          <w:sz w:val="24"/>
        </w:rPr>
        <w:t>1. Scope of Work / Application Modules</w:t>
      </w:r>
    </w:p>
    <w:tbl>
      <w:tblPr>
        <w:tblStyle w:val="TableGrid"/>
        <w:tblW w:type="auto" w:w="0"/>
        <w:jc w:val="center"/>
        <w:tblLook w:firstColumn="1" w:firstRow="1" w:lastColumn="0" w:lastRow="0" w:noHBand="0" w:noVBand="1" w:val="04A0"/>
      </w:tblPr>
      <w:tblGrid>
        <w:gridCol w:w="2948"/>
        <w:gridCol w:w="5953"/>
      </w:tblGrid>
      <w:tr>
        <w:tc>
          <w:tcPr>
            <w:tcW w:type="dxa" w:w="5100"/>
            <w:shd w:val="clear" w:color="auto" w:fill="B34A00"/>
          </w:tcPr>
          <w:p>
            <w:r/>
            <w:r>
              <w:rPr>
                <w:b/>
                <w:color w:val="FFFFFF"/>
                <w:sz w:val="20"/>
              </w:rPr>
              <w:t>Module</w:t>
            </w:r>
          </w:p>
        </w:tc>
        <w:tc>
          <w:tcPr>
            <w:tcW w:type="dxa" w:w="5100"/>
            <w:shd w:val="clear" w:color="auto" w:fill="B34A00"/>
          </w:tcPr>
          <w:p>
            <w:r/>
            <w:r>
              <w:rPr>
                <w:b/>
                <w:color w:val="FFFFFF"/>
                <w:sz w:val="20"/>
              </w:rPr>
              <w:t>Description</w:t>
            </w:r>
          </w:p>
        </w:tc>
      </w:tr>
      <w:tr>
        <w:tc>
          <w:tcPr>
            <w:tcW w:type="dxa" w:w="2948"/>
          </w:tcPr>
          <w:p>
            <w:r/>
            <w:r>
              <w:rPr>
                <w:b/>
                <w:sz w:val="20"/>
              </w:rPr>
              <w:t>Inventory &amp; Stock Management</w:t>
            </w:r>
          </w:p>
        </w:tc>
        <w:tc>
          <w:tcPr>
            <w:tcW w:type="dxa" w:w="5953"/>
          </w:tcPr>
          <w:p>
            <w:r/>
            <w:r>
              <w:rPr>
                <w:b w:val="0"/>
                <w:sz w:val="20"/>
              </w:rPr>
              <w:t>Products, categories, units, stock batches, stock transactions, and real-time stock ledger &amp; balances.</w:t>
            </w:r>
          </w:p>
        </w:tc>
      </w:tr>
      <w:tr>
        <w:tc>
          <w:tcPr>
            <w:tcW w:type="dxa" w:w="2948"/>
          </w:tcPr>
          <w:p>
            <w:r/>
            <w:r>
              <w:rPr>
                <w:b/>
                <w:sz w:val="20"/>
              </w:rPr>
              <w:t>Purchase Management</w:t>
            </w:r>
          </w:p>
        </w:tc>
        <w:tc>
          <w:tcPr>
            <w:tcW w:type="dxa" w:w="5953"/>
          </w:tcPr>
          <w:p>
            <w:r/>
            <w:r>
              <w:rPr>
                <w:b w:val="0"/>
                <w:sz w:val="20"/>
              </w:rPr>
              <w:t>Purchase entries, supplier records, and supplier payment tracking.</w:t>
            </w:r>
          </w:p>
        </w:tc>
      </w:tr>
      <w:tr>
        <w:tc>
          <w:tcPr>
            <w:tcW w:type="dxa" w:w="2948"/>
          </w:tcPr>
          <w:p>
            <w:r/>
            <w:r>
              <w:rPr>
                <w:b/>
                <w:sz w:val="20"/>
              </w:rPr>
              <w:t>Donation Management</w:t>
            </w:r>
          </w:p>
        </w:tc>
        <w:tc>
          <w:tcPr>
            <w:tcW w:type="dxa" w:w="5953"/>
          </w:tcPr>
          <w:p>
            <w:r/>
            <w:r>
              <w:rPr>
                <w:b w:val="0"/>
                <w:sz w:val="20"/>
              </w:rPr>
              <w:t>Donation entry and tracking, linked to donation occasions/festivals.</w:t>
            </w:r>
          </w:p>
        </w:tc>
      </w:tr>
      <w:tr>
        <w:tc>
          <w:tcPr>
            <w:tcW w:type="dxa" w:w="2948"/>
          </w:tcPr>
          <w:p>
            <w:r/>
            <w:r>
              <w:rPr>
                <w:b/>
                <w:sz w:val="20"/>
              </w:rPr>
              <w:t>Mahaprasad Management</w:t>
            </w:r>
          </w:p>
        </w:tc>
        <w:tc>
          <w:tcPr>
            <w:tcW w:type="dxa" w:w="5953"/>
          </w:tcPr>
          <w:p>
            <w:r/>
            <w:r>
              <w:rPr>
                <w:b w:val="0"/>
                <w:sz w:val="20"/>
              </w:rPr>
              <w:t>Coupon sales, cash drawer reconciliation, and occasion-wise Mahaprasad accounting.</w:t>
            </w:r>
          </w:p>
        </w:tc>
      </w:tr>
      <w:tr>
        <w:tc>
          <w:tcPr>
            <w:tcW w:type="dxa" w:w="2948"/>
          </w:tcPr>
          <w:p>
            <w:r/>
            <w:r>
              <w:rPr>
                <w:b/>
                <w:sz w:val="20"/>
              </w:rPr>
              <w:t>Expense Management</w:t>
            </w:r>
          </w:p>
        </w:tc>
        <w:tc>
          <w:tcPr>
            <w:tcW w:type="dxa" w:w="5953"/>
          </w:tcPr>
          <w:p>
            <w:r/>
            <w:r>
              <w:rPr>
                <w:b w:val="0"/>
                <w:sz w:val="20"/>
              </w:rPr>
              <w:t>Department-wise expenses with budget tracking and control.</w:t>
            </w:r>
          </w:p>
        </w:tc>
      </w:tr>
      <w:tr>
        <w:tc>
          <w:tcPr>
            <w:tcW w:type="dxa" w:w="2948"/>
          </w:tcPr>
          <w:p>
            <w:r/>
            <w:r>
              <w:rPr>
                <w:b/>
                <w:sz w:val="20"/>
              </w:rPr>
              <w:t>Asset Management</w:t>
            </w:r>
          </w:p>
        </w:tc>
        <w:tc>
          <w:tcPr>
            <w:tcW w:type="dxa" w:w="5953"/>
          </w:tcPr>
          <w:p>
            <w:r/>
            <w:r>
              <w:rPr>
                <w:b w:val="0"/>
                <w:sz w:val="20"/>
              </w:rPr>
              <w:t>Asset register, asset units, borrow/return tracking, and asset condition reports.</w:t>
            </w:r>
          </w:p>
        </w:tc>
      </w:tr>
      <w:tr>
        <w:tc>
          <w:tcPr>
            <w:tcW w:type="dxa" w:w="2948"/>
          </w:tcPr>
          <w:p>
            <w:r/>
            <w:r>
              <w:rPr>
                <w:b/>
                <w:sz w:val="20"/>
              </w:rPr>
              <w:t>Financial Reports</w:t>
            </w:r>
          </w:p>
        </w:tc>
        <w:tc>
          <w:tcPr>
            <w:tcW w:type="dxa" w:w="5953"/>
          </w:tcPr>
          <w:p>
            <w:r/>
            <w:r>
              <w:rPr>
                <w:b w:val="0"/>
                <w:sz w:val="20"/>
              </w:rPr>
              <w:t>Dashboard, Profit &amp; Loss statement, and consolidated operational reports.</w:t>
            </w:r>
          </w:p>
        </w:tc>
      </w:tr>
      <w:tr>
        <w:tc>
          <w:tcPr>
            <w:tcW w:type="dxa" w:w="2948"/>
          </w:tcPr>
          <w:p>
            <w:r/>
            <w:r>
              <w:rPr>
                <w:b/>
                <w:sz w:val="20"/>
              </w:rPr>
              <w:t>User &amp; Role Management</w:t>
            </w:r>
          </w:p>
        </w:tc>
        <w:tc>
          <w:tcPr>
            <w:tcW w:type="dxa" w:w="5953"/>
          </w:tcPr>
          <w:p>
            <w:r/>
            <w:r>
              <w:rPr>
                <w:b w:val="0"/>
                <w:sz w:val="20"/>
              </w:rPr>
              <w:t>Role-based access control for admin and staff users.</w:t>
            </w:r>
          </w:p>
        </w:tc>
      </w:tr>
      <w:tr>
        <w:tc>
          <w:tcPr>
            <w:tcW w:type="dxa" w:w="2948"/>
          </w:tcPr>
          <w:p>
            <w:r/>
            <w:r>
              <w:rPr>
                <w:b/>
                <w:sz w:val="20"/>
              </w:rPr>
              <w:t>Audit Log</w:t>
            </w:r>
          </w:p>
        </w:tc>
        <w:tc>
          <w:tcPr>
            <w:tcW w:type="dxa" w:w="5953"/>
          </w:tcPr>
          <w:p>
            <w:r/>
            <w:r>
              <w:rPr>
                <w:b w:val="0"/>
                <w:sz w:val="20"/>
              </w:rPr>
              <w:t>System-wide activity log for accountability and transparency.</w:t>
            </w:r>
          </w:p>
        </w:tc>
      </w:tr>
      <w:tr>
        <w:tc>
          <w:tcPr>
            <w:tcW w:type="dxa" w:w="2948"/>
          </w:tcPr>
          <w:p>
            <w:r/>
            <w:r>
              <w:rPr>
                <w:b/>
                <w:sz w:val="20"/>
              </w:rPr>
              <w:t>Settings &amp; Payment Templates</w:t>
            </w:r>
          </w:p>
        </w:tc>
        <w:tc>
          <w:tcPr>
            <w:tcW w:type="dxa" w:w="5953"/>
          </w:tcPr>
          <w:p>
            <w:r/>
            <w:r>
              <w:rPr>
                <w:b w:val="0"/>
                <w:sz w:val="20"/>
              </w:rPr>
              <w:t>Configurable organization settings and reusable payment templates.</w:t>
            </w:r>
          </w:p>
        </w:tc>
      </w:tr>
      <w:tr>
        <w:tc>
          <w:tcPr>
            <w:tcW w:type="dxa" w:w="2948"/>
          </w:tcPr>
          <w:p>
            <w:r/>
            <w:r>
              <w:rPr>
                <w:b/>
                <w:sz w:val="20"/>
              </w:rPr>
              <w:t>Multi-Platform Access</w:t>
            </w:r>
          </w:p>
        </w:tc>
        <w:tc>
          <w:tcPr>
            <w:tcW w:type="dxa" w:w="5953"/>
          </w:tcPr>
          <w:p>
            <w:r/>
            <w:r>
              <w:rPr>
                <w:b w:val="0"/>
                <w:sz w:val="20"/>
              </w:rPr>
              <w:t>Accessible via web browser and desktop (Windows) application.</w:t>
            </w:r>
          </w:p>
        </w:tc>
      </w:tr>
    </w:tbl>
    <w:p/>
    <w:p>
      <w:r>
        <w:rPr>
          <w:b/>
          <w:color w:val="B34A00"/>
          <w:sz w:val="24"/>
        </w:rPr>
        <w:t>2. Pricing &amp; Billing</w:t>
      </w:r>
    </w:p>
    <w:tbl>
      <w:tblPr>
        <w:tblStyle w:val="TableGrid"/>
        <w:tblW w:type="auto" w:w="0"/>
        <w:tblLook w:firstColumn="1" w:firstRow="1" w:lastColumn="0" w:lastRow="0" w:noHBand="0" w:noVBand="1" w:val="04A0"/>
      </w:tblPr>
      <w:tblGrid>
        <w:gridCol w:w="5953"/>
        <w:gridCol w:w="2948"/>
      </w:tblGrid>
      <w:tr>
        <w:tc>
          <w:tcPr>
            <w:tcW w:type="dxa" w:w="5100"/>
            <w:shd w:val="clear" w:color="auto" w:fill="B34A00"/>
          </w:tcPr>
          <w:p>
            <w:r/>
            <w:r>
              <w:rPr>
                <w:b/>
                <w:color w:val="FFFFFF"/>
                <w:sz w:val="20"/>
              </w:rPr>
              <w:t>Particulars</w:t>
            </w:r>
          </w:p>
        </w:tc>
        <w:tc>
          <w:tcPr>
            <w:tcW w:type="dxa" w:w="5100"/>
            <w:shd w:val="clear" w:color="auto" w:fill="B34A00"/>
          </w:tcPr>
          <w:p>
            <w:pPr>
              <w:jc w:val="right"/>
            </w:pPr>
            <w:r/>
            <w:r>
              <w:rPr>
                <w:b/>
                <w:color w:val="FFFFFF"/>
                <w:sz w:val="20"/>
              </w:rPr>
              <w:t>Amount (INR)</w:t>
            </w:r>
          </w:p>
        </w:tc>
      </w:tr>
      <w:tr>
        <w:tc>
          <w:tcPr>
            <w:tcW w:type="dxa" w:w="5953"/>
          </w:tcPr>
          <w:p>
            <w:r/>
            <w:r>
              <w:rPr>
                <w:b w:val="0"/>
                <w:sz w:val="20"/>
              </w:rPr>
              <w:t>Annual Subscription Fee (equivalent to Rs. 9,000/month, billed annually in advance)</w:t>
            </w:r>
          </w:p>
        </w:tc>
        <w:tc>
          <w:tcPr>
            <w:tcW w:type="dxa" w:w="2948"/>
          </w:tcPr>
          <w:p>
            <w:pPr>
              <w:jc w:val="right"/>
            </w:pPr>
            <w:r/>
            <w:r>
              <w:rPr>
                <w:b w:val="0"/>
                <w:sz w:val="20"/>
              </w:rPr>
              <w:t>1,08,000</w:t>
            </w:r>
          </w:p>
        </w:tc>
      </w:tr>
      <w:tr>
        <w:tc>
          <w:tcPr>
            <w:tcW w:type="dxa" w:w="5953"/>
          </w:tcPr>
          <w:p>
            <w:r/>
            <w:r>
              <w:rPr>
                <w:b w:val="0"/>
                <w:sz w:val="20"/>
              </w:rPr>
              <w:t>One-time Setup, Data Migration &amp; Training</w:t>
            </w:r>
          </w:p>
        </w:tc>
        <w:tc>
          <w:tcPr>
            <w:tcW w:type="dxa" w:w="2948"/>
          </w:tcPr>
          <w:p>
            <w:pPr>
              <w:jc w:val="right"/>
            </w:pPr>
            <w:r/>
            <w:r>
              <w:rPr>
                <w:b w:val="0"/>
                <w:sz w:val="20"/>
              </w:rPr>
              <w:t>Waived / Included</w:t>
            </w:r>
          </w:p>
        </w:tc>
      </w:tr>
      <w:tr>
        <w:tc>
          <w:tcPr>
            <w:tcW w:type="dxa" w:w="5953"/>
          </w:tcPr>
          <w:p>
            <w:r/>
            <w:r>
              <w:rPr>
                <w:b w:val="0"/>
                <w:sz w:val="20"/>
              </w:rPr>
              <w:t>New Feature / Module Development (only if requested, beyond current scope)</w:t>
            </w:r>
          </w:p>
        </w:tc>
        <w:tc>
          <w:tcPr>
            <w:tcW w:type="dxa" w:w="2948"/>
          </w:tcPr>
          <w:p>
            <w:pPr>
              <w:jc w:val="right"/>
            </w:pPr>
            <w:r/>
            <w:r>
              <w:rPr>
                <w:b w:val="0"/>
                <w:sz w:val="20"/>
              </w:rPr>
              <w:t>One-time fee, quoted separately</w:t>
            </w:r>
          </w:p>
        </w:tc>
      </w:tr>
      <w:tr>
        <w:tc>
          <w:tcPr>
            <w:tcW w:type="dxa" w:w="5953"/>
          </w:tcPr>
          <w:p>
            <w:r/>
            <w:r>
              <w:rPr>
                <w:b w:val="0"/>
                <w:sz w:val="20"/>
              </w:rPr>
              <w:t>Add: GST @ 18%</w:t>
            </w:r>
          </w:p>
        </w:tc>
        <w:tc>
          <w:tcPr>
            <w:tcW w:type="dxa" w:w="2948"/>
          </w:tcPr>
          <w:p>
            <w:pPr>
              <w:jc w:val="right"/>
            </w:pPr>
            <w:r/>
            <w:r>
              <w:rPr>
                <w:b w:val="0"/>
                <w:sz w:val="20"/>
              </w:rPr>
              <w:t>19,440</w:t>
            </w:r>
          </w:p>
        </w:tc>
      </w:tr>
      <w:tr>
        <w:tc>
          <w:tcPr>
            <w:tcW w:type="dxa" w:w="5953"/>
            <w:shd w:val="clear" w:color="auto" w:fill="F2E4D8"/>
          </w:tcPr>
          <w:p>
            <w:r/>
            <w:r>
              <w:rPr>
                <w:b/>
                <w:sz w:val="21"/>
              </w:rPr>
              <w:t>Total Payable (Annual, incl. GST)</w:t>
            </w:r>
          </w:p>
        </w:tc>
        <w:tc>
          <w:tcPr>
            <w:tcW w:type="dxa" w:w="2948"/>
            <w:shd w:val="clear" w:color="auto" w:fill="F2E4D8"/>
          </w:tcPr>
          <w:p>
            <w:pPr>
              <w:jc w:val="right"/>
            </w:pPr>
            <w:r/>
            <w:r>
              <w:rPr>
                <w:b/>
                <w:sz w:val="21"/>
              </w:rPr>
              <w:t>Rs. 1,27,440</w:t>
            </w:r>
          </w:p>
        </w:tc>
      </w:tr>
    </w:tbl>
    <w:p/>
    <w:p>
      <w:r>
        <w:rPr>
          <w:b/>
        </w:rPr>
        <w:t xml:space="preserve">Billing Cycle: </w:t>
      </w:r>
      <w:r>
        <w:t>Annual, payable in advance at the start of each subscription year.</w:t>
      </w:r>
    </w:p>
    <w:p>
      <w:r>
        <w:rPr>
          <w:b/>
        </w:rPr>
        <w:t xml:space="preserve">Included in the Subscription Fee: </w:t>
      </w:r>
      <w:r>
        <w:t>Application hosting/server costs and ongoing support &amp; maintenance for the duration of the subscription.</w:t>
      </w:r>
    </w:p>
    <w:p/>
    <w:p>
      <w:r>
        <w:rPr>
          <w:b/>
          <w:color w:val="B34A00"/>
          <w:sz w:val="24"/>
        </w:rPr>
        <w:t>3. Terms &amp; Conditions</w:t>
      </w:r>
    </w:p>
    <w:p>
      <w:pPr>
        <w:pStyle w:val="ListBullet"/>
      </w:pPr>
      <w:r>
        <w:t>This quotation is valid for [X] days from the date of issue, i.e. until [Validity Date].</w:t>
      </w:r>
    </w:p>
    <w:p>
      <w:pPr>
        <w:pStyle w:val="ListBullet"/>
      </w:pPr>
      <w:r>
        <w:t>Payment Terms: 100% of the annual subscription fee is payable in advance before/upon activation of service for that year; renewal invoice to be raised [X] days before expiry.</w:t>
      </w:r>
    </w:p>
    <w:p>
      <w:pPr>
        <w:pStyle w:val="ListBullet"/>
      </w:pPr>
      <w:r>
        <w:t>One-time setup, data migration, and training are included at no additional cost as part of this offer.</w:t>
      </w:r>
    </w:p>
    <w:p>
      <w:pPr>
        <w:pStyle w:val="ListBullet"/>
      </w:pPr>
      <w:r>
        <w:t>Application hosting and ongoing support &amp; maintenance are included in the Annual Subscription Fee for the subscription period, at no additional recurring cost.</w:t>
      </w:r>
    </w:p>
    <w:p>
      <w:pPr>
        <w:pStyle w:val="ListBullet"/>
      </w:pPr>
      <w:r>
        <w:t>Future/ongoing technical support (bug fixes, minor corrections, and day-to-day assistance) for the existing application will continue to be covered under the Annual Subscription Fee upon renewal, with no separate charge.</w:t>
      </w:r>
    </w:p>
    <w:p>
      <w:pPr>
        <w:pStyle w:val="ListBullet"/>
      </w:pPr>
      <w:r>
        <w:t>Any new feature or module requested beyond the scope listed in Section 1 will require a separate one-time development fee, to be scoped and quoted based on the complexity of that feature, payable before development begins.</w:t>
      </w:r>
    </w:p>
    <w:p>
      <w:pPr>
        <w:pStyle w:val="ListBullet"/>
      </w:pPr>
      <w:r>
        <w:t>Data backups will be maintained as per the standard backup policy; details to be shared separately in the Service Agreement.</w:t>
      </w:r>
    </w:p>
    <w:p>
      <w:pPr>
        <w:pStyle w:val="ListBullet"/>
      </w:pPr>
      <w:r>
        <w:t>GST will be charged as applicable at the prevailing rate (currently 18%) and shown separately on the invoice.</w:t>
      </w:r>
    </w:p>
    <w:p>
      <w:pPr>
        <w:pStyle w:val="ListBullet"/>
      </w:pPr>
      <w:r>
        <w:t>Bank Details for Payment: [Bank Name, Account No., IFSC Code].</w:t>
      </w:r>
    </w:p>
    <w:p/>
    <w:p>
      <w:r>
        <w:t>We appreciate the opportunity to work with Mangal Grah Mandir, Amalner and look forward to your confirmation. Please feel free to reach out for any clarification.</w:t>
      </w:r>
    </w:p>
    <w:p/>
    <w:p/>
    <w:p>
      <w:r>
        <w:rPr>
          <w:b/>
        </w:rPr>
        <w:t>For [YOUR COMPANY NAME]</w:t>
      </w:r>
    </w:p>
    <w:p/>
    <w:p/>
    <w:p>
      <w:r>
        <w:rPr>
          <w:b/>
        </w:rPr>
        <w:t>Authorized Signatory</w:t>
      </w:r>
    </w:p>
    <w:p>
      <w:r>
        <w:t>Name: [Signatory Name]</w:t>
      </w:r>
    </w:p>
    <w:p>
      <w:r>
        <w:t>Designation: [Designation]</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