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```markdown</w:t>
      </w:r>
    </w:p>
    <w:p>
      <w:pPr>
        <w:pStyle w:val="Heading1"/>
      </w:pPr>
      <w:r>
        <w:t xml:space="preserve">Bill of Quantities - [Your Company Name] - GOV-CC-2025-001</w:t>
      </w:r>
    </w:p>
    <w:p/>
    <w:p>
      <w:pPr>
        <w:pStyle w:val="Heading2"/>
      </w:pPr>
      <w:r>
        <w:t xml:space="preserve">Introduction</w:t>
      </w:r>
    </w:p>
    <w:p/>
    <w:p>
      <w:r>
        <w:t xml:space="preserve">This Bill of Quantities (BoQ) provides a comprehensive and transparent breakdown of all costs associated with the NSW Government's Community Centre Redevelopment project (GOV-CC-2025-001). We understand the project's heritage considerations and community impact and have developed this BoQ with these factors in mind. Our meticulous approach ensures cost certainty, proactive risk management, and exceptional value. Our advanced cost management system allows us to precisely track labor and materials, ensuring budget adherence and proactive risk mitigation. This detailed BoQ is presented in accordance with Section 3 of the Request for Tender (RFT) and reflects our commitment to delivering a successful and cost-effective project.</w:t>
      </w:r>
    </w:p>
    <w:p/>
    <w:p>
      <w:pPr>
        <w:pStyle w:val="Heading2"/>
      </w:pPr>
      <w:r>
        <w:t xml:space="preserve">Executive Summary</w:t>
      </w:r>
    </w:p>
    <w:p/>
    <w:p>
      <w:r>
        <w:t xml:space="preserve">Our tendered price reflects our dedication to Phase-Optimized Cost Efficiency and leverages our Skilled Labor &amp; Strategic Sourcing Advantage. We have integrated a contingency plan exceeding the minimum 5% requirement, specifically addressing heritage-related risks identified during the mandatory site inspection. We are committed to Transparent &amp; Itemized Cost Control through our Bill of Quantities management system, offering complete transparency. We provide Guaranteed Delivery &amp; Value Engineering by employing value engineering principles throughout the project lifecycle.</w:t>
      </w:r>
    </w:p>
    <w:p/>
    <w:p>
      <w:pPr>
        <w:pStyle w:val="Heading2"/>
      </w:pPr>
      <w:r>
        <w:t xml:space="preserve">Phase Breakdown and Price Schedule</w:t>
      </w:r>
    </w:p>
    <w:p/>
    <w:p>
      <w:r>
        <w:t xml:space="preserve">This section details the cost breakdown by construction phase, aligning with Section 3 of the RFT.</w:t>
      </w:r>
    </w:p>
    <w:p/>
    <w:p>
      <w:r>
        <w:t xml:space="preserve">| Phase                  | Description                                                                                                                                          | Start Date | End Date   | Estimated Cost (GST excl.) |</w:t>
      </w:r>
    </w:p>
    <w:p>
      <w:r>
        <w:t xml:space="preserve">|------------------------|-------------------------------------------------------------------------------------------------------------------------------------------------------|------------|------------|-----------------------------|</w:t>
      </w:r>
    </w:p>
    <w:p>
      <w:r>
        <w:t xml:space="preserve">| </w:t>
      </w:r>
      <w:r>
        <w:rPr>
          <w:b/>
          <w:bCs/>
        </w:rPr>
        <w:t xml:space="preserve">Phase 1: Demolition &amp; Site Preparation</w:t>
      </w:r>
      <w:r>
        <w:t xml:space="preserve"> | Demolition of non-heritage structures, site clearance, and preparation for new construction. Includes asbestos removal (if identified).  | 01/04/2025 | 30/04/2025 | $450,000                     |</w:t>
      </w:r>
    </w:p>
    <w:p>
      <w:r>
        <w:t xml:space="preserve">| </w:t>
      </w:r>
      <w:r>
        <w:rPr>
          <w:b/>
          <w:bCs/>
        </w:rPr>
        <w:t xml:space="preserve">Phase 2: Heritage Restoration &amp; Structural Reinforcement</w:t>
      </w:r>
      <w:r>
        <w:t xml:space="preserve"> | Restoration of heritage facade, structural reinforcement of existing building. Critical path activities.                                                              | 01/05/2025 | 30/07/2025 | $1,500,000                   |</w:t>
      </w:r>
    </w:p>
    <w:p>
      <w:r>
        <w:t xml:space="preserve">| </w:t>
      </w:r>
      <w:r>
        <w:rPr>
          <w:b/>
          <w:bCs/>
        </w:rPr>
        <w:t xml:space="preserve">Phase 3: New Construction &amp; Fit-Out</w:t>
      </w:r>
      <w:r>
        <w:t xml:space="preserve"> | Construction of new building elements, including walls, roofing, and internal fit-out.                                                                                                    | 01/08/2025 | 30/11/2025 | $2,250,000                   |</w:t>
      </w:r>
    </w:p>
    <w:p>
      <w:r>
        <w:t xml:space="preserve">| </w:t>
      </w:r>
      <w:r>
        <w:rPr>
          <w:b/>
          <w:bCs/>
        </w:rPr>
        <w:t xml:space="preserve">Phase 4: Services Installation (MEP)</w:t>
      </w:r>
      <w:r>
        <w:t xml:space="preserve"> | Installation of mechanical, electrical, and plumbing services.                                                                                                                       | 01/12/2025 | 31/01/2026 | $750,000                     |</w:t>
      </w:r>
    </w:p>
    <w:p>
      <w:r>
        <w:t xml:space="preserve">| </w:t>
      </w:r>
      <w:r>
        <w:rPr>
          <w:b/>
          <w:bCs/>
        </w:rPr>
        <w:t xml:space="preserve">Phase 5: Landscaping &amp; External Works</w:t>
      </w:r>
      <w:r>
        <w:t xml:space="preserve"> | Landscaping, paving, and external works to complete the project.                                                                                                                       | 01/02/2026 | 31/03/2026 | $250,000                     |</w:t>
      </w:r>
    </w:p>
    <w:p>
      <w:r>
        <w:t xml:space="preserve">| </w:t>
      </w:r>
      <w:r>
        <w:rPr>
          <w:b/>
          <w:bCs/>
        </w:rPr>
        <w:t xml:space="preserve">Total Project Cost</w:t>
      </w:r>
      <w:r>
        <w:t xml:space="preserve"> |                                                                                                                                                        |            |            | </w:t>
      </w:r>
      <w:r>
        <w:rPr>
          <w:b/>
          <w:bCs/>
        </w:rPr>
        <w:t xml:space="preserve">$5,200,000</w:t>
      </w:r>
      <w:r>
        <w:t xml:space="preserve">                |</w:t>
      </w:r>
    </w:p>
    <w:p/>
    <w:p>
      <w:r>
        <w:rPr>
          <w:i/>
          <w:iCs/>
        </w:rPr>
        <w:t xml:space="preserve">Note: All costs are GST exclusive.</w:t>
      </w:r>
    </w:p>
    <w:p/>
    <w:p>
      <w:pPr>
        <w:pStyle w:val="Heading2"/>
      </w:pPr>
      <w:r>
        <w:t xml:space="preserve">Itemized Cost Breakdown</w:t>
      </w:r>
    </w:p>
    <w:p/>
    <w:p>
      <w:pPr>
        <w:pStyle w:val="Heading3"/>
      </w:pPr>
      <w:r>
        <w:t xml:space="preserve">Phase 1: Demolition &amp; Site Preparation</w:t>
      </w:r>
    </w:p>
    <w:p/>
    <w:p>
      <w:r>
        <w:t xml:space="preserve">| Item Description                                  | Unit  | Quantity | Unit Cost ($) | Total Cost ($) |</w:t>
      </w:r>
    </w:p>
    <w:p>
      <w:r>
        <w:t xml:space="preserve">|---------------------------------------------------|-------|----------|---------------|----------------|</w:t>
      </w:r>
    </w:p>
    <w:p>
      <w:r>
        <w:t xml:space="preserve">| Demolition of Non-Heritage Structures           | m3    | 200      | 50            | 10,000         |</w:t>
      </w:r>
    </w:p>
    <w:p>
      <w:r>
        <w:t xml:space="preserve">| Site Clearance                                      | m2    | 1000     | 10            | 10,000         |</w:t>
      </w:r>
    </w:p>
    <w:p>
      <w:r>
        <w:t xml:space="preserve">| Asbestos Removal (If Required)                   | m2    | 0        | 150           | 0              |</w:t>
      </w:r>
    </w:p>
    <w:p>
      <w:r>
        <w:t xml:space="preserve">| Waste Disposal                                      | tonne | 50       | 100           | 5,000          |</w:t>
      </w:r>
    </w:p>
    <w:p>
      <w:r>
        <w:t xml:space="preserve">| Site Survey &amp; Setout                               | LS    | 1        | 2,000         | 2,000          |</w:t>
      </w:r>
    </w:p>
    <w:p>
      <w:r>
        <w:t xml:space="preserve">| </w:t>
      </w:r>
      <w:r>
        <w:rPr>
          <w:b/>
          <w:bCs/>
        </w:rPr>
        <w:t xml:space="preserve">Subtotal Phase 1</w:t>
      </w:r>
      <w:r>
        <w:t xml:space="preserve">                              |       |          |               | </w:t>
      </w:r>
      <w:r>
        <w:rPr>
          <w:b/>
          <w:bCs/>
        </w:rPr>
        <w:t xml:space="preserve">$27,000</w:t>
      </w:r>
      <w:r>
        <w:t xml:space="preserve">        |</w:t>
      </w:r>
    </w:p>
    <w:p/>
    <w:p>
      <w:pPr>
        <w:pStyle w:val="Heading3"/>
      </w:pPr>
      <w:r>
        <w:t xml:space="preserve">Phase 2: Heritage Restoration &amp; Structural Reinforcement</w:t>
      </w:r>
    </w:p>
    <w:p/>
    <w:p>
      <w:r>
        <w:t xml:space="preserve">| Item Description                                  | Unit  | Quantity | Unit Cost ($) | Total Cost ($) | Supplier Details | Lead Time (Weeks) |</w:t>
      </w:r>
    </w:p>
    <w:p>
      <w:r>
        <w:t xml:space="preserve">|---------------------------------------------------|-------|----------|---------------|----------------|------------------|-------------------|</w:t>
      </w:r>
    </w:p>
    <w:p>
      <w:r>
        <w:t xml:space="preserve">| Facade Cleaning &amp; Repair                          | m2    | 500      | 100           | 50,000         | Heritage Cleaning Pty Ltd | 2 |</w:t>
      </w:r>
    </w:p>
    <w:p>
      <w:r>
        <w:t xml:space="preserve">| Mortar Repair &amp; Repointing                        | m2    | 300      | 150           | 45,000         | Heritage Mortars Ltd | 3 |</w:t>
      </w:r>
    </w:p>
    <w:p>
      <w:r>
        <w:t xml:space="preserve">| Structural Steel Reinforcement                   | tonne | 20       | 3,000         | 60,000         | Steel Solutions Aus | 4 |</w:t>
      </w:r>
    </w:p>
    <w:p>
      <w:r>
        <w:t xml:space="preserve">| Timber Restoration                                | m3    | 10       | 5,000         | 50,000         | Timber Treasures Pty Ltd | 6 |</w:t>
      </w:r>
    </w:p>
    <w:p>
      <w:r>
        <w:t xml:space="preserve">| Specialist Heritage Consultant Fees               | day   | 20       | 1,500         | 30,000         | Dr. Emily Carter | N/A |</w:t>
      </w:r>
    </w:p>
    <w:p>
      <w:r>
        <w:t xml:space="preserve">| </w:t>
      </w:r>
      <w:r>
        <w:rPr>
          <w:b/>
          <w:bCs/>
        </w:rPr>
        <w:t xml:space="preserve">Subtotal Phase 2</w:t>
      </w:r>
      <w:r>
        <w:t xml:space="preserve">                              |       |          |               | </w:t>
      </w:r>
      <w:r>
        <w:rPr>
          <w:b/>
          <w:bCs/>
        </w:rPr>
        <w:t xml:space="preserve">$235,000</w:t>
      </w:r>
      <w:r>
        <w:t xml:space="preserve">         |                  |                   |</w:t>
      </w:r>
    </w:p>
    <w:p/>
    <w:p>
      <w:pPr>
        <w:pStyle w:val="Heading3"/>
      </w:pPr>
      <w:r>
        <w:t xml:space="preserve">Phase 3: New Construction &amp; Fit-Out</w:t>
      </w:r>
    </w:p>
    <w:p/>
    <w:p>
      <w:r>
        <w:t xml:space="preserve">| Item Description                                  | Unit  | Quantity | Unit Cost ($) | Total Cost ($) | Supplier Details | Lead Time (Weeks) |</w:t>
      </w:r>
    </w:p>
    <w:p>
      <w:r>
        <w:t xml:space="preserve">|---------------------------------------------------|-------|----------|---------------|----------------|------------------|-------------------|</w:t>
      </w:r>
    </w:p>
    <w:p>
      <w:r>
        <w:t xml:space="preserve">| Concrete Slab                                     | m3    | 100      | 500           | 50,000         | ABC Concrete Supplies | 1 |</w:t>
      </w:r>
    </w:p>
    <w:p>
      <w:r>
        <w:t xml:space="preserve">| Brickwork                                         | m2    | 400      | 80            | 32,000         | Brickworks Ltd | 2 |</w:t>
      </w:r>
    </w:p>
    <w:p>
      <w:r>
        <w:t xml:space="preserve">| Roofing                                           | m2    | 200      | 120           | 24,000         | Roofing Solutions Pty Ltd | 3 |</w:t>
      </w:r>
    </w:p>
    <w:p>
      <w:r>
        <w:t xml:space="preserve">| Internal Walls &amp; Partitions                      | m2    | 500      | 60            | 30,000         | Gyprock Australia | 1 |</w:t>
      </w:r>
    </w:p>
    <w:p>
      <w:r>
        <w:t xml:space="preserve">| Flooring                                          | m2    | 500      | 70            | 35,000         | Carpet Court | 2 |</w:t>
      </w:r>
    </w:p>
    <w:p>
      <w:r>
        <w:t xml:space="preserve">| Painting                                          | m2    | 1000     | 20            | 20,000         | Dulux Australia | 1 |</w:t>
      </w:r>
    </w:p>
    <w:p>
      <w:r>
        <w:t xml:space="preserve">| Fixtures &amp; Fittings                             | LS    | 1        | 50,000        | 50,000         | Reece Plumbing | 3 |</w:t>
      </w:r>
    </w:p>
    <w:p>
      <w:r>
        <w:t xml:space="preserve">| </w:t>
      </w:r>
      <w:r>
        <w:rPr>
          <w:b/>
          <w:bCs/>
        </w:rPr>
        <w:t xml:space="preserve">Subtotal Phase 3</w:t>
      </w:r>
      <w:r>
        <w:t xml:space="preserve">                              |       |          |               | </w:t>
      </w:r>
      <w:r>
        <w:rPr>
          <w:b/>
          <w:bCs/>
        </w:rPr>
        <w:t xml:space="preserve">$241,000</w:t>
      </w:r>
      <w:r>
        <w:t xml:space="preserve">         |                  |                   |</w:t>
      </w:r>
    </w:p>
    <w:p/>
    <w:p>
      <w:pPr>
        <w:pStyle w:val="Heading3"/>
      </w:pPr>
      <w:r>
        <w:t xml:space="preserve">Phase 4: Services Installation (MEP)</w:t>
      </w:r>
    </w:p>
    <w:p/>
    <w:p>
      <w:r>
        <w:t xml:space="preserve">| Item Description                                  | Unit  | Quantity | Unit Cost ($) | Total Cost ($) | Supplier Details | Lead Time (Weeks) |</w:t>
      </w:r>
    </w:p>
    <w:p>
      <w:r>
        <w:t xml:space="preserve">|---------------------------------------------------|-------|----------|---------------|----------------|------------------|-------------------|</w:t>
      </w:r>
    </w:p>
    <w:p>
      <w:r>
        <w:t xml:space="preserve">| Electrical Wiring &amp; Distribution                 | LS    | 1        | 60,000        | 60,000         | Schneider Electric | 4 |</w:t>
      </w:r>
    </w:p>
    <w:p>
      <w:r>
        <w:t xml:space="preserve">| Lighting Fixtures                                 | No.   | 100      | 100           | 10,000         | Philips Lighting | 3 |</w:t>
      </w:r>
    </w:p>
    <w:p>
      <w:r>
        <w:t xml:space="preserve">| Plumbing &amp; Drainage                               | LS    | 1        | 40,000        | 40,000         | Reece Plumbing | 3 |</w:t>
      </w:r>
    </w:p>
    <w:p>
      <w:r>
        <w:t xml:space="preserve">| HVAC System Installation                          | LS    | 1        | 80,000        | 80,000         | Daikin Australia | 6 |</w:t>
      </w:r>
    </w:p>
    <w:p>
      <w:r>
        <w:t xml:space="preserve">| Fire Protection System                             | LS    | 1        | 30,000        | 30,000         | Chubb Fire &amp; Security | 5 |</w:t>
      </w:r>
    </w:p>
    <w:p>
      <w:r>
        <w:t xml:space="preserve">| </w:t>
      </w:r>
      <w:r>
        <w:rPr>
          <w:b/>
          <w:bCs/>
        </w:rPr>
        <w:t xml:space="preserve">Subtotal Phase 4</w:t>
      </w:r>
      <w:r>
        <w:t xml:space="preserve">                              |       |          |               | </w:t>
      </w:r>
      <w:r>
        <w:rPr>
          <w:b/>
          <w:bCs/>
        </w:rPr>
        <w:t xml:space="preserve">$220,000</w:t>
      </w:r>
      <w:r>
        <w:t xml:space="preserve">         |                  |                   |</w:t>
      </w:r>
    </w:p>
    <w:p/>
    <w:p>
      <w:pPr>
        <w:pStyle w:val="Heading3"/>
      </w:pPr>
      <w:r>
        <w:t xml:space="preserve">Phase 5: Landscaping &amp; External Works</w:t>
      </w:r>
    </w:p>
    <w:p/>
    <w:p>
      <w:r>
        <w:t xml:space="preserve">| Item Description                                  | Unit  | Quantity | Unit Cost ($) | Total Cost ($) | Supplier Details | Lead Time (Weeks) |</w:t>
      </w:r>
    </w:p>
    <w:p>
      <w:r>
        <w:t xml:space="preserve">|---------------------------------------------------|-------|----------|---------------|----------------|------------------|-------------------|</w:t>
      </w:r>
    </w:p>
    <w:p>
      <w:r>
        <w:t xml:space="preserve">| Landscaping                                       | m2    | 200      | 50            | 10,000         | GreenScape Pty Ltd | 2 |</w:t>
      </w:r>
    </w:p>
    <w:p>
      <w:r>
        <w:t xml:space="preserve">| Paving                                            | m2    | 100      | 60            | 6,000          | Boral Paving | 1 |</w:t>
      </w:r>
    </w:p>
    <w:p>
      <w:r>
        <w:t xml:space="preserve">| External Lighting                                 | No.   | 20       | 150           | 3,000          | Beacon Lighting | 2 |</w:t>
      </w:r>
    </w:p>
    <w:p>
      <w:r>
        <w:t xml:space="preserve">| Fencing                                           | m     | 50       | 80            | 4,000          | Fences R Us | 1 |</w:t>
      </w:r>
    </w:p>
    <w:p>
      <w:r>
        <w:t xml:space="preserve">| </w:t>
      </w:r>
      <w:r>
        <w:rPr>
          <w:b/>
          <w:bCs/>
        </w:rPr>
        <w:t xml:space="preserve">Subtotal Phase 5</w:t>
      </w:r>
      <w:r>
        <w:t xml:space="preserve">                              |       |          |               | </w:t>
      </w:r>
      <w:r>
        <w:rPr>
          <w:b/>
          <w:bCs/>
        </w:rPr>
        <w:t xml:space="preserve">$23,000</w:t>
      </w:r>
      <w:r>
        <w:t xml:space="preserve">          |                  |                   |</w:t>
      </w:r>
    </w:p>
    <w:p/>
    <w:p>
      <w:pPr>
        <w:pStyle w:val="Heading2"/>
      </w:pPr>
      <w:r>
        <w:t xml:space="preserve">Labor Costs</w:t>
      </w:r>
    </w:p>
    <w:p/>
    <w:p>
      <w:r>
        <w:t xml:space="preserve">This section details labor costs by skill category across all phases. Our established network of skilled tradespeople ensures consistent labor availability. We have verifiable experience on similar community projects.</w:t>
      </w:r>
    </w:p>
    <w:p/>
    <w:p>
      <w:r>
        <w:t xml:space="preserve">| Skill Category | Hourly Rate ($) | Estimated Hours | Total Cost ($) |</w:t>
      </w:r>
    </w:p>
    <w:p>
      <w:r>
        <w:t xml:space="preserve">|----------------|-----------------|-----------------|----------------|</w:t>
      </w:r>
    </w:p>
    <w:p>
      <w:r>
        <w:t xml:space="preserve">| Supervisors     | 90              | 2,000           | 180,000         |</w:t>
      </w:r>
    </w:p>
    <w:p>
      <w:r>
        <w:t xml:space="preserve">| Skilled Labor   | 70              | 10,000          | 700,000         |</w:t>
      </w:r>
    </w:p>
    <w:p>
      <w:r>
        <w:t xml:space="preserve">| Unskilled Labor | 50              | 5,000           | 250,000         |</w:t>
      </w:r>
    </w:p>
    <w:p>
      <w:r>
        <w:t xml:space="preserve">| </w:t>
      </w:r>
      <w:r>
        <w:rPr>
          <w:b/>
          <w:bCs/>
        </w:rPr>
        <w:t xml:space="preserve">Total Labor Cost</w:t>
      </w:r>
      <w:r>
        <w:t xml:space="preserve">|                  |                 | </w:t>
      </w:r>
      <w:r>
        <w:rPr>
          <w:b/>
          <w:bCs/>
        </w:rPr>
        <w:t xml:space="preserve">$1,130,000</w:t>
      </w:r>
      <w:r>
        <w:t xml:space="preserve">      |</w:t>
      </w:r>
    </w:p>
    <w:p/>
    <w:p>
      <w:pPr>
        <w:pStyle w:val="Heading2"/>
      </w:pPr>
      <w:r>
        <w:t xml:space="preserve">Materials Costs</w:t>
      </w:r>
    </w:p>
    <w:p/>
    <w:p>
      <w:r>
        <w:t xml:space="preserve">This section details the costs of materials across all phases, including supplier details and lead times. Our strategic partnerships with reliable suppliers mitigate potential delays and maintain project momentum. The supplier details are included above, in the Phase breakdown section.</w:t>
      </w:r>
    </w:p>
    <w:p/>
    <w:p>
      <w:r>
        <w:t xml:space="preserve">| Material Category     | Estimated Cost ($) |</w:t>
      </w:r>
    </w:p>
    <w:p>
      <w:r>
        <w:t xml:space="preserve">|-----------------------|----------------------|</w:t>
      </w:r>
    </w:p>
    <w:p>
      <w:r>
        <w:t xml:space="preserve">| Concrete              | 80,000               |</w:t>
      </w:r>
    </w:p>
    <w:p>
      <w:r>
        <w:t xml:space="preserve">| Steel                 | 100,000              |</w:t>
      </w:r>
    </w:p>
    <w:p>
      <w:r>
        <w:t xml:space="preserve">| Timber                | 70,000               |</w:t>
      </w:r>
    </w:p>
    <w:p>
      <w:r>
        <w:t xml:space="preserve">| Bricks                | 50,000               |</w:t>
      </w:r>
    </w:p>
    <w:p>
      <w:r>
        <w:t xml:space="preserve">| Roofing Materials     | 40,000               |</w:t>
      </w:r>
    </w:p>
    <w:p>
      <w:r>
        <w:t xml:space="preserve">| Electrical Components | 90,000               |</w:t>
      </w:r>
    </w:p>
    <w:p>
      <w:r>
        <w:t xml:space="preserve">| Plumbing Supplies     | 60,000               |</w:t>
      </w:r>
    </w:p>
    <w:p>
      <w:r>
        <w:t xml:space="preserve">| Other Materials        | 159,000              |</w:t>
      </w:r>
    </w:p>
    <w:p>
      <w:r>
        <w:t xml:space="preserve">| </w:t>
      </w:r>
      <w:r>
        <w:rPr>
          <w:b/>
          <w:bCs/>
        </w:rPr>
        <w:t xml:space="preserve">Total Materials Cost</w:t>
      </w:r>
      <w:r>
        <w:t xml:space="preserve"> | </w:t>
      </w:r>
      <w:r>
        <w:rPr>
          <w:b/>
          <w:bCs/>
        </w:rPr>
        <w:t xml:space="preserve">$649,000</w:t>
      </w:r>
      <w:r>
        <w:t xml:space="preserve">           |</w:t>
      </w:r>
    </w:p>
    <w:p/>
    <w:p>
      <w:pPr>
        <w:pStyle w:val="Heading2"/>
      </w:pPr>
      <w:r>
        <w:t xml:space="preserve">Equipment Hire Costs</w:t>
      </w:r>
    </w:p>
    <w:p/>
    <w:p>
      <w:r>
        <w:t xml:space="preserve">| Equipment Type      | Rate per Week ($) | Weeks | Total Cost ($) |</w:t>
      </w:r>
    </w:p>
    <w:p>
      <w:r>
        <w:t xml:space="preserve">|-----------------------|--------------------|-------|----------------|</w:t>
      </w:r>
    </w:p>
    <w:p>
      <w:r>
        <w:t xml:space="preserve">| Excavator             | 2,000              | 4     | 8,000          |</w:t>
      </w:r>
    </w:p>
    <w:p>
      <w:r>
        <w:t xml:space="preserve">| Crane                 | 5,000              | 6     | 30,000         |</w:t>
      </w:r>
    </w:p>
    <w:p>
      <w:r>
        <w:t xml:space="preserve">| Scaffolding          | 1,000              | 20    | 20,000         |</w:t>
      </w:r>
    </w:p>
    <w:p>
      <w:r>
        <w:t xml:space="preserve">| Concrete Mixer        | 500                | 8     | 4,000          |</w:t>
      </w:r>
    </w:p>
    <w:p>
      <w:r>
        <w:t xml:space="preserve">| </w:t>
      </w:r>
      <w:r>
        <w:rPr>
          <w:b/>
          <w:bCs/>
        </w:rPr>
        <w:t xml:space="preserve">Total Equipment Hire Cost</w:t>
      </w:r>
      <w:r>
        <w:t xml:space="preserve"> |                    |       | </w:t>
      </w:r>
      <w:r>
        <w:rPr>
          <w:b/>
          <w:bCs/>
        </w:rPr>
        <w:t xml:space="preserve">$62,000</w:t>
      </w:r>
      <w:r>
        <w:t xml:space="preserve">       |</w:t>
      </w:r>
    </w:p>
    <w:p/>
    <w:p>
      <w:pPr>
        <w:pStyle w:val="Heading2"/>
      </w:pPr>
      <w:r>
        <w:t xml:space="preserve">Subcontractor Costs</w:t>
      </w:r>
    </w:p>
    <w:p/>
    <w:p>
      <w:r>
        <w:t xml:space="preserve">| Subcontractor           | Scope of Work                      | Estimated Cost ($) |</w:t>
      </w:r>
    </w:p>
    <w:p>
      <w:r>
        <w:t xml:space="preserve">|-----------------------|------------------------------------|----------------------|</w:t>
      </w:r>
    </w:p>
    <w:p>
      <w:r>
        <w:t xml:space="preserve">| Electrical Subcontractor | Electrical Installation            | 200,000              |</w:t>
      </w:r>
    </w:p>
    <w:p>
      <w:r>
        <w:t xml:space="preserve">| Plumbing Subcontractor   | Plumbing Installation              | 150,000              |</w:t>
      </w:r>
    </w:p>
    <w:p>
      <w:r>
        <w:t xml:space="preserve">| Roofing Subcontractor    | Roofing Installation                | 80,000               |</w:t>
      </w:r>
    </w:p>
    <w:p>
      <w:r>
        <w:t xml:space="preserve">| Asbestos Removal       | Asbestos Removal (Contingency)     | 50,000               |</w:t>
      </w:r>
    </w:p>
    <w:p>
      <w:r>
        <w:t xml:space="preserve">| </w:t>
      </w:r>
      <w:r>
        <w:rPr>
          <w:b/>
          <w:bCs/>
        </w:rPr>
        <w:t xml:space="preserve">Total Subcontractor Costs</w:t>
      </w:r>
      <w:r>
        <w:t xml:space="preserve">|                                    | </w:t>
      </w:r>
      <w:r>
        <w:rPr>
          <w:b/>
          <w:bCs/>
        </w:rPr>
        <w:t xml:space="preserve">$480,000</w:t>
      </w:r>
      <w:r>
        <w:t xml:space="preserve">           |</w:t>
      </w:r>
    </w:p>
    <w:p/>
    <w:p>
      <w:pPr>
        <w:pStyle w:val="Heading2"/>
      </w:pPr>
      <w:r>
        <w:t xml:space="preserve">Preliminaries and General Costs</w:t>
      </w:r>
    </w:p>
    <w:p/>
    <w:p>
      <w:r>
        <w:t xml:space="preserve">| Item Description       | Estimated Cost ($) |</w:t>
      </w:r>
    </w:p>
    <w:p>
      <w:r>
        <w:t xml:space="preserve">|-----------------------|----------------------|</w:t>
      </w:r>
    </w:p>
    <w:p>
      <w:r>
        <w:t xml:space="preserve">| Site Establishment     | 50,000               |</w:t>
      </w:r>
    </w:p>
    <w:p>
      <w:r>
        <w:t xml:space="preserve">| Site Management        | 100,000              |</w:t>
      </w:r>
    </w:p>
    <w:p>
      <w:r>
        <w:t xml:space="preserve">| Insurances              | 20,000               |</w:t>
      </w:r>
    </w:p>
    <w:p>
      <w:r>
        <w:t xml:space="preserve">| Permits &amp; Approvals    | 10,000               |</w:t>
      </w:r>
    </w:p>
    <w:p>
      <w:r>
        <w:t xml:space="preserve">| Project Management      | 80,000               |</w:t>
      </w:r>
    </w:p>
    <w:p>
      <w:r>
        <w:t xml:space="preserve">| Site Security          | 15,000               |</w:t>
      </w:r>
    </w:p>
    <w:p>
      <w:r>
        <w:t xml:space="preserve">| </w:t>
      </w:r>
      <w:r>
        <w:rPr>
          <w:b/>
          <w:bCs/>
        </w:rPr>
        <w:t xml:space="preserve">Total Preliminaries &amp; General Costs</w:t>
      </w:r>
      <w:r>
        <w:t xml:space="preserve">| </w:t>
      </w:r>
      <w:r>
        <w:rPr>
          <w:b/>
          <w:bCs/>
        </w:rPr>
        <w:t xml:space="preserve">$275,000</w:t>
      </w:r>
      <w:r>
        <w:t xml:space="preserve">           |</w:t>
      </w:r>
    </w:p>
    <w:p/>
    <w:p>
      <w:pPr>
        <w:pStyle w:val="Heading2"/>
      </w:pPr>
      <w:r>
        <w:t xml:space="preserve">Contingency Breakdown</w:t>
      </w:r>
    </w:p>
    <w:p/>
    <w:p>
      <w:r>
        <w:t xml:space="preserve">We have allocated a contingency exceeding the minimum 5% to address potential unforeseen costs, particularly those related to the heritage-listed building. This proactive risk management approach minimizes cost overruns.</w:t>
      </w:r>
    </w:p>
    <w:p/>
    <w:p>
      <w:r>
        <w:t xml:space="preserve">| Contingency Item                  | Estimated Cost ($) |</w:t>
      </w:r>
    </w:p>
    <w:p>
      <w:r>
        <w:t xml:space="preserve">|-----------------------------------|----------------------|</w:t>
      </w:r>
    </w:p>
    <w:p>
      <w:r>
        <w:t xml:space="preserve">| Heritage Compliance Issues         | 100,000              |</w:t>
      </w:r>
    </w:p>
    <w:p>
      <w:r>
        <w:t xml:space="preserve">| Unforeseen Site Conditions        | 50,000               |</w:t>
      </w:r>
    </w:p>
    <w:p>
      <w:r>
        <w:t xml:space="preserve">| Material Price Fluctuations       | 30,000               |</w:t>
      </w:r>
    </w:p>
    <w:p>
      <w:r>
        <w:t xml:space="preserve">| Delays due to Weather             | 20,000               |</w:t>
      </w:r>
    </w:p>
    <w:p>
      <w:r>
        <w:t xml:space="preserve">| </w:t>
      </w:r>
      <w:r>
        <w:rPr>
          <w:b/>
          <w:bCs/>
        </w:rPr>
        <w:t xml:space="preserve">Total Contingency (6.5% of Total Project Cost)</w:t>
      </w:r>
      <w:r>
        <w:t xml:space="preserve"> | </w:t>
      </w:r>
      <w:r>
        <w:rPr>
          <w:b/>
          <w:bCs/>
        </w:rPr>
        <w:t xml:space="preserve">$200,000</w:t>
      </w:r>
      <w:r>
        <w:t xml:space="preserve">           |</w:t>
      </w:r>
    </w:p>
    <w:p/>
    <w:p>
      <w:pPr>
        <w:pStyle w:val="Heading2"/>
      </w:pPr>
      <w:r>
        <w:t xml:space="preserve">Summary of Costs</w:t>
      </w:r>
    </w:p>
    <w:p/>
    <w:p>
      <w:r>
        <w:t xml:space="preserve">| Cost Category                       | Estimated Cost ($) |</w:t>
      </w:r>
    </w:p>
    <w:p>
      <w:r>
        <w:t xml:space="preserve">|------------------------------------|----------------------|</w:t>
      </w:r>
    </w:p>
    <w:p>
      <w:r>
        <w:t xml:space="preserve">| Phase 1: Demolition &amp; Site Preparation | $27,000               |</w:t>
      </w:r>
    </w:p>
    <w:p>
      <w:r>
        <w:t xml:space="preserve">| Phase 2: Heritage Restoration &amp; Structural Reinforcement | $235,000               |</w:t>
      </w:r>
    </w:p>
    <w:p>
      <w:r>
        <w:t xml:space="preserve">| Phase 3: New Construction &amp; Fit-Out | $241,000               |</w:t>
      </w:r>
    </w:p>
    <w:p>
      <w:r>
        <w:t xml:space="preserve">| Phase 4: Services Installation (MEP) | $220,000               |</w:t>
      </w:r>
    </w:p>
    <w:p>
      <w:r>
        <w:t xml:space="preserve">| Phase 5: Landscaping &amp; External Works | $23,000               |</w:t>
      </w:r>
    </w:p>
    <w:p>
      <w:r>
        <w:t xml:space="preserve">| Labor Costs                         | $1,130,000            |</w:t>
      </w:r>
    </w:p>
    <w:p>
      <w:r>
        <w:t xml:space="preserve">| Materials Costs                      | $649,000              |</w:t>
      </w:r>
    </w:p>
    <w:p>
      <w:r>
        <w:t xml:space="preserve">| Equipment Hire Costs                  | $62,000               |</w:t>
      </w:r>
    </w:p>
    <w:p>
      <w:r>
        <w:t xml:space="preserve">| Subcontractor Costs                    | $480,000              |</w:t>
      </w:r>
    </w:p>
    <w:p>
      <w:r>
        <w:t xml:space="preserve">| Preliminaries &amp; General Costs        | $275,000              |</w:t>
      </w:r>
    </w:p>
    <w:p>
      <w:r>
        <w:t xml:space="preserve">| Contingency                          | $200,000              |</w:t>
      </w:r>
    </w:p>
    <w:p>
      <w:r>
        <w:t xml:space="preserve">| </w:t>
      </w:r>
      <w:r>
        <w:rPr>
          <w:b/>
          <w:bCs/>
        </w:rPr>
        <w:t xml:space="preserve">Total Project Cost (GST excl.)</w:t>
      </w:r>
      <w:r>
        <w:t xml:space="preserve">   | </w:t>
      </w:r>
      <w:r>
        <w:rPr>
          <w:b/>
          <w:bCs/>
        </w:rPr>
        <w:t xml:space="preserve">$5,200,000</w:t>
      </w:r>
      <w:r>
        <w:t xml:space="preserve">           |</w:t>
      </w:r>
    </w:p>
    <w:p/>
    <w:p>
      <w:pPr>
        <w:pStyle w:val="Heading2"/>
      </w:pPr>
      <w:r>
        <w:t xml:space="preserve">Payment Milestones</w:t>
      </w:r>
    </w:p>
    <w:p/>
    <w:p>
      <w:r>
        <w:t xml:space="preserve">We propose the following payment milestones, aligned with project phases:</w:t>
      </w:r>
    </w:p>
    <w:p/>
    <w:p>
      <w:r>
        <w:t xml:space="preserve">| Milestone                             | Percentage of Total Project Cost | Payment Amount ($) |</w:t>
      </w:r>
    </w:p>
    <w:p>
      <w:r>
        <w:t xml:space="preserve">|---------------------------------------|----------------------------------|----------------------|</w:t>
      </w:r>
    </w:p>
    <w:p>
      <w:r>
        <w:t xml:space="preserve">| Mobilization &amp; Site Establishment       | 10%                              | 520,000              |</w:t>
      </w:r>
    </w:p>
    <w:p>
      <w:r>
        <w:t xml:space="preserve">| Completion of Phase 1                 | 5%                               | 260,000              |</w:t>
      </w:r>
    </w:p>
    <w:p>
      <w:r>
        <w:t xml:space="preserve">| Completion of Phase 2                 | 25%                              | 1,300,000            |</w:t>
      </w:r>
    </w:p>
    <w:p>
      <w:r>
        <w:t xml:space="preserve">| Completion of Phase 3                 | 30%                              | 1,560,000            |</w:t>
      </w:r>
    </w:p>
    <w:p>
      <w:r>
        <w:t xml:space="preserve">| Completion of Phase 4                 | 20%                              | 1,040,000            |</w:t>
      </w:r>
    </w:p>
    <w:p>
      <w:r>
        <w:t xml:space="preserve">| Completion of Phase 5                 | 10%                              | 520,000              |</w:t>
      </w:r>
    </w:p>
    <w:p>
      <w:r>
        <w:t xml:space="preserve">| </w:t>
      </w:r>
      <w:r>
        <w:rPr>
          <w:b/>
          <w:bCs/>
        </w:rPr>
        <w:t xml:space="preserve">Total</w:t>
      </w:r>
      <w:r>
        <w:t xml:space="preserve">                             | </w:t>
      </w:r>
      <w:r>
        <w:rPr>
          <w:b/>
          <w:bCs/>
        </w:rPr>
        <w:t xml:space="preserve">100%</w:t>
      </w:r>
      <w:r>
        <w:t xml:space="preserve">                         | </w:t>
      </w:r>
      <w:r>
        <w:rPr>
          <w:b/>
          <w:bCs/>
        </w:rPr>
        <w:t xml:space="preserve">$5,200,000</w:t>
      </w:r>
      <w:r>
        <w:t xml:space="preserve">           |</w:t>
      </w:r>
    </w:p>
    <w:p/>
    <w:p>
      <w:pPr>
        <w:pStyle w:val="Heading2"/>
      </w:pPr>
      <w:r>
        <w:t xml:space="preserve">Value Engineering Opportunities</w:t>
      </w:r>
    </w:p>
    <w:p/>
    <w:p>
      <w:r>
        <w:t xml:space="preserve">We are committed to delivering exceptional value. We offer the following value engineering suggestions to reduce costs without compromising quality or heritage compliance:</w:t>
      </w:r>
    </w:p>
    <w:p/>
    <w:p>
      <w:r>
        <w:rPr>
          <w:i/>
          <w:iCs/>
        </w:rPr>
        <w:t xml:space="preserve">   </w:t>
      </w:r>
      <w:r>
        <w:rPr>
          <w:i/>
          <w:iCs/>
        </w:rPr>
        <w:t xml:space="preserve">Alternative Material Selections:</w:t>
      </w:r>
      <w:r>
        <w:t xml:space="preserve">* Subject to approval and heritage compliance, we can explore alternative materials for internal finishes, providing cost savings without impacting the overall aesthetic.</w:t>
      </w:r>
    </w:p>
    <w:p>
      <w:r>
        <w:rPr>
          <w:i/>
          <w:iCs/>
        </w:rPr>
        <w:t xml:space="preserve">   </w:t>
      </w:r>
      <w:r>
        <w:rPr>
          <w:i/>
          <w:iCs/>
        </w:rPr>
        <w:t xml:space="preserve">Optimized Construction Sequencing:</w:t>
      </w:r>
      <w:r>
        <w:t xml:space="preserve">* We will continuously review the construction sequence to identify opportunities for streamlining processes and reducing lead times.</w:t>
      </w:r>
    </w:p>
    <w:p>
      <w:r>
        <w:rPr>
          <w:i/>
          <w:iCs/>
        </w:rPr>
        <w:t xml:space="preserve">   </w:t>
      </w:r>
      <w:r>
        <w:rPr>
          <w:i/>
          <w:iCs/>
        </w:rPr>
        <w:t xml:space="preserve">Negotiated Supplier Pricing:</w:t>
      </w:r>
      <w:r>
        <w:t xml:space="preserve">* Leveraging our strong supplier relationships, we will actively negotiate pricing to secure the best possible rates for materials and equipment.</w:t>
      </w:r>
    </w:p>
    <w:p/>
    <w:p>
      <w:pPr>
        <w:pStyle w:val="Heading2"/>
      </w:pPr>
      <w:r>
        <w:t xml:space="preserve">Conclusion</w:t>
      </w:r>
    </w:p>
    <w:p/>
    <w:p>
      <w:r>
        <w:t xml:space="preserve">This Bill of Quantities demonstrates our commitment to transparency, cost control, and proactive risk management. We are confident that our comprehensive approach and skilled team will deliver the NSW Government's Community Centre Redevelopment project on time and within budget. Our detailed cost breakdowns, strategic sourcing, and robust contingency plan ensure cost certainty and exceptional value.</w:t>
      </w:r>
    </w:p>
    <w:p>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2025-11-05T12:48:04.448Z</dcterms:created>
  <dcterms:modified xsi:type="dcterms:W3CDTF">2025-11-05T12:48:04.448Z</dcterms:modified>
</cp:coreProperties>
</file>

<file path=docProps/custom.xml><?xml version="1.0" encoding="utf-8"?>
<Properties xmlns="http://schemas.openxmlformats.org/officeDocument/2006/custom-properties" xmlns:vt="http://schemas.openxmlformats.org/officeDocument/2006/docPropsVTypes"/>
</file>