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Miyazaki Implementation Decisions and Change Log</w:t>
      </w:r>
    </w:p>
    <w:p>
      <w:pPr>
        <w:pStyle w:val="Subtitle"/>
      </w:pPr>
      <w:r>
        <w:t>Miyazaki Industrial AI Copilot</w:t>
      </w:r>
    </w:p>
    <w:p>
      <w:r>
        <w:t>The current build runs locally with a React interface, FastAPI services, PostgreSQL with pgvector and local Ollama inference. This document records decisions, implementation changes, evidence and limitations. It is not a production certification.</w:t>
      </w:r>
    </w:p>
    <w:p>
      <w:r>
        <w:t>Updated 2026-10-25 12:53 UTC | Build 0.1.0 | Audience Project owner engineering and deployment reviewers</w:t>
      </w:r>
    </w:p>
    <w:p>
      <w:pPr>
        <w:pStyle w:val="Heading1"/>
      </w:pPr>
      <w:r>
        <w:t>Architecture and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EDEFEA"/>
          </w:tcPr>
          <w:p>
            <w:r>
              <w:rPr>
                <w:b/>
                <w:sz w:val="18"/>
              </w:rPr>
              <w:t>Subsystem</w:t>
            </w:r>
          </w:p>
        </w:tc>
        <w:tc>
          <w:tcPr>
            <w:tcW w:type="dxa" w:w="5112"/>
            <w:shd w:fill="EDEFEA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React TypeScript Vite Tailwind TipTap paired Japanese and English resources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FastAPI and SQLAlchemy in one application process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PostgreSQL and pgvector with exact workspace filtered cosine search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Jobs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PostgreSQL queue and two in process worker lanes with APScheduler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Models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Configurable Ollama generation and multilingual embeddings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Files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Workspace partitioned local files and Japanese font DOCX PDF Markdown CSV ZIP exports</w:t>
            </w:r>
          </w:p>
        </w:tc>
      </w:tr>
    </w:tbl>
    <w:p>
      <w:r>
        <w:t>Create a Python virtual environment, install requirements.txt, copy .env.example to .env, configure PostgreSQL and run the commands below. pgvector must be installed for the PostgreSQL major version.</w:t>
      </w:r>
    </w:p>
    <w:p>
      <w:r>
        <w:t>python manage.py setup</w:t>
      </w:r>
    </w:p>
    <w:p>
      <w:r>
        <w:t>python manage.py check</w:t>
      </w:r>
    </w:p>
    <w:p>
      <w:r>
        <w:t>python manage.py run</w:t>
      </w:r>
    </w:p>
    <w:p>
      <w:r>
        <w:t>python manage.py seed --reset</w:t>
      </w:r>
    </w:p>
    <w:p>
      <w:r>
        <w:t>Node is required to rebuild the frontend, but built assets are shipped for demo machines. setup is idempotent; reset is restricted to demo configuration. Local service installation remains the responsibility of the machine owner.</w:t>
      </w:r>
    </w:p>
    <w:p>
      <w:pPr>
        <w:pStyle w:val="Heading1"/>
      </w:pPr>
      <w:r>
        <w:t>Decisions and consequences</w:t>
      </w:r>
    </w:p>
    <w:p>
      <w:pPr>
        <w:pStyle w:val="Heading2"/>
      </w:pPr>
      <w:r>
        <w:t>ADR 001 FastAPI modular monolith with a built React frontend</w:t>
      </w:r>
    </w:p>
    <w:p>
      <w:r>
        <w:rPr>
          <w:b/>
        </w:rPr>
        <w:t xml:space="preserve">Reason </w:t>
      </w:r>
      <w:r>
        <w:t>Streaming AI and a single portable application process; React provides admin and workspace interfaces.</w:t>
      </w:r>
    </w:p>
    <w:p>
      <w:r>
        <w:rPr>
          <w:b/>
        </w:rPr>
        <w:t xml:space="preserve">Alternative </w:t>
      </w:r>
      <w:r>
        <w:t>Django plus a separate frontend server</w:t>
      </w:r>
    </w:p>
    <w:p>
      <w:r>
        <w:rPr>
          <w:b/>
        </w:rPr>
        <w:t xml:space="preserve">Consequence </w:t>
      </w:r>
      <w:r>
        <w:t>Authentication, administration and background lifecycle must be implemented explicitly.</w:t>
      </w:r>
    </w:p>
    <w:p>
      <w:pPr>
        <w:pStyle w:val="Heading2"/>
      </w:pPr>
      <w:r>
        <w:t>ADR 002 PostgreSQL with pgvector and exact tenant filtered cosine search</w:t>
      </w:r>
    </w:p>
    <w:p>
      <w:r>
        <w:rPr>
          <w:b/>
        </w:rPr>
        <w:t xml:space="preserve">Reason </w:t>
      </w:r>
      <w:r>
        <w:t>User explicitly requested pgvector; demo scale does not justify approximate indexing.</w:t>
      </w:r>
    </w:p>
    <w:p>
      <w:r>
        <w:rPr>
          <w:b/>
        </w:rPr>
        <w:t xml:space="preserve">Alternative </w:t>
      </w:r>
      <w:r>
        <w:t>NumPy search over array columns, or HNSW immediately</w:t>
      </w:r>
    </w:p>
    <w:p>
      <w:r>
        <w:rPr>
          <w:b/>
        </w:rPr>
        <w:t xml:space="preserve">Consequence </w:t>
      </w:r>
      <w:r>
        <w:t>Host must install the vector extension; model dimensions and identity are validated.</w:t>
      </w:r>
    </w:p>
    <w:p>
      <w:pPr>
        <w:pStyle w:val="Heading2"/>
      </w:pPr>
      <w:r>
        <w:t>ADR 003 Durable database jobs  one I O thread  one AI thread and APScheduler</w:t>
      </w:r>
    </w:p>
    <w:p>
      <w:r>
        <w:rPr>
          <w:b/>
        </w:rPr>
        <w:t xml:space="preserve">Reason </w:t>
      </w:r>
      <w:r>
        <w:t>Avoid Redis/Celery and a second terminal while preserving restartable work.</w:t>
      </w:r>
    </w:p>
    <w:p>
      <w:r>
        <w:rPr>
          <w:b/>
        </w:rPr>
        <w:t xml:space="preserve">Alternative </w:t>
      </w:r>
      <w:r>
        <w:t>External queue and workers</w:t>
      </w:r>
    </w:p>
    <w:p>
      <w:r>
        <w:rPr>
          <w:b/>
        </w:rPr>
        <w:t xml:space="preserve">Consequence </w:t>
      </w:r>
      <w:r>
        <w:t>Run one Uvicorn process; horizontal scaling requires a later lifecycle design.</w:t>
      </w:r>
    </w:p>
    <w:p>
      <w:pPr>
        <w:pStyle w:val="Heading2"/>
      </w:pPr>
      <w:r>
        <w:t>ADR 004 Ollama generation and embedding adapters are separate</w:t>
      </w:r>
    </w:p>
    <w:p>
      <w:r>
        <w:rPr>
          <w:b/>
        </w:rPr>
        <w:t xml:space="preserve">Reason </w:t>
      </w:r>
      <w:r>
        <w:t>Local demo now, generation-provider migration later without changing business APIs.</w:t>
      </w:r>
    </w:p>
    <w:p>
      <w:r>
        <w:rPr>
          <w:b/>
        </w:rPr>
        <w:t xml:space="preserve">Alternative </w:t>
      </w:r>
      <w:r>
        <w:t>Call a provider directly from each feature</w:t>
      </w:r>
    </w:p>
    <w:p>
      <w:r>
        <w:rPr>
          <w:b/>
        </w:rPr>
        <w:t xml:space="preserve">Consequence </w:t>
      </w:r>
      <w:r>
        <w:t>Changing embeddings requires explicit re-indexing; no fallback pretending to be a fresh model result.</w:t>
      </w:r>
    </w:p>
    <w:p>
      <w:pPr>
        <w:pStyle w:val="Heading2"/>
      </w:pPr>
      <w:r>
        <w:t>ADR 005 Japanese OCR deferred  image upload and preview remain available</w:t>
      </w:r>
    </w:p>
    <w:p>
      <w:r>
        <w:rPr>
          <w:b/>
        </w:rPr>
        <w:t xml:space="preserve">Reason </w:t>
      </w:r>
      <w:r>
        <w:t>Explicit user clarification overrides the all-Must brief for scanned documents.</w:t>
      </w:r>
    </w:p>
    <w:p>
      <w:r>
        <w:rPr>
          <w:b/>
        </w:rPr>
        <w:t xml:space="preserve">Alternative </w:t>
      </w:r>
      <w:r>
        <w:t>Install optional OCR models</w:t>
      </w:r>
    </w:p>
    <w:p>
      <w:r>
        <w:rPr>
          <w:b/>
        </w:rPr>
        <w:t xml:space="preserve">Consequence </w:t>
      </w:r>
      <w:r>
        <w:t>US-E05, F01 and K04 cannot be claimed fully complete for image/scanned text interpretation.</w:t>
      </w:r>
    </w:p>
    <w:p>
      <w:pPr>
        <w:pStyle w:val="Heading2"/>
      </w:pPr>
      <w:r>
        <w:t>ADR 006 Default mail goes to an authenticated  scoped in app outbox</w:t>
      </w:r>
    </w:p>
    <w:p>
      <w:r>
        <w:rPr>
          <w:b/>
        </w:rPr>
        <w:t xml:space="preserve">Reason </w:t>
      </w:r>
      <w:r>
        <w:t>Offline demo without SMTP or external sending.</w:t>
      </w:r>
    </w:p>
    <w:p>
      <w:r>
        <w:rPr>
          <w:b/>
        </w:rPr>
        <w:t xml:space="preserve">Alternative </w:t>
      </w:r>
      <w:r>
        <w:t>Transactional email provider</w:t>
      </w:r>
    </w:p>
    <w:p>
      <w:r>
        <w:rPr>
          <w:b/>
        </w:rPr>
        <w:t xml:space="preserve">Consequence </w:t>
      </w:r>
      <w:r>
        <w:t>Local demo only; outbox messages contain sensitive invitation/reset links.</w:t>
      </w:r>
    </w:p>
    <w:p>
      <w:pPr>
        <w:pStyle w:val="Heading2"/>
      </w:pPr>
      <w:r>
        <w:t>ADR 007 Closed resource kinds share a versioned JSONB record table  identity  vectors  jobs and usage use dedicated tables</w:t>
      </w:r>
    </w:p>
    <w:p>
      <w:r>
        <w:rPr>
          <w:b/>
        </w:rPr>
        <w:t xml:space="preserve">Reason </w:t>
      </w:r>
      <w:r>
        <w:t>Common history, ownership and review mechanics reduce duplication across the SRS.</w:t>
      </w:r>
    </w:p>
    <w:p>
      <w:r>
        <w:rPr>
          <w:b/>
        </w:rPr>
        <w:t xml:space="preserve">Alternative </w:t>
      </w:r>
      <w:r>
        <w:t>A distinct SQL table for every content entity</w:t>
      </w:r>
    </w:p>
    <w:p>
      <w:r>
        <w:rPr>
          <w:b/>
        </w:rPr>
        <w:t xml:space="preserve">Consequence </w:t>
      </w:r>
      <w:r>
        <w:t>Service validation and scoped access tests are essential; JSON relations need explicit checks.</w:t>
      </w:r>
    </w:p>
    <w:p>
      <w:pPr>
        <w:pStyle w:val="Heading2"/>
      </w:pPr>
      <w:r>
        <w:t>ADR 008 Keep reported scope separate from verified acceptance</w:t>
      </w:r>
    </w:p>
    <w:p>
      <w:r>
        <w:rPr>
          <w:b/>
        </w:rPr>
        <w:t xml:space="preserve">Reason </w:t>
      </w:r>
      <w:r>
        <w:t>The 98-story ledger must not label planned or partial work as complete.</w:t>
      </w:r>
    </w:p>
    <w:p>
      <w:r>
        <w:rPr>
          <w:b/>
        </w:rPr>
        <w:t xml:space="preserve">Alternative </w:t>
      </w:r>
      <w:r>
        <w:t>Feature checklist without evidence</w:t>
      </w:r>
    </w:p>
    <w:p>
      <w:r>
        <w:rPr>
          <w:b/>
        </w:rPr>
        <w:t xml:space="preserve">Consequence </w:t>
      </w:r>
      <w:r>
        <w:t>Reports retain failures, blocked tests, production gaps and external content approvals.</w:t>
      </w:r>
    </w:p>
    <w:p>
      <w:pPr>
        <w:pStyle w:val="Heading2"/>
      </w:pPr>
      <w:r>
        <w:t>ADR 009 Use qwen2 5 3b as the tested generation default  keep Qwen3 configurable</w:t>
      </w:r>
    </w:p>
    <w:p>
      <w:r>
        <w:rPr>
          <w:b/>
        </w:rPr>
        <w:t xml:space="preserve">Reason </w:t>
      </w:r>
      <w:r>
        <w:t>Ollama 0.40.3 with qwen3:4b emitted reasoning rather than the requested final greeting, including with think=false and /no_think. The comparison model returned a correct short Japanese greeting.</w:t>
      </w:r>
    </w:p>
    <w:p>
      <w:r>
        <w:rPr>
          <w:b/>
        </w:rPr>
        <w:t xml:space="preserve">Alternative </w:t>
      </w:r>
      <w:r>
        <w:t>Upgrade the user’s Ollama installation or keep an unreliable Qwen3 demo default</w:t>
      </w:r>
    </w:p>
    <w:p>
      <w:r>
        <w:rPr>
          <w:b/>
        </w:rPr>
        <w:t xml:space="preserve">Consequence </w:t>
      </w:r>
      <w:r>
        <w:t>One additional downloaded model; model name remains configurable. Qwen3 is not removed from the user’s machine.</w:t>
      </w:r>
    </w:p>
    <w:p>
      <w:pPr>
        <w:pStyle w:val="Heading2"/>
      </w:pPr>
      <w:r>
        <w:t>ADR 010 Use confirmed evidence for documents and block known unverified high risk claims before publishing</w:t>
      </w:r>
    </w:p>
    <w:p>
      <w:r>
        <w:rPr>
          <w:b/>
        </w:rPr>
        <w:t xml:space="preserve">Reason </w:t>
      </w:r>
      <w:r>
        <w:t>A real-model draft asserted a proposed certification. The regression exposed both context eligibility and a missing marker after Markdown headings.</w:t>
      </w:r>
    </w:p>
    <w:p>
      <w:r>
        <w:rPr>
          <w:b/>
        </w:rPr>
        <w:t xml:space="preserve">Alternative </w:t>
      </w:r>
      <w:r>
        <w:t>Rely only on instructions and a footer disclaimer</w:t>
      </w:r>
    </w:p>
    <w:p>
      <w:r>
        <w:rPr>
          <w:b/>
        </w:rPr>
        <w:t xml:space="preserve">Consequence </w:t>
      </w:r>
      <w:r>
        <w:t>Documents exclude proposed facts, uncited prose gets paragraph markers, known unverified certification/revenue values are rejected, and one real-model correction is attempted before failing safely. Semantic factual evaluation remains incomplete.</w:t>
      </w:r>
    </w:p>
    <w:p>
      <w:pPr>
        <w:pStyle w:val="Heading1"/>
      </w:pPr>
      <w:r>
        <w:t>Implementation changes</w:t>
      </w:r>
    </w:p>
    <w:p>
      <w:pPr>
        <w:pStyle w:val="Heading2"/>
      </w:pPr>
      <w:r>
        <w:t>Portable foundation</w:t>
      </w:r>
    </w:p>
    <w:p>
      <w:r>
        <w:rPr>
          <w:b/>
        </w:rPr>
        <w:t xml:space="preserve">Date and requirements </w:t>
      </w:r>
      <w:r>
        <w:t>2026-10-25 | A01, NFR-18</w:t>
      </w:r>
    </w:p>
    <w:p>
      <w:r>
        <w:rPr>
          <w:b/>
        </w:rPr>
        <w:t xml:space="preserve">Before </w:t>
      </w:r>
      <w:r>
        <w:t>Only source PDFs were present.</w:t>
      </w:r>
    </w:p>
    <w:p>
      <w:r>
        <w:rPr>
          <w:b/>
        </w:rPr>
        <w:t xml:space="preserve">Changed </w:t>
      </w:r>
      <w:r>
        <w:t>Added configuration, schema migrations, setup, check, run and demo seeds.</w:t>
      </w:r>
    </w:p>
    <w:p>
      <w:r>
        <w:rPr>
          <w:b/>
        </w:rPr>
        <w:t xml:space="preserve">Why </w:t>
      </w:r>
      <w:r>
        <w:t>Make the application repeatable on another machine without Node or external queues.</w:t>
      </w:r>
    </w:p>
    <w:p>
      <w:r>
        <w:rPr>
          <w:b/>
        </w:rPr>
        <w:t xml:space="preserve">Evidence </w:t>
      </w:r>
      <w:r>
        <w:t>test_setup_migration_idempotence; evidence/preflight.json</w:t>
      </w:r>
    </w:p>
    <w:p>
      <w:pPr>
        <w:pStyle w:val="Heading2"/>
      </w:pPr>
      <w:r>
        <w:t>Identity and isolation</w:t>
      </w:r>
    </w:p>
    <w:p>
      <w:r>
        <w:rPr>
          <w:b/>
        </w:rPr>
        <w:t xml:space="preserve">Date and requirements </w:t>
      </w:r>
      <w:r>
        <w:t>2026-10-25 | A01-A10, B02, B07, NFR-07, NFR-08</w:t>
      </w:r>
    </w:p>
    <w:p>
      <w:r>
        <w:rPr>
          <w:b/>
        </w:rPr>
        <w:t xml:space="preserve">Before </w:t>
      </w:r>
      <w:r>
        <w:t>No application identity or ownership boundary.</w:t>
      </w:r>
    </w:p>
    <w:p>
      <w:r>
        <w:rPr>
          <w:b/>
        </w:rPr>
        <w:t xml:space="preserve">Changed </w:t>
      </w:r>
      <w:r>
        <w:t>Added hashed sessions and tokens, CSRF, roles, coordinator grants, MFA, append-only audit and scoped data access.</w:t>
      </w:r>
    </w:p>
    <w:p>
      <w:r>
        <w:rPr>
          <w:b/>
        </w:rPr>
        <w:t xml:space="preserve">Why </w:t>
      </w:r>
      <w:r>
        <w:t>Protect competing companies before adding AI access.</w:t>
      </w:r>
    </w:p>
    <w:p>
      <w:r>
        <w:rPr>
          <w:b/>
        </w:rPr>
        <w:t xml:space="preserve">Evidence </w:t>
      </w:r>
      <w:r>
        <w:t>tests/test_security.py; tests/test_features.py</w:t>
      </w:r>
    </w:p>
    <w:p>
      <w:pPr>
        <w:pStyle w:val="Heading2"/>
      </w:pPr>
      <w:r>
        <w:t>Knowledge and fact review</w:t>
      </w:r>
    </w:p>
    <w:p>
      <w:r>
        <w:rPr>
          <w:b/>
        </w:rPr>
        <w:t xml:space="preserve">Date and requirements </w:t>
      </w:r>
      <w:r>
        <w:t>2026-10-25 | C01-C10, F01, F02</w:t>
      </w:r>
    </w:p>
    <w:p>
      <w:r>
        <w:rPr>
          <w:b/>
        </w:rPr>
        <w:t xml:space="preserve">Before </w:t>
      </w:r>
      <w:r>
        <w:t>No ingestion or verified company memory.</w:t>
      </w:r>
    </w:p>
    <w:p>
      <w:r>
        <w:rPr>
          <w:b/>
        </w:rPr>
        <w:t xml:space="preserve">Changed </w:t>
      </w:r>
      <w:r>
        <w:t>Added file and website extraction, offline fixtures, source quarantine, pgvector chunks, fact proposals, review and history.</w:t>
      </w:r>
    </w:p>
    <w:p>
      <w:r>
        <w:rPr>
          <w:b/>
        </w:rPr>
        <w:t xml:space="preserve">Why </w:t>
      </w:r>
      <w:r>
        <w:t>Keep sourced information distinct from inference and require human confirmation.</w:t>
      </w:r>
    </w:p>
    <w:p>
      <w:r>
        <w:rPr>
          <w:b/>
        </w:rPr>
        <w:t xml:space="preserve">Evidence </w:t>
      </w:r>
      <w:r>
        <w:t>test_tenant_vector_retrieval; test_source_delete_excludes_vector_and_reopens_fact</w:t>
      </w:r>
    </w:p>
    <w:p>
      <w:pPr>
        <w:pStyle w:val="Heading2"/>
      </w:pPr>
      <w:r>
        <w:t>Jobs and scheduling</w:t>
      </w:r>
    </w:p>
    <w:p>
      <w:r>
        <w:rPr>
          <w:b/>
        </w:rPr>
        <w:t xml:space="preserve">Date and requirements </w:t>
      </w:r>
      <w:r>
        <w:t>2026-10-25 | J01, NFR-17</w:t>
      </w:r>
    </w:p>
    <w:p>
      <w:r>
        <w:rPr>
          <w:b/>
        </w:rPr>
        <w:t xml:space="preserve">Before </w:t>
      </w:r>
      <w:r>
        <w:t>No restartable processing.</w:t>
      </w:r>
    </w:p>
    <w:p>
      <w:r>
        <w:rPr>
          <w:b/>
        </w:rPr>
        <w:t xml:space="preserve">Changed </w:t>
      </w:r>
      <w:r>
        <w:t>Added durable database queue, bounded worker lanes, leases, cancellation, retries, cleanup and digest delivery keys.</w:t>
      </w:r>
    </w:p>
    <w:p>
      <w:r>
        <w:rPr>
          <w:b/>
        </w:rPr>
        <w:t xml:space="preserve">Why </w:t>
      </w:r>
      <w:r>
        <w:t>Keep one application process while recovering interrupted work.</w:t>
      </w:r>
    </w:p>
    <w:p>
      <w:r>
        <w:rPr>
          <w:b/>
        </w:rPr>
        <w:t xml:space="preserve">Evidence </w:t>
      </w:r>
      <w:r>
        <w:t>test_stale_job_recovery; test_digest_deduplication</w:t>
      </w:r>
    </w:p>
    <w:p>
      <w:pPr>
        <w:pStyle w:val="Heading2"/>
      </w:pPr>
      <w:r>
        <w:t>Company and Operator interfaces</w:t>
      </w:r>
    </w:p>
    <w:p>
      <w:r>
        <w:rPr>
          <w:b/>
        </w:rPr>
        <w:t xml:space="preserve">Date and requirements </w:t>
      </w:r>
      <w:r>
        <w:t>2026-10-25 | B01-B07, C04, E01-E03, H01-H10, J03, K01</w:t>
      </w:r>
    </w:p>
    <w:p>
      <w:r>
        <w:rPr>
          <w:b/>
        </w:rPr>
        <w:t xml:space="preserve">Before </w:t>
      </w:r>
      <w:r>
        <w:t>No browser interface.</w:t>
      </w:r>
    </w:p>
    <w:p>
      <w:r>
        <w:rPr>
          <w:b/>
        </w:rPr>
        <w:t xml:space="preserve">Changed </w:t>
      </w:r>
      <w:r>
        <w:t>Added React workspace, admin console, review panels, source processing, editor and use-case roadmap.</w:t>
      </w:r>
    </w:p>
    <w:p>
      <w:r>
        <w:rPr>
          <w:b/>
        </w:rPr>
        <w:t xml:space="preserve">Why </w:t>
      </w:r>
      <w:r>
        <w:t>Make the required journeys visible and usable with bilingual resources.</w:t>
      </w:r>
    </w:p>
    <w:p>
      <w:r>
        <w:rPr>
          <w:b/>
        </w:rPr>
        <w:t xml:space="preserve">Evidence </w:t>
      </w:r>
      <w:r>
        <w:t>evidence/browser-results.json</w:t>
      </w:r>
    </w:p>
    <w:p>
      <w:pPr>
        <w:pStyle w:val="Heading2"/>
      </w:pPr>
      <w:r>
        <w:t>Workflows and document generation</w:t>
      </w:r>
    </w:p>
    <w:p>
      <w:r>
        <w:rPr>
          <w:b/>
        </w:rPr>
        <w:t xml:space="preserve">Date and requirements </w:t>
      </w:r>
      <w:r>
        <w:t>2026-10-25 | D01-D05, D08, F03-F07, F09</w:t>
      </w:r>
    </w:p>
    <w:p>
      <w:r>
        <w:rPr>
          <w:b/>
        </w:rPr>
        <w:t xml:space="preserve">Before </w:t>
      </w:r>
      <w:r>
        <w:t>No guided discovery or document studio.</w:t>
      </w:r>
    </w:p>
    <w:p>
      <w:r>
        <w:rPr>
          <w:b/>
        </w:rPr>
        <w:t xml:space="preserve">Changed </w:t>
      </w:r>
      <w:r>
        <w:t>Added generic steps, confirmed actions, proposed answer facts, adaptive question jobs, AI generation, comments, versions and exports.</w:t>
      </w:r>
    </w:p>
    <w:p>
      <w:r>
        <w:rPr>
          <w:b/>
        </w:rPr>
        <w:t xml:space="preserve">Why </w:t>
      </w:r>
      <w:r>
        <w:t>Turn reviewed knowledge into practical work and editable deliverables.</w:t>
      </w:r>
    </w:p>
    <w:p>
      <w:r>
        <w:rPr>
          <w:b/>
        </w:rPr>
        <w:t xml:space="preserve">Evidence </w:t>
      </w:r>
      <w:r>
        <w:t>test_workflow_b1_b3_answers_and_confirmation; test_document_versions_restore</w:t>
      </w:r>
    </w:p>
    <w:p>
      <w:pPr>
        <w:pStyle w:val="Heading2"/>
      </w:pPr>
      <w:r>
        <w:t>Regression fixes</w:t>
      </w:r>
    </w:p>
    <w:p>
      <w:r>
        <w:rPr>
          <w:b/>
        </w:rPr>
        <w:t xml:space="preserve">Date and requirements </w:t>
      </w:r>
      <w:r>
        <w:t>2026-10-25 | A05, C04, E03, E10, K01</w:t>
      </w:r>
    </w:p>
    <w:p>
      <w:r>
        <w:rPr>
          <w:b/>
        </w:rPr>
        <w:t xml:space="preserve">Before </w:t>
      </w:r>
      <w:r>
        <w:t>Successful logins consumed failure allowance, old summaries could contain rejected claims, and login language did not persist.</w:t>
      </w:r>
    </w:p>
    <w:p>
      <w:r>
        <w:rPr>
          <w:b/>
        </w:rPr>
        <w:t xml:space="preserve">Changed </w:t>
      </w:r>
      <w:r>
        <w:t>Corrected failure accounting, filtered summaries, persisted language selection and refreshed editors on new versions.</w:t>
      </w:r>
    </w:p>
    <w:p>
      <w:r>
        <w:rPr>
          <w:b/>
        </w:rPr>
        <w:t xml:space="preserve">Why </w:t>
      </w:r>
      <w:r>
        <w:t>Fix failures observed by real tests and browser checks.</w:t>
      </w:r>
    </w:p>
    <w:p>
      <w:r>
        <w:rPr>
          <w:b/>
        </w:rPr>
        <w:t xml:space="preserve">Evidence </w:t>
      </w:r>
      <w:r>
        <w:t>test_rejected_claim_not_in_historical_context; evidence/browser-results.json</w:t>
      </w:r>
    </w:p>
    <w:p>
      <w:pPr>
        <w:pStyle w:val="Heading2"/>
      </w:pPr>
      <w:r>
        <w:t>Generation model compatibility</w:t>
      </w:r>
    </w:p>
    <w:p>
      <w:r>
        <w:rPr>
          <w:b/>
        </w:rPr>
        <w:t xml:space="preserve">Date and requirements </w:t>
      </w:r>
      <w:r>
        <w:t>2026-10-25 | K02, NFR-16</w:t>
      </w:r>
    </w:p>
    <w:p>
      <w:r>
        <w:rPr>
          <w:b/>
        </w:rPr>
        <w:t xml:space="preserve">Before </w:t>
      </w:r>
      <w:r>
        <w:t>Qwen3 emitted reasoning text on the installed Ollama version.</w:t>
      </w:r>
    </w:p>
    <w:p>
      <w:r>
        <w:rPr>
          <w:b/>
        </w:rPr>
        <w:t xml:space="preserve">Changed </w:t>
      </w:r>
      <w:r>
        <w:t>Changed the configurable generation default to tested qwen2.5:3b; retained multilingual embeddings.</w:t>
      </w:r>
    </w:p>
    <w:p>
      <w:r>
        <w:rPr>
          <w:b/>
        </w:rPr>
        <w:t xml:space="preserve">Why </w:t>
      </w:r>
      <w:r>
        <w:t>Use a demonstrated final-answer model without upgrading the user's service.</w:t>
      </w:r>
    </w:p>
    <w:p>
      <w:r>
        <w:rPr>
          <w:b/>
        </w:rPr>
        <w:t xml:space="preserve">Evidence </w:t>
      </w:r>
      <w:r>
        <w:t>evidence/model-comparison.json; evidence/preflight.json</w:t>
      </w:r>
    </w:p>
    <w:p>
      <w:pPr>
        <w:pStyle w:val="Heading2"/>
      </w:pPr>
      <w:r>
        <w:t>Unverified claim safeguards</w:t>
      </w:r>
    </w:p>
    <w:p>
      <w:r>
        <w:rPr>
          <w:b/>
        </w:rPr>
        <w:t xml:space="preserve">Date and requirements </w:t>
      </w:r>
      <w:r>
        <w:t>2026-10-25 | C04, F09, NFR-16</w:t>
      </w:r>
    </w:p>
    <w:p>
      <w:r>
        <w:rPr>
          <w:b/>
        </w:rPr>
        <w:t xml:space="preserve">Before </w:t>
      </w:r>
      <w:r>
        <w:t>A real-model draft asserted a proposed certification and a heading-adjacent paragraph missed the marker.</w:t>
      </w:r>
    </w:p>
    <w:p>
      <w:r>
        <w:rPr>
          <w:b/>
        </w:rPr>
        <w:t xml:space="preserve">Changed </w:t>
      </w:r>
      <w:r>
        <w:t>Documents use confirmed profile evidence, known unverified high-risk values are blocked, one model correction is attempted, and uncited prose receives paragraph markers.</w:t>
      </w:r>
    </w:p>
    <w:p>
      <w:r>
        <w:rPr>
          <w:b/>
        </w:rPr>
        <w:t xml:space="preserve">Why </w:t>
      </w:r>
      <w:r>
        <w:t>Do not publish a known unverified claim as confirmed company knowledge.</w:t>
      </w:r>
    </w:p>
    <w:p>
      <w:r>
        <w:rPr>
          <w:b/>
        </w:rPr>
        <w:t xml:space="preserve">Evidence </w:t>
      </w:r>
      <w:r>
        <w:t>test_known_proposed_certification_cannot_be_published; test_uncited_prose_after_heading_is_marked; evidence/live-model-results.json</w:t>
      </w:r>
    </w:p>
    <w:p>
      <w:pPr>
        <w:pStyle w:val="Heading2"/>
      </w:pPr>
      <w:r>
        <w:t>Dependency remediation</w:t>
      </w:r>
    </w:p>
    <w:p>
      <w:r>
        <w:rPr>
          <w:b/>
        </w:rPr>
        <w:t xml:space="preserve">Date and requirements </w:t>
      </w:r>
      <w:r>
        <w:t>2026-10-25 | NFR-06</w:t>
      </w:r>
    </w:p>
    <w:p>
      <w:r>
        <w:rPr>
          <w:b/>
        </w:rPr>
        <w:t xml:space="preserve">Before </w:t>
      </w:r>
      <w:r>
        <w:t>Dependency scans reported Pillow and unused development-tool advisories.</w:t>
      </w:r>
    </w:p>
    <w:p>
      <w:r>
        <w:rPr>
          <w:b/>
        </w:rPr>
        <w:t xml:space="preserve">Changed </w:t>
      </w:r>
      <w:r>
        <w:t>Upgraded Pillow to 13 and removed unused Vitest dependencies.</w:t>
      </w:r>
    </w:p>
    <w:p>
      <w:r>
        <w:rPr>
          <w:b/>
        </w:rPr>
        <w:t xml:space="preserve">Why </w:t>
      </w:r>
      <w:r>
        <w:t>Close known advisory findings before reporting the final snapshot.</w:t>
      </w:r>
    </w:p>
    <w:p>
      <w:r>
        <w:rPr>
          <w:b/>
        </w:rPr>
        <w:t xml:space="preserve">Evidence </w:t>
      </w:r>
      <w:r>
        <w:t>evidence/python-audit.json; evidence/frontend-audit.json</w:t>
      </w:r>
    </w:p>
    <w:p>
      <w:pPr>
        <w:pStyle w:val="Heading2"/>
      </w:pPr>
      <w:r>
        <w:t>Review and concurrency hardening</w:t>
      </w:r>
    </w:p>
    <w:p>
      <w:r>
        <w:rPr>
          <w:b/>
        </w:rPr>
        <w:t xml:space="preserve">Date and requirements </w:t>
      </w:r>
      <w:r>
        <w:t>2026-10-25 | A05, A06, B04, K05</w:t>
      </w:r>
    </w:p>
    <w:p>
      <w:r>
        <w:rPr>
          <w:b/>
        </w:rPr>
        <w:t xml:space="preserve">Before </w:t>
      </w:r>
      <w:r>
        <w:t>Review metadata could be supplied in an editor payload and first-attempt inserts had a race.</w:t>
      </w:r>
    </w:p>
    <w:p>
      <w:r>
        <w:rPr>
          <w:b/>
        </w:rPr>
        <w:t xml:space="preserve">Changed </w:t>
      </w:r>
      <w:r>
        <w:t>Made rate counting atomic, locked MFA consumption, bound Japanese approvals to content version and rejected forged review metadata.</w:t>
      </w:r>
    </w:p>
    <w:p>
      <w:r>
        <w:rPr>
          <w:b/>
        </w:rPr>
        <w:t xml:space="preserve">Why </w:t>
      </w:r>
      <w:r>
        <w:t>Prevent review bypass and concurrent replay/rate-limit races.</w:t>
      </w:r>
    </w:p>
    <w:p>
      <w:r>
        <w:rPr>
          <w:b/>
        </w:rPr>
        <w:t xml:space="preserve">Evidence </w:t>
      </w:r>
      <w:r>
        <w:t>test_platform_cannot_forge_operator_approval; test_library_approval_bound_to_version</w:t>
      </w:r>
    </w:p>
    <w:p>
      <w:pPr>
        <w:pStyle w:val="Heading2"/>
      </w:pPr>
      <w:r>
        <w:t>Decision and verification documentation</w:t>
      </w:r>
    </w:p>
    <w:p>
      <w:r>
        <w:rPr>
          <w:b/>
        </w:rPr>
        <w:t xml:space="preserve">Date and requirements </w:t>
      </w:r>
      <w:r>
        <w:t>2026-10-25 | all 98 stories, all 20 NFRs</w:t>
      </w:r>
    </w:p>
    <w:p>
      <w:r>
        <w:rPr>
          <w:b/>
        </w:rPr>
        <w:t xml:space="preserve">Before </w:t>
      </w:r>
      <w:r>
        <w:t>No implementation or acceptance evidence ledger.</w:t>
      </w:r>
    </w:p>
    <w:p>
      <w:r>
        <w:rPr>
          <w:b/>
        </w:rPr>
        <w:t xml:space="preserve">Changed </w:t>
      </w:r>
      <w:r>
        <w:t>Added machine-readable decisions, changes, complete requirements mapping, test index and two generated DOCX reports.</w:t>
      </w:r>
    </w:p>
    <w:p>
      <w:r>
        <w:rPr>
          <w:b/>
        </w:rPr>
        <w:t xml:space="preserve">Why </w:t>
      </w:r>
      <w:r>
        <w:t>Keep included scope separate from actual completion and disclose production blockers.</w:t>
      </w:r>
    </w:p>
    <w:p>
      <w:r>
        <w:rPr>
          <w:b/>
        </w:rPr>
        <w:t xml:space="preserve">Evidence </w:t>
      </w:r>
      <w:r>
        <w:t>docs/requirements.json; docs/decisions.json; docs/changes.json; evidence/test-index.json</w:t>
      </w:r>
    </w:p>
    <w:p>
      <w:pPr>
        <w:pStyle w:val="Heading2"/>
      </w:pPr>
      <w:r>
        <w:t>Monochrome interface theme</w:t>
      </w:r>
    </w:p>
    <w:p>
      <w:r>
        <w:rPr>
          <w:b/>
        </w:rPr>
        <w:t xml:space="preserve">Date and requirements </w:t>
      </w:r>
      <w:r>
        <w:t>2026-10-25 | K01, K09, NFR-13, NFR-14</w:t>
      </w:r>
    </w:p>
    <w:p>
      <w:r>
        <w:rPr>
          <w:b/>
        </w:rPr>
        <w:t xml:space="preserve">Before </w:t>
      </w:r>
      <w:r>
        <w:t>The shared interface used a muted forest-green accent for navigation, actions, progress and decorative surfaces.</w:t>
      </w:r>
    </w:p>
    <w:p>
      <w:r>
        <w:rPr>
          <w:b/>
        </w:rPr>
        <w:t xml:space="preserve">Changed </w:t>
      </w:r>
      <w:r>
        <w:t>Changed primary actions, navigation state, progress and hero surfaces to black and white; retained green, amber, red and blue only for success, warning, danger and informational meaning.</w:t>
      </w:r>
    </w:p>
    <w:p>
      <w:r>
        <w:rPr>
          <w:b/>
        </w:rPr>
        <w:t xml:space="preserve">Why </w:t>
      </w:r>
      <w:r>
        <w:t>Apply the requested white-and-black primary/secondary palette without removing status distinctions needed for review and operational clarity.</w:t>
      </w:r>
    </w:p>
    <w:p>
      <w:r>
        <w:rPr>
          <w:b/>
        </w:rPr>
        <w:t xml:space="preserve">Evidence </w:t>
      </w:r>
      <w:r>
        <w:t>frontend/src/styles.css; npm --prefix frontend run build; npm --prefix frontend test; evidence/browser-results.json; evidence/screenshots/overview-en.png; evidence/screenshots/mobile-ja.png</w:t>
      </w:r>
    </w:p>
    <w:p>
      <w:pPr>
        <w:pStyle w:val="Heading1"/>
      </w:pPr>
      <w:r>
        <w:t>Verification snapshot</w:t>
      </w:r>
    </w:p>
    <w:p>
      <w:r>
        <w:t>Recorded cases {'Passed': 115}. Detailed scenario results are in the separate coverage and security report. A pass proves only the recorded assertions.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EDEFEA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12"/>
            <w:shd w:fill="EDEFEA"/>
          </w:tcPr>
          <w:p>
            <w:r>
              <w:rPr>
                <w:b/>
                <w:sz w:val="18"/>
              </w:rPr>
              <w:t>Recorded 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Linux-7.2.9-arch1-1-x86_64-with-glibc2.44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python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3.14.8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node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v26.11.1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PostgreSQL 18.6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generation_model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qwen2.5:3b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embedding_model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bge-m3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embedding_dimension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8"/>
              </w:rPr>
              <w:t>1024</w:t>
            </w:r>
          </w:p>
        </w:tc>
      </w:tr>
    </w:tbl>
    <w:p>
      <w:r>
        <w:rPr>
          <w:b/>
        </w:rPr>
        <w:t xml:space="preserve">Preflight </w:t>
      </w:r>
      <w:r>
        <w:t>{"frontend": true, "postgres": true, "pgvector": "0.8.1", "models": ["qwen2.5:3b", "bge-m3:latest", "qwen3:4b"], "demo_mode": true, "mfa_bypass": true, "ocr": "Deferred by scope", "schema": 1, "storage_writable": true, "seed_companies": 2, "embedding_dimension": 1024, "vector_smoke_distance": 0.0}</w:t>
      </w:r>
    </w:p>
    <w:p>
      <w:pPr>
        <w:pStyle w:val="Heading1"/>
      </w:pPr>
      <w:r>
        <w:t>Known limitations and production follow up</w:t>
      </w:r>
    </w:p>
    <w:p>
      <w:r>
        <w:t>Japanese OCR and scanned image interpretation are explicitly deferred.</w:t>
      </w:r>
    </w:p>
    <w:p>
      <w:r>
        <w:t>Draft Atomic Loops learning material Japanese wording and legal notices require external approval.</w:t>
      </w:r>
    </w:p>
    <w:p>
      <w:r>
        <w:t>Some included stories remain partial. The accompanying 98 story ledger identifies missing acceptance criteria.</w:t>
      </w:r>
    </w:p>
    <w:p>
      <w:r>
        <w:t>Local demo MFA bypass and development outbox are unsuitable for shared network or production use.</w:t>
      </w:r>
    </w:p>
    <w:p>
      <w:r>
        <w:t>No independent penetration test load test accessibility audit production hosting review or backup restore SLA has been established.</w:t>
      </w:r>
    </w:p>
    <w:p>
      <w:r>
        <w:t>AI citation validity is not equivalent to factual entailment. Generated claims require review and the full SRS golden set has not passed.</w:t>
      </w:r>
    </w:p>
    <w:p>
      <w:pPr>
        <w:pStyle w:val="Heading1"/>
      </w:pPr>
      <w:r>
        <w:t>Evidence and source documents</w:t>
      </w:r>
    </w:p>
    <w:p>
      <w:r>
        <w:t>Miyazaki Industrial AI Copilot — SRS.pdf sections 4 6 9 and 11</w:t>
      </w:r>
    </w:p>
    <w:p>
      <w:r>
        <w:t>Codex Build Brief All MUSTs, Minimal Setup.pdf</w:t>
      </w:r>
    </w:p>
    <w:p>
      <w:r>
        <w:t>User overrides pgvector required and Japanese OCR deferred</w:t>
      </w:r>
    </w:p>
    <w:p>
      <w:r>
        <w:t>docs/requirements.json docs/decisions.json evidence/test-index.json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