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248F8F4F" w:rsidR="00CA1FEA" w:rsidRPr="00F95744" w:rsidRDefault="00F95744" w:rsidP="00F95744">
      <w:pPr>
        <w:pStyle w:val="2"/>
        <w:rPr>
          <w:lang w:val="en-US"/>
        </w:rPr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(?%</w:t>
      </w:r>
      <w:proofErr w:type="gramEnd"/>
      <w:r>
        <w:rPr>
          <w:lang w:val="en-US"/>
        </w:rPr>
        <w:t xml:space="preserve"> </w:t>
      </w:r>
      <w:r>
        <w:t>Βασίλης</w:t>
      </w:r>
      <w:r w:rsidRPr="00F95744">
        <w:rPr>
          <w:lang w:val="en-US"/>
        </w:rPr>
        <w:t xml:space="preserve"> / ?% </w:t>
      </w:r>
      <w:r>
        <w:t>Άρης</w:t>
      </w:r>
      <w:r w:rsidRPr="00F95744">
        <w:rPr>
          <w:lang w:val="en-US"/>
        </w:rPr>
        <w:t>)</w:t>
      </w:r>
    </w:p>
    <w:p w14:paraId="76D00997" w14:textId="32799CF2" w:rsidR="00F95744" w:rsidRPr="00F95744" w:rsidRDefault="00AA6D54" w:rsidP="00F957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25682FC3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1F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3126B4A2">
                <wp:simplePos x="0" y="0"/>
                <wp:positionH relativeFrom="column">
                  <wp:posOffset>-333375</wp:posOffset>
                </wp:positionH>
                <wp:positionV relativeFrom="paragraph">
                  <wp:posOffset>4782820</wp:posOffset>
                </wp:positionV>
                <wp:extent cx="90582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25pt;margin-top:376.6pt;width:713.2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" stroked="f">
                <v:textbox style="mso-fit-shape-to-text:t"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B99994" w14:textId="77777777" w:rsidR="00E738F3" w:rsidRDefault="00E738F3" w:rsidP="00F95744">
      <w:pPr>
        <w:pStyle w:val="2"/>
        <w:rPr>
          <w:lang w:val="en-US"/>
        </w:rPr>
        <w:sectPr w:rsidR="00E738F3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B271F8" w:rsidRDefault="00F95744" w:rsidP="00F95744">
      <w:pPr>
        <w:pStyle w:val="2"/>
        <w:rPr>
          <w:lang w:val="en-US"/>
        </w:rPr>
      </w:pPr>
      <w:r>
        <w:rPr>
          <w:lang w:val="en-US"/>
        </w:rPr>
        <w:lastRenderedPageBreak/>
        <w:t>Pert Chart: (</w:t>
      </w:r>
      <w:r>
        <w:t>Βασίλης</w:t>
      </w:r>
      <w:r w:rsidRPr="00B271F8">
        <w:rPr>
          <w:lang w:val="en-US"/>
        </w:rPr>
        <w:t>)</w:t>
      </w:r>
    </w:p>
    <w:p w14:paraId="35E510A3" w14:textId="14296C27" w:rsidR="002D2BBE" w:rsidRPr="00B271F8" w:rsidRDefault="00AD61F8" w:rsidP="00F9574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B271F8" w:rsidRDefault="002D2BBE" w:rsidP="00F95744">
      <w:pPr>
        <w:rPr>
          <w:lang w:val="en-US"/>
        </w:rPr>
      </w:pPr>
    </w:p>
    <w:p w14:paraId="60B25C8F" w14:textId="3C90D8BD" w:rsidR="00E738F3" w:rsidRPr="00B271F8" w:rsidRDefault="00E738F3" w:rsidP="00F95744">
      <w:pPr>
        <w:rPr>
          <w:lang w:val="en-US"/>
        </w:rPr>
      </w:pPr>
    </w:p>
    <w:p w14:paraId="1BD7A63A" w14:textId="070474B0" w:rsidR="002D2BBE" w:rsidRPr="00B271F8" w:rsidRDefault="002D2BBE" w:rsidP="00F95744">
      <w:pPr>
        <w:rPr>
          <w:lang w:val="en-US"/>
        </w:rPr>
      </w:pPr>
    </w:p>
    <w:p w14:paraId="50FD425A" w14:textId="1EE75C4D" w:rsidR="002D2BBE" w:rsidRPr="00B271F8" w:rsidRDefault="002D2BBE">
      <w:pPr>
        <w:rPr>
          <w:lang w:val="en-US"/>
        </w:rPr>
      </w:pPr>
      <w:r w:rsidRPr="00B271F8">
        <w:rPr>
          <w:lang w:val="en-US"/>
        </w:rPr>
        <w:br w:type="page"/>
      </w:r>
    </w:p>
    <w:p w14:paraId="444DDE46" w14:textId="77777777" w:rsidR="002D2BBE" w:rsidRPr="00B271F8" w:rsidRDefault="002D2BBE" w:rsidP="00F95744">
      <w:pPr>
        <w:rPr>
          <w:lang w:val="en-US"/>
        </w:rPr>
        <w:sectPr w:rsidR="002D2BBE" w:rsidRPr="00B271F8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>
        <w:rPr>
          <w:lang w:val="en-US"/>
        </w:rPr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</w:t>
      </w:r>
      <w:proofErr w:type="spellStart"/>
      <w:r>
        <w:t>Παπαθανασίου</w:t>
      </w:r>
      <w:proofErr w:type="spellEnd"/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70C777EF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</w:t>
      </w:r>
      <w:proofErr w:type="spellStart"/>
      <w:r w:rsidR="000C47A9">
        <w:t>Καβούλας</w:t>
      </w:r>
      <w:proofErr w:type="spellEnd"/>
      <w:r w:rsidR="000C47A9">
        <w:t xml:space="preserve"> και Αλέξης </w:t>
      </w:r>
      <w:proofErr w:type="spellStart"/>
      <w:r w:rsidR="000C47A9">
        <w:t>Παπαθανασίου</w:t>
      </w:r>
      <w:proofErr w:type="spellEnd"/>
      <w:r w:rsidR="000C47A9">
        <w:t xml:space="preserve">, μιας και μέσω του μαθήματος επιλογής ¨¨,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</w:t>
      </w:r>
      <w:proofErr w:type="spellStart"/>
      <w:r w:rsidR="00FC2D75">
        <w:t>Μπολιάς</w:t>
      </w:r>
      <w:proofErr w:type="spellEnd"/>
      <w:r w:rsidR="00FC2D75">
        <w:t xml:space="preserve">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2F26620D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</w:t>
      </w:r>
      <w:proofErr w:type="spellStart"/>
      <w:r>
        <w:t>Παπαθανασίου</w:t>
      </w:r>
      <w:proofErr w:type="spellEnd"/>
      <w:r>
        <w:t xml:space="preserve">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</w:t>
      </w:r>
      <w:proofErr w:type="spellStart"/>
      <w:r>
        <w:t>Μπολιάς</w:t>
      </w:r>
      <w:proofErr w:type="spellEnd"/>
      <w:r>
        <w:t xml:space="preserve">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</w:t>
      </w:r>
      <w:proofErr w:type="spellStart"/>
      <w:r w:rsidR="00DF4319">
        <w:t>Καβούλας</w:t>
      </w:r>
      <w:proofErr w:type="spellEnd"/>
      <w:r w:rsidR="00DF4319">
        <w:t xml:space="preserve">, θα φροντίζει ώστε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</w:t>
      </w:r>
      <w:proofErr w:type="spellStart"/>
      <w:r>
        <w:t>Καβούλας</w:t>
      </w:r>
      <w:proofErr w:type="spellEnd"/>
      <w:r>
        <w:t xml:space="preserve">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</w:t>
      </w:r>
      <w:proofErr w:type="spellStart"/>
      <w:r w:rsidR="00EC5108">
        <w:t>Μπολιάς</w:t>
      </w:r>
      <w:proofErr w:type="spellEnd"/>
      <w:r w:rsidR="00EC5108">
        <w:t xml:space="preserve">. Ο Αλέξης </w:t>
      </w:r>
      <w:proofErr w:type="spellStart"/>
      <w:r w:rsidR="00EC5108">
        <w:t>Παπαθανασίου</w:t>
      </w:r>
      <w:proofErr w:type="spellEnd"/>
      <w:r w:rsidR="00EC5108">
        <w:t xml:space="preserve">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 xml:space="preserve">θα παραμείνει ο ίδιος και σε αυτόν τον τελευταίο κύκλο (Αλέξης </w:t>
      </w:r>
      <w:proofErr w:type="spellStart"/>
      <w:r w:rsidR="00B95C0F">
        <w:t>Παπαθανασίου</w:t>
      </w:r>
      <w:proofErr w:type="spellEnd"/>
      <w:r w:rsidR="00B95C0F">
        <w:t>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91181C" w14:paraId="7E776151" w14:textId="07768FDB" w:rsidTr="00911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612FE5" w14:textId="45E15825" w:rsidR="0091181C" w:rsidRPr="0091181C" w:rsidRDefault="0091181C" w:rsidP="00B271F8">
            <w:pPr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075" w:type="dxa"/>
          </w:tcPr>
          <w:p w14:paraId="1E53BDFD" w14:textId="05E917C9" w:rsidR="0091181C" w:rsidRPr="0091181C" w:rsidRDefault="0091181C" w:rsidP="00B27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075" w:type="dxa"/>
          </w:tcPr>
          <w:p w14:paraId="6C915B9B" w14:textId="2F591C42" w:rsidR="0091181C" w:rsidRPr="0091181C" w:rsidRDefault="0091181C" w:rsidP="00B27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2075" w:type="dxa"/>
          </w:tcPr>
          <w:p w14:paraId="6A796B5F" w14:textId="300F2B74" w:rsidR="0091181C" w:rsidRPr="0091181C" w:rsidRDefault="0091181C" w:rsidP="00B27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91181C" w14:paraId="25CB3C79" w14:textId="4F18F8CC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8F8AC4" w14:textId="77777777" w:rsidR="0091181C" w:rsidRDefault="0091181C" w:rsidP="00B271F8"/>
        </w:tc>
        <w:tc>
          <w:tcPr>
            <w:tcW w:w="2075" w:type="dxa"/>
          </w:tcPr>
          <w:p w14:paraId="27093F2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6A8CCCA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C0D896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3EB7C816" w14:textId="7E5DA981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B26420" w14:textId="77777777" w:rsidR="0091181C" w:rsidRDefault="0091181C" w:rsidP="00B271F8"/>
        </w:tc>
        <w:tc>
          <w:tcPr>
            <w:tcW w:w="2075" w:type="dxa"/>
          </w:tcPr>
          <w:p w14:paraId="16FF76D1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CABF4D2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A3CBFAF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1D868B75" w14:textId="3792864D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B3EC8B" w14:textId="77777777" w:rsidR="0091181C" w:rsidRDefault="0091181C" w:rsidP="00B271F8"/>
        </w:tc>
        <w:tc>
          <w:tcPr>
            <w:tcW w:w="2075" w:type="dxa"/>
          </w:tcPr>
          <w:p w14:paraId="39554C61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F840CEA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B36F6C4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39CB62CB" w14:textId="56A578EB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9F3BF1" w14:textId="77777777" w:rsidR="0091181C" w:rsidRDefault="0091181C" w:rsidP="00B271F8"/>
        </w:tc>
        <w:tc>
          <w:tcPr>
            <w:tcW w:w="2075" w:type="dxa"/>
          </w:tcPr>
          <w:p w14:paraId="33F20926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406909B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51CC6A9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554151D2" w14:textId="5BFDFB76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87EAA4" w14:textId="77777777" w:rsidR="0091181C" w:rsidRDefault="0091181C" w:rsidP="00B271F8"/>
        </w:tc>
        <w:tc>
          <w:tcPr>
            <w:tcW w:w="2075" w:type="dxa"/>
          </w:tcPr>
          <w:p w14:paraId="5FED75B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16C50B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9A4D54E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61F14098" w14:textId="0397D959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A6A413" w14:textId="77777777" w:rsidR="0091181C" w:rsidRDefault="0091181C" w:rsidP="00B271F8"/>
        </w:tc>
        <w:tc>
          <w:tcPr>
            <w:tcW w:w="2075" w:type="dxa"/>
          </w:tcPr>
          <w:p w14:paraId="7FA2EDD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1BC8CE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379CDC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67505CC2" w14:textId="22D8FA3B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B37306" w14:textId="77777777" w:rsidR="0091181C" w:rsidRDefault="0091181C" w:rsidP="00B271F8"/>
        </w:tc>
        <w:tc>
          <w:tcPr>
            <w:tcW w:w="2075" w:type="dxa"/>
          </w:tcPr>
          <w:p w14:paraId="217C7EB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9DAD99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9046B4B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053A1457" w14:textId="39950F7D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56F677" w14:textId="77777777" w:rsidR="0091181C" w:rsidRDefault="0091181C" w:rsidP="00B271F8"/>
        </w:tc>
        <w:tc>
          <w:tcPr>
            <w:tcW w:w="2075" w:type="dxa"/>
          </w:tcPr>
          <w:p w14:paraId="42C52D5D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E0F7DAE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67FEFF9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7DCABB78" w14:textId="1525FAD4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DD6DD1" w14:textId="77777777" w:rsidR="0091181C" w:rsidRDefault="0091181C" w:rsidP="00B271F8"/>
        </w:tc>
        <w:tc>
          <w:tcPr>
            <w:tcW w:w="2075" w:type="dxa"/>
          </w:tcPr>
          <w:p w14:paraId="01EFAC95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C3D5D9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D14428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056E747A" w14:textId="3D49E328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86F4E9" w14:textId="77777777" w:rsidR="0091181C" w:rsidRDefault="0091181C" w:rsidP="00B271F8"/>
        </w:tc>
        <w:tc>
          <w:tcPr>
            <w:tcW w:w="2075" w:type="dxa"/>
          </w:tcPr>
          <w:p w14:paraId="754E0044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4D0A95B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69C3764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692E50BD" w14:textId="4205EA91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771A06" w14:textId="77777777" w:rsidR="0091181C" w:rsidRDefault="0091181C" w:rsidP="00B271F8"/>
        </w:tc>
        <w:tc>
          <w:tcPr>
            <w:tcW w:w="2075" w:type="dxa"/>
          </w:tcPr>
          <w:p w14:paraId="1022F24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F2BD695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804A47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0D8AFAD8" w14:textId="6525BF92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DC468A" w14:textId="77777777" w:rsidR="0091181C" w:rsidRDefault="0091181C" w:rsidP="00B271F8"/>
        </w:tc>
        <w:tc>
          <w:tcPr>
            <w:tcW w:w="2075" w:type="dxa"/>
          </w:tcPr>
          <w:p w14:paraId="580FB4AD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A423DA1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4331E2D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71306545" w14:textId="681991E4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C5FAB9" w14:textId="77777777" w:rsidR="0091181C" w:rsidRDefault="0091181C" w:rsidP="00B271F8"/>
        </w:tc>
        <w:tc>
          <w:tcPr>
            <w:tcW w:w="2075" w:type="dxa"/>
          </w:tcPr>
          <w:p w14:paraId="42101127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9F77E7D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7FEC73F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5A34FD0B" w14:textId="442E998C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A9EEA4" w14:textId="77777777" w:rsidR="0091181C" w:rsidRDefault="0091181C" w:rsidP="00B271F8"/>
        </w:tc>
        <w:tc>
          <w:tcPr>
            <w:tcW w:w="2075" w:type="dxa"/>
          </w:tcPr>
          <w:p w14:paraId="212364C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D2EBB2C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AC56BA5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1C" w14:paraId="4B27917E" w14:textId="12BF8657" w:rsidTr="0091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DC6550" w14:textId="77777777" w:rsidR="0091181C" w:rsidRDefault="0091181C" w:rsidP="00B271F8"/>
        </w:tc>
        <w:tc>
          <w:tcPr>
            <w:tcW w:w="2075" w:type="dxa"/>
          </w:tcPr>
          <w:p w14:paraId="7877015D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1E7DA27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8917293" w14:textId="77777777" w:rsidR="0091181C" w:rsidRDefault="0091181C" w:rsidP="00B27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5545C2" w14:textId="77777777" w:rsidR="0091181C" w:rsidRPr="0091181C" w:rsidRDefault="0091181C" w:rsidP="00B271F8"/>
    <w:sectPr w:rsidR="0091181C" w:rsidRPr="0091181C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64816"/>
    <w:rsid w:val="000C47A9"/>
    <w:rsid w:val="002D2BBE"/>
    <w:rsid w:val="00533909"/>
    <w:rsid w:val="005972DF"/>
    <w:rsid w:val="00664F5F"/>
    <w:rsid w:val="006D5EE7"/>
    <w:rsid w:val="007336B5"/>
    <w:rsid w:val="00737761"/>
    <w:rsid w:val="007A20BF"/>
    <w:rsid w:val="008014EE"/>
    <w:rsid w:val="00887824"/>
    <w:rsid w:val="0091181C"/>
    <w:rsid w:val="009D23E3"/>
    <w:rsid w:val="00AA6D54"/>
    <w:rsid w:val="00AD61F8"/>
    <w:rsid w:val="00AF1F14"/>
    <w:rsid w:val="00B271F8"/>
    <w:rsid w:val="00B95C0F"/>
    <w:rsid w:val="00BB2859"/>
    <w:rsid w:val="00C63F41"/>
    <w:rsid w:val="00CA1FEA"/>
    <w:rsid w:val="00CC7024"/>
    <w:rsid w:val="00CD2134"/>
    <w:rsid w:val="00DF4319"/>
    <w:rsid w:val="00E738F3"/>
    <w:rsid w:val="00EB1719"/>
    <w:rsid w:val="00EC5108"/>
    <w:rsid w:val="00F103A9"/>
    <w:rsid w:val="00F95744"/>
    <w:rsid w:val="00F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Βασίλης Μηλιώνης</cp:lastModifiedBy>
  <cp:revision>10</cp:revision>
  <dcterms:created xsi:type="dcterms:W3CDTF">2022-03-14T10:09:00Z</dcterms:created>
  <dcterms:modified xsi:type="dcterms:W3CDTF">2022-03-14T13:53:00Z</dcterms:modified>
</cp:coreProperties>
</file>