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13. Проверка статистических гипотез.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Статистической гипотезой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называется любое предположение: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 законе распределения случайной величины, т.е. предположение о типе закона распределения;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 значениях его параметров;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 равенстве параметров нескольких распределений;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 независимости приведённых выборок и т.п.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Перед проверкой выдвигаемой гипотезы весь огромный массив наблюдения предварительно подвергают обработке, которую на практике обычно называют первичной (сортировка и объединение данных, представление их в удобном для дальнейшей обработки виде, отбраковка грубых и аномальных результатов, определение необходимого объёма выборки) и вторичной (проведение непосредственных вычислений по выдвигаемой гипотезе).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Проверка статистических гипотез осуществляется с помощью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различных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статистических критериев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значения которых вычисляются на основе имеющихся данных. Причём эти критерии также являются случайными величинами. Из множества возможных значений критерия выбирается подмножество, именуемое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критической областью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вычисленное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значение критерия принадлежит критической области, то проверяемая (нулевая/основная) гипотеза отвергается. Критическая область выбирается таким образом, чтобы при этом выборе вероятность совершить ошибку первого рода (если мы отвергаем основную гипотезу, тогда как она в действительности верна) не превосходила некоторого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заранее определённого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положительного числа  </w:t>
      </w:r>
      <m:oMath>
        <m:r>
          <m:t>α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 уровня значимости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поэтому говорят: “нулевая гипотеза отвергается на уровне значимости </w:t>
      </w:r>
      <m:oMath>
        <m:r>
          <m:t>α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”. Обычно </w:t>
      </w:r>
      <m:oMath>
        <m:r>
          <m:t>α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колеблется в пределах </w:t>
      </w:r>
      <m:oMath>
        <m:r>
          <w:rPr>
            <w:rFonts w:ascii="Roboto Mono" w:cs="Roboto Mono" w:eastAsia="Roboto Mono" w:hAnsi="Roboto Mono"/>
          </w:rPr>
          <m:t xml:space="preserve">0,0001≤α≤0,2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но чаще всего равно    </w:t>
      </w:r>
      <m:oMath>
        <m:r>
          <w:rPr>
            <w:rFonts w:ascii="Roboto Mono" w:cs="Roboto Mono" w:eastAsia="Roboto Mono" w:hAnsi="Roboto Mono"/>
          </w:rPr>
          <m:t xml:space="preserve">0,05;0,01;0,001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Вероятность совершить ошибку второго рода (нулевая гипотеза принимается верной, тогда как она в действительности неверна) обозначают буквой </w:t>
      </w:r>
      <m:oMath>
        <m:r>
          <m:t>β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Наилучшей критической областью при данном  </w:t>
      </w:r>
      <m:oMath>
        <m:r>
          <m:t>α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будет та, для которой </w:t>
      </w:r>
      <m:oMath>
        <m:r>
          <m:t>β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наименьшее.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Вероятность отвергнуть неверную гипотезу равна: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Roboto Mono" w:cs="Roboto Mono" w:eastAsia="Roboto Mono" w:hAnsi="Roboto Mono"/>
        </w:rPr>
      </w:pPr>
      <m:oMath>
        <m:r>
          <m:t>ρ</m:t>
        </m:r>
        <m:r>
          <w:rPr>
            <w:rFonts w:ascii="Roboto Mono" w:cs="Roboto Mono" w:eastAsia="Roboto Mono" w:hAnsi="Roboto Mono"/>
          </w:rPr>
          <m:t xml:space="preserve">=1-</m:t>
        </m:r>
        <m:r>
          <w:rPr>
            <w:rFonts w:ascii="Roboto Mono" w:cs="Roboto Mono" w:eastAsia="Roboto Mono" w:hAnsi="Roboto Mono"/>
          </w:rPr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называется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мощностью критерия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т.е. это вероятность правильного принятия решения.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Наиболее распространёнными являются критерии, связанные с использованием известных распределений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u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квадрат, Стьюдента, Фишера и т.п. Для этих критериев составлены таблицы, в которых приведены критические точки. Соответствующие определённой доверительной вероятности </w:t>
      </w:r>
      <m:oMath>
        <m:r>
          <m:t>ρ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(или уровню значимости </w:t>
      </w:r>
      <m:oMath>
        <m:r>
          <m:t>α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и определённому числу степеней свободы </w:t>
      </w:r>
      <m:oMath>
        <m:r>
          <w:rPr>
            <w:rFonts w:ascii="Roboto Mono" w:cs="Roboto Mono" w:eastAsia="Roboto Mono" w:hAnsi="Roboto Mono"/>
          </w:rPr>
          <m:t xml:space="preserve">C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Исключение промахов из наблюдений.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серия небольшого числа измерений содержит грубую погрешность-промах, то наличие этого промаха может сильно исказить как среднее значение измеряемой величины, так и границы доверительного интервала. Поэтому из окончательного результата необходимо этот промах исключить.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выяснения возникших аномальных результатов наблюдения, прежде всего, необходимо тщательно проанализировать условия измерений и убедиться в полном их соблюдении на протяжении всего опыта. Если было обнаружено нарушение условий, то сомнительный результат не включается в выборку.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Однако вычислителю чаще приходится иметь дело с готовыми данными выборки и поэтому для выявления грубых результатов измерения он обычно использует статистические методы.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425.1968503937008" w:right="434.88188976378126" w:header="720" w:footer="720"/>
      <w:pgNumType w:start="1"/>
      <w:cols w:equalWidth="0" w:num="2">
        <w:col w:space="720" w:w="5162.7"/>
        <w:col w:space="0" w:w="5162.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