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  <w:sectPr>
          <w:pgSz w:h="16834" w:w="11909" w:orient="portrait"/>
          <w:pgMar w:bottom="1440" w:top="1440" w:left="708.6614173228347" w:right="442.4409448818915" w:header="720" w:footer="720"/>
          <w:pgNumType w:start="1"/>
        </w:sect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15. Корреляция. Корреляционный анализ.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Корреляционный анализ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это метод обработки статистических данных, заключающийся в изучении коэффициентов корреляции между переменными.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Проще говоря: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связь между результативными и факторными переменными (урожайностью какой-либо культуры и количеством осадков, ростом и весом человека в однородных группах по полу и возрасту, частотой пульса и температурой тела и т.д.).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Ложная корреляция 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корреляция по отношению к признакам абсурдных по отношению друг к другу (например: уровень IQ и размер ноги).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Задачи корреляционного анализа: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получение информации об одной из искомых переменных с помощью другой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определение тесноты связи между исследуемыми переменными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выявление факторов, оказывающих наибольшее влияние на результативный признак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выявление неизученных ранее причин связей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построение корреляционной модели с ее параметрическим анализом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исследование значимости параметров связи и их интервальная оценка. 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Корреляционное поле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(или диаграмма рассеяния) является графической зависимостью между результатами измерений двух признаков. (Ось х и у. Например: х - курение, у - смерность)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6990" cy="128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6990" cy="116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- коэффициент корреляции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636990" cy="95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2599" r="2426" t="7476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300288" cy="96854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96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Обратная корреляция                                Прямая корреляция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Корреляции  нет - точки расположены хаотично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Средняя степень связи - точки более-менее равномерно удалены от медианы. 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Сильная связь - стремится к прямой и при r=1, ровная линия 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Знак коэффициента корреляции определяет направленность взаимосвязи: минус – отрицательная, плюс – положительная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6990" cy="130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распределение является нормальным законом — результатом корреляционного анализа выступают коэффициенты корреляции Пирсона, либо, в случае, если признаки не подчиняются этому закону — коэффициент ранговой корреляции Спирмена. 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color w:val="0f0f0f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Коэффициент корреляции Бравэ-Пирсона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f0f0f"/>
          <w:highlight w:val="white"/>
          <w:rtl w:val="0"/>
        </w:rPr>
        <w:t xml:space="preserve">линейный коэффициент корреляции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0f0f0f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f0f0f"/>
          <w:highlight w:val="white"/>
        </w:rPr>
        <w:drawing>
          <wp:inline distB="114300" distT="114300" distL="114300" distR="114300">
            <wp:extent cx="2636990" cy="431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Коэффициент корреляции рангов Спирмена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highlight w:val="white"/>
          <w:vertAlign w:val="subscript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— ранговый коэффициент корреляции.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</w:rPr>
        <w:drawing>
          <wp:inline distB="114300" distT="114300" distL="114300" distR="114300">
            <wp:extent cx="15621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Значение коэффициента меняется от −1 (последовательности рангов полностью противоположны) до +1 (последовательности рангов полностью совпадают). Нулевое значение показывает, что признаки независимы.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before="120" w:lineRule="auto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Ограничения использования коэффициента корреляции: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Нелинейность связи. Решения: 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Найти точку перегиба и разделить на две части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Отказаться от использования коэффициента корреляции.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Если выявленная связь является монотонной, то целесообразно использовать ранговые коэффициенты корреляции.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Дисперсионные выбросы, асимметричность распределения (значения r разбросаны от -1 до 1).Решения: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Исключать дисперсионные выбросы из выборки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Использовать ранговые коэффициенты корреляции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Влияние третьей переменной.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 Exel: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КОРРЕЛ [CORREL] (массив1; массив2) - Коэффициент корреляции. ПИРСОН (PEARSON) с теми же массивами - Линейный коэффициент корреляции 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2.  СТЬЮДРАСПОБР (вероятность; степени_свободы)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Оценка значимости коэффициента парной корреляции с использованием t критерия Стьюдента. Рассчитанное значение t-критерия сравнивается с табличной (критической) величиной данного показателя из соответствующей таблицы значений рассматриваемого параметра с учетом заданного уровня значимости и числа степеней свободы. 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Матрица коэффициентов парной корреляции. Анализ осуществляется с помощью средства «Анализ данных», в котором выбирается «Корреляция».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708.6614173228347" w:right="442.4409448818915" w:header="720" w:footer="720"/>
      <w:cols w:equalWidth="0" w:num="2">
        <w:col w:space="720" w:w="5017.200000000001"/>
        <w:col w:space="0" w:w="5017.2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