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="240" w:lineRule="auto"/>
        <w:jc w:val="center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16. Дисперсия. Эксцесс. Показатель асимметрии.</w:t>
      </w:r>
    </w:p>
    <w:p w:rsidR="00000000" w:rsidDel="00000000" w:rsidP="00000000" w:rsidRDefault="00000000" w:rsidRPr="00000000" w14:paraId="00000002">
      <w:pPr>
        <w:rPr/>
        <w:sectPr>
          <w:pgSz w:h="16834" w:w="11909" w:orient="portrait"/>
          <w:pgMar w:bottom="1440" w:top="566.9291338582677" w:left="1440" w:right="1440" w:header="720" w:footer="720"/>
          <w:pgNumType w:start="1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Дисперсия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служит для характеристики рассеяния случайных величин относительно ее математического ожидания и характеризует форму кривой распределения. Она является более полной оценкой дискретных случайных величин.</w:t>
      </w:r>
    </w:p>
    <w:p w:rsidR="00000000" w:rsidDel="00000000" w:rsidP="00000000" w:rsidRDefault="00000000" w:rsidRPr="00000000" w14:paraId="00000004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D(X) = (X</w:t>
      </w:r>
      <w:r w:rsidDel="00000000" w:rsidR="00000000" w:rsidRPr="00000000">
        <w:rPr>
          <w:rFonts w:ascii="Roboto Mono" w:cs="Roboto Mono" w:eastAsia="Roboto Mono" w:hAnsi="Roboto Mono"/>
          <w:vertAlign w:val="superscript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 M(X))</w:t>
      </w:r>
      <w:r w:rsidDel="00000000" w:rsidR="00000000" w:rsidRPr="00000000">
        <w:rPr>
          <w:rFonts w:ascii="Roboto Mono" w:cs="Roboto Mono" w:eastAsia="Roboto Mono" w:hAnsi="Roboto Mono"/>
          <w:vertAlign w:val="superscript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</w:t>
      </w:r>
    </w:p>
    <w:p w:rsidR="00000000" w:rsidDel="00000000" w:rsidP="00000000" w:rsidRDefault="00000000" w:rsidRPr="00000000" w14:paraId="00000006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где M(X) – математическое ожидание (M(X) = </w:t>
      </w:r>
      <m:oMath>
        <m:nary>
          <m:naryPr>
            <m:chr m:val="∑"/>
            <m:ctrlPr>
              <w:rPr>
                <w:rFonts w:ascii="Roboto Mono" w:cs="Roboto Mono" w:eastAsia="Roboto Mono" w:hAnsi="Roboto Mono"/>
              </w:rPr>
            </m:ctrlPr>
          </m:naryPr>
          <m:sub>
            <m:r>
              <w:rPr>
                <w:rFonts w:ascii="Roboto Mono" w:cs="Roboto Mono" w:eastAsia="Roboto Mono" w:hAnsi="Roboto Mono"/>
              </w:rPr>
              <m:t xml:space="preserve">i=1</m:t>
            </m:r>
          </m:sub>
          <m:sup>
            <m:r>
              <w:rPr>
                <w:rFonts w:ascii="Roboto Mono" w:cs="Roboto Mono" w:eastAsia="Roboto Mono" w:hAnsi="Roboto Mono"/>
              </w:rPr>
              <m:t xml:space="preserve">n</m:t>
            </m:r>
          </m:sup>
        </m:nary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x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</m:t>
            </m:r>
          </m:sub>
        </m:sSub>
        <m:r>
          <w:rPr>
            <w:rFonts w:ascii="Roboto Mono" w:cs="Roboto Mono" w:eastAsia="Roboto Mono" w:hAnsi="Roboto Mono"/>
          </w:rPr>
          <m:t xml:space="preserve">*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p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</m:t>
            </m:r>
          </m:sub>
        </m:sSub>
        <m:r>
          <w:rPr>
            <w:rFonts w:ascii="Roboto Mono" w:cs="Roboto Mono" w:eastAsia="Roboto Mono" w:hAnsi="Roboto Mono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38" w:line="360" w:lineRule="auto"/>
        <w:ind w:left="24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Дисперсия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НСВ (непрерывных СВ):</w:t>
      </w:r>
    </w:p>
    <w:p w:rsidR="00000000" w:rsidDel="00000000" w:rsidP="00000000" w:rsidRDefault="00000000" w:rsidRPr="00000000" w14:paraId="00000009">
      <w:pPr>
        <w:shd w:fill="ffffff" w:val="clear"/>
        <w:spacing w:after="38" w:line="360" w:lineRule="auto"/>
        <w:ind w:left="24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0" distR="0">
            <wp:extent cx="2636990" cy="39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Свойства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дисперсии:</w:t>
      </w:r>
    </w:p>
    <w:p w:rsidR="00000000" w:rsidDel="00000000" w:rsidP="00000000" w:rsidRDefault="00000000" w:rsidRPr="00000000" w14:paraId="0000000B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  <w:vertAlign w:val="superscrip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 D(X) = M(X</w:t>
      </w:r>
      <w:r w:rsidDel="00000000" w:rsidR="00000000" w:rsidRPr="00000000">
        <w:rPr>
          <w:rFonts w:ascii="Roboto Mono" w:cs="Roboto Mono" w:eastAsia="Roboto Mono" w:hAnsi="Roboto Mono"/>
          <w:vertAlign w:val="superscript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– (M(X))</w:t>
      </w:r>
      <w:r w:rsidDel="00000000" w:rsidR="00000000" w:rsidRPr="00000000">
        <w:rPr>
          <w:rFonts w:ascii="Roboto Mono" w:cs="Roboto Mono" w:eastAsia="Roboto Mono" w:hAnsi="Roboto Mono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0C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2. D(C) = 0</w:t>
      </w:r>
    </w:p>
    <w:p w:rsidR="00000000" w:rsidDel="00000000" w:rsidP="00000000" w:rsidRDefault="00000000" w:rsidRPr="00000000" w14:paraId="0000000D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3. D(X+Y) = D(X) + D(Y)</w:t>
      </w:r>
    </w:p>
    <w:p w:rsidR="00000000" w:rsidDel="00000000" w:rsidP="00000000" w:rsidRDefault="00000000" w:rsidRPr="00000000" w14:paraId="0000000E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4. D(X-Y) = D(X) + D(Y)</w:t>
      </w:r>
    </w:p>
    <w:p w:rsidR="00000000" w:rsidDel="00000000" w:rsidP="00000000" w:rsidRDefault="00000000" w:rsidRPr="00000000" w14:paraId="0000000F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Дисперсия характеризует средний квадрат отклонения ДСВ, поэтому на практике часто используют в качестве характеристики разброса среднее квадратическое отклонение.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Roboto Mono" w:cs="Roboto Mono" w:eastAsia="Roboto Mono" w:hAnsi="Roboto Mono"/>
        </w:rPr>
      </w:pPr>
      <m:oMath>
        <m:r>
          <m:t>σ</m:t>
        </m:r>
        <m:d>
          <m:dPr>
            <m:begChr m:val="("/>
            <m:endChr m:val=")"/>
            <m:ctrlPr>
              <w:rPr>
                <w:rFonts w:ascii="Roboto Mono" w:cs="Roboto Mono" w:eastAsia="Roboto Mono" w:hAnsi="Roboto Mono"/>
              </w:rPr>
            </m:ctrlPr>
          </m:dPr>
          <m:e>
            <m:r>
              <w:rPr>
                <w:rFonts w:ascii="Roboto Mono" w:cs="Roboto Mono" w:eastAsia="Roboto Mono" w:hAnsi="Roboto Mono"/>
              </w:rPr>
              <m:t xml:space="preserve">X</m:t>
            </m:r>
          </m:e>
        </m:d>
        <m:r>
          <w:rPr>
            <w:rFonts w:ascii="Roboto Mono" w:cs="Roboto Mono" w:eastAsia="Roboto Mono" w:hAnsi="Roboto Mono"/>
          </w:rPr>
          <m:t xml:space="preserve">= </m:t>
        </m:r>
        <m:rad>
          <m:radPr>
            <m:degHide m:val="1"/>
            <m:ctrlPr>
              <w:rPr>
                <w:rFonts w:ascii="Roboto Mono" w:cs="Roboto Mono" w:eastAsia="Roboto Mono" w:hAnsi="Roboto Mono"/>
              </w:rPr>
            </m:ctrlPr>
          </m:radPr>
          <m:e>
            <m:r>
              <w:rPr>
                <w:rFonts w:ascii="Roboto Mono" w:cs="Roboto Mono" w:eastAsia="Roboto Mono" w:hAnsi="Roboto Mono"/>
              </w:rPr>
              <m:t xml:space="preserve">D(X)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Для распределения Бернулли: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D(X)=pq;</w:t>
      </w:r>
    </w:p>
    <w:p w:rsidR="00000000" w:rsidDel="00000000" w:rsidP="00000000" w:rsidRDefault="00000000" w:rsidRPr="00000000" w14:paraId="00000013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Для биномиального закона: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14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D(X) = npq,</w:t>
      </w:r>
    </w:p>
    <w:p w:rsidR="00000000" w:rsidDel="00000000" w:rsidP="00000000" w:rsidRDefault="00000000" w:rsidRPr="00000000" w14:paraId="00000015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Для геометрического закона и для геометрического закона +1: </w:t>
      </w:r>
    </w:p>
    <w:p w:rsidR="00000000" w:rsidDel="00000000" w:rsidP="00000000" w:rsidRDefault="00000000" w:rsidRPr="00000000" w14:paraId="00000016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D(X) = q/p</w:t>
      </w:r>
      <w:r w:rsidDel="00000000" w:rsidR="00000000" w:rsidRPr="00000000">
        <w:rPr>
          <w:rFonts w:ascii="Roboto Mono" w:cs="Roboto Mono" w:eastAsia="Roboto Mono" w:hAnsi="Roboto Mono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Для отрицательного биномиального распределения: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D(X) = kq/p</w:t>
      </w:r>
      <w:r w:rsidDel="00000000" w:rsidR="00000000" w:rsidRPr="00000000">
        <w:rPr>
          <w:rFonts w:ascii="Roboto Mono" w:cs="Roboto Mono" w:eastAsia="Roboto Mono" w:hAnsi="Roboto Mono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Для гипергеометрического: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m:oMath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n(</m:t>
            </m:r>
            <m:f>
              <m:f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fPr>
              <m:num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D</m:t>
                </m:r>
              </m:num>
              <m:den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N</m:t>
                </m:r>
              </m:den>
            </m:f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)(1-</m:t>
            </m:r>
            <m:f>
              <m:f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fPr>
              <m:num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D</m:t>
                </m:r>
              </m:num>
              <m:den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N</m:t>
                </m:r>
              </m:den>
            </m:f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)(N-n)</m:t>
            </m:r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(N-1)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Для распределения Пуассона: </w:t>
      </w:r>
    </w:p>
    <w:p w:rsidR="00000000" w:rsidDel="00000000" w:rsidP="00000000" w:rsidRDefault="00000000" w:rsidRPr="00000000" w14:paraId="0000001A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D(X) = α</w:t>
      </w:r>
    </w:p>
    <w:p w:rsidR="00000000" w:rsidDel="00000000" w:rsidP="00000000" w:rsidRDefault="00000000" w:rsidRPr="00000000" w14:paraId="0000001B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Теория: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обобщенными числовыми характеристиками для случайных величин в теории вероятностей, а также математической статистике являются начальные и центральные моменты. Начальным моментом k-го порядка случайной величины Х называют математическое ожидание от величины в k-ой степени 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Центральным моментом k-го порядка называют математическое ожидание от величины (X-M(X)</w:t>
      </w:r>
      <w:r w:rsidDel="00000000" w:rsidR="00000000" w:rsidRPr="00000000">
        <w:rPr>
          <w:rFonts w:ascii="Roboto Mono" w:cs="Roboto Mono" w:eastAsia="Roboto Mono" w:hAnsi="Roboto Mono"/>
          <w:vertAlign w:val="superscript"/>
          <w:rtl w:val="0"/>
        </w:rPr>
        <w:t xml:space="preserve">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)).</w:t>
      </w:r>
    </w:p>
    <w:p w:rsidR="00000000" w:rsidDel="00000000" w:rsidP="00000000" w:rsidRDefault="00000000" w:rsidRPr="00000000" w14:paraId="0000001C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Третий центральный момент относительно среднего значения характеризует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ассиметрию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распределения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относительно математического ожидания и является, следовательно, мерой ассиметрии (скошенности). </w:t>
      </w:r>
    </w:p>
    <w:p w:rsidR="00000000" w:rsidDel="00000000" w:rsidP="00000000" w:rsidRDefault="00000000" w:rsidRPr="00000000" w14:paraId="0000001E">
      <w:pPr>
        <w:spacing w:after="240" w:line="240" w:lineRule="auto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Для симметричного распределения M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0. Если M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&lt; 0, то график плотности ассиметричен и скошен отрицательно — пик смещён вправо, а при M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&gt; 0 — пик смещён влево. Для удобства вычислений показателю ассиметрии придают безразмерную величину, для этого M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3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делят на S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(куб среднего квадратического отклонения)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Roboto Mono" w:cs="Roboto Mono" w:eastAsia="Roboto Mono" w:hAnsi="Roboto Mono"/>
          <w:sz w:val="28"/>
          <w:szCs w:val="28"/>
        </w:rPr>
      </w:pPr>
      <m:oMath>
        <m:r>
          <w:rPr>
            <w:rFonts w:ascii="Roboto Mono" w:cs="Roboto Mono" w:eastAsia="Roboto Mono" w:hAnsi="Roboto Mono"/>
            <w:sz w:val="28"/>
            <w:szCs w:val="28"/>
          </w:rPr>
          <m:t xml:space="preserve">A= </m:t>
        </m:r>
        <m:nary>
          <m:naryPr>
            <m:chr m:val="∑"/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naryPr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n</m:t>
            </m:r>
          </m:sup>
        </m:nary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p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(</m:t>
                </m:r>
                <m:sSub>
                  <m:sSubPr>
                    <m:ctrlPr>
                      <w:rPr>
                        <w:rFonts w:ascii="Roboto Mono" w:cs="Roboto Mono" w:eastAsia="Roboto Mono" w:hAnsi="Roboto Mon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Roboto Mono" w:cs="Roboto Mono" w:eastAsia="Roboto Mono" w:hAnsi="Roboto Mono"/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rFonts w:ascii="Roboto Mono" w:cs="Roboto Mono" w:eastAsia="Roboto Mono" w:hAnsi="Roboto Mono"/>
                        <w:sz w:val="28"/>
                        <w:szCs w:val="28"/>
                      </w:rPr>
                      <m:t xml:space="preserve">i</m:t>
                    </m:r>
                  </m:sub>
                </m:s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-M)</m:t>
                </m:r>
              </m:e>
              <m:sup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n* </m:t>
            </m:r>
            <m:sSup>
              <m:sSup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p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S</m:t>
                </m:r>
              </m:e>
              <m:sup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3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Четвёртый центральный момент характеризует свойство островершинности или пологости кривой плотности вероятностей. За характеристику этого свойства принимается безразмерная величина E, называемая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эксцессом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и равная отношению M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4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 M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которое для нормального распределения равно 3. </w:t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Если S = 1 и M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4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3, то график плотности распределения имеет эксцесс, превышающий нормальный (кривая заострена, т.е. E &gt; 0).</w:t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Если M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4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= 3 — то нормальный эксцесс — средняя заострённость, т.е. E = 0; </w:t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Если M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4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 3, то кривая плоская и имеет эксцесс менее нормального, т.е. E &lt; 0. </w:t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Значение эксцесса по результатам наблюдений вычисляется по формуле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Roboto Mono" w:cs="Roboto Mono" w:eastAsia="Roboto Mono" w:hAnsi="Roboto Mono"/>
          <w:sz w:val="28"/>
          <w:szCs w:val="28"/>
        </w:rPr>
      </w:pPr>
      <m:oMath>
        <m:r>
          <w:rPr>
            <w:rFonts w:ascii="Roboto Mono" w:cs="Roboto Mono" w:eastAsia="Roboto Mono" w:hAnsi="Roboto Mono"/>
            <w:sz w:val="28"/>
            <w:szCs w:val="28"/>
          </w:rPr>
          <m:t xml:space="preserve">E= </m:t>
        </m:r>
        <m:nary>
          <m:naryPr>
            <m:chr m:val="∑"/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naryPr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n</m:t>
            </m:r>
          </m:sup>
        </m:nary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p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(</m:t>
                </m:r>
                <m:sSub>
                  <m:sSubPr>
                    <m:ctrlPr>
                      <w:rPr>
                        <w:rFonts w:ascii="Roboto Mono" w:cs="Roboto Mono" w:eastAsia="Roboto Mono" w:hAnsi="Roboto Mon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Roboto Mono" w:cs="Roboto Mono" w:eastAsia="Roboto Mono" w:hAnsi="Roboto Mono"/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rFonts w:ascii="Roboto Mono" w:cs="Roboto Mono" w:eastAsia="Roboto Mono" w:hAnsi="Roboto Mono"/>
                        <w:sz w:val="28"/>
                        <w:szCs w:val="28"/>
                      </w:rPr>
                      <m:t xml:space="preserve">i</m:t>
                    </m:r>
                  </m:sub>
                </m:s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-M)</m:t>
                </m:r>
              </m:e>
              <m:sup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4</m:t>
                </m:r>
              </m:sup>
            </m:sSup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n* </m:t>
            </m:r>
            <m:sSup>
              <m:sSup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p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S</m:t>
                </m:r>
              </m:e>
              <m:sup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4</m:t>
                </m:r>
              </m:sup>
            </m:sSup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-3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566.9291338582677" w:left="1440" w:right="1440" w:header="720" w:footer="72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