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Roboto Mono" w:cs="Roboto Mono" w:eastAsia="Roboto Mono" w:hAnsi="Roboto Mono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sz w:val="22"/>
          <w:szCs w:val="22"/>
          <w:rtl w:val="0"/>
        </w:rPr>
        <w:t xml:space="preserve">Метод оптимального исключения Гаусса</w:t>
      </w:r>
    </w:p>
    <w:p w:rsidR="00000000" w:rsidDel="00000000" w:rsidP="00000000" w:rsidRDefault="00000000" w:rsidRPr="00000000" w14:paraId="00000002">
      <w:pPr>
        <w:rPr>
          <w:rFonts w:ascii="Roboto Mono" w:cs="Roboto Mono" w:eastAsia="Roboto Mono" w:hAnsi="Roboto Mon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left"/>
        <w:rPr>
          <w:rFonts w:ascii="Roboto Mono" w:cs="Roboto Mono" w:eastAsia="Roboto Mono" w:hAnsi="Roboto Mono"/>
          <w:sz w:val="22"/>
          <w:szCs w:val="22"/>
        </w:rPr>
        <w:sectPr>
          <w:pgSz w:h="16838" w:w="11906" w:orient="portrait"/>
          <w:pgMar w:bottom="400.98425196850485" w:top="566.9291338582677" w:left="708.6614173228347" w:right="850" w:header="708" w:footer="708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рассматриваемом методе последовательного исключения неизвестных по столбцам исходная матрица А преобразуется в треугольную матрицу с единичными диагональными элементами. Поэтому каждая ведущая строка делится на диагональный элемент a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ii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Эти вычислительные операции можно видоизменить и получить 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треугольную матрицу с неединичными диагональными элементами.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В методе оптимального исключения 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принцип преобразования матрицы аналогичен классическому методу последовательного исключения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Поэтому рассмотрим на примере получения верхней правой треугольной матрицы по алгоритму исключения неизвестных по столбцам.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681366" cy="231877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366" cy="2318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708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рассматриваемом алгоритме ведущая i-я строка не делится на ведущий элемент a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ii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Поэтому для получения на месте ведомого элемента a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ki 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необходимо получить 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новый коэффициент преобразования k-й строки: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ã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ki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a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ki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/a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Далее в каждом цикле частичного обнуления i-го столбца из каждой ведомой k-й строки вычитается ведущая строка, кратная коэффициенту преобразования ã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ki.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Roboto Mono" w:cs="Roboto Mono" w:eastAsia="Roboto Mono" w:hAnsi="Roboto Mon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рекуррентном виде весь алгоритм можно записать в виде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ã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ki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a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ki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/a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ii 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ã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kj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a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kj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ã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ki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 a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ij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где: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= 1 / (n – 1),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439"/>
        </w:tabs>
        <w:spacing w:after="12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 = (i + 1) / n</w:t>
        <w:tab/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 = i / (n+1).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 j = i поддиагональные элементы матрицы будут равны нулю.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В данном методе на этапе прямого хода выполняется на n операций деления меньше, чем в методе последовательного исключения, т.к. в каждом цикле обнуления столбца на подготовку коэффициентов преобразования ã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ki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требуется на одно деление меньше по сравнению с количеством делений элементов ведущей строки.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Однако этот выигрыш является кажущимся, т.к. на втором этапе обратного хода требуется ровно на n операций деления больше, чем в методе последовательного исключения, поскольку диагональные элементы треугольной матрицы не равны единице. 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Алгоритм обратного хода имеет вид: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809068" cy="121638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068" cy="1216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Таким образом, метод оптимального исключения по временным затратам для решения СЛУ эквивалентен классическому методу последовательного исключения неизвестных, но по организации вычислений он проще, и поэтому чаще используется при решении инженерных задач.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400.98425196850485" w:top="566.9291338582677" w:left="708.6614173228347" w:right="850" w:header="708" w:footer="708"/>
      <w:cols w:equalWidth="0" w:num="2">
        <w:col w:space="720" w:w="4813.42"/>
        <w:col w:space="0" w:w="4813.42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Calibri" w:cs="Calibri" w:eastAsia="Calibri" w:hAnsi="Calibri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