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18. Приближенное вычисление элементарных функций с использованием многочленных приближений Чебышева.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Roboto Mono" w:cs="Roboto Mono" w:eastAsia="Roboto Mono" w:hAnsi="Roboto Mono"/>
        </w:rPr>
        <w:sectPr>
          <w:pgSz w:h="16838" w:w="11906" w:orient="portrait"/>
          <w:pgMar w:bottom="1134" w:top="425.1968503937008" w:left="566.9291338582677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ЦВМ элементарные функции вычисляются преимущественно по стандартным программам и пользователю машиной, как правило, не приходится составлять специальных программ для их вычисления. Однако на стадии проектирования ЭВМ при выборе соответствующего метода руководствуются требуемой точностью, временем вычисления и необходимой памятью для программ и промежуточных результатов вычисления. Для программного вычисления ЭФ обычно используются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методы: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Разложение в степенные ряды Маклорена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Многочисленных приближений Чебышева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Цепных дробей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Ньютона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Данный тип задач может быть решён с помощью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итерационных процессов с управлением по индексу и функции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Этот тип ВП относится к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полуитерационных ВП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2343150" cy="76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Задача: найти e</w:t>
      </w:r>
      <w:r w:rsidDel="00000000" w:rsidR="00000000" w:rsidRPr="00000000">
        <w:rPr>
          <w:rFonts w:ascii="Roboto Mono" w:cs="Roboto Mono" w:eastAsia="Roboto Mono" w:hAnsi="Roboto Mono"/>
          <w:vertAlign w:val="superscript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с точностью Е.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зависимости от точности набор коэффициентов будет разным. 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vertAlign w:val="subscrip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массив (значение a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берется из таблицы значений из справочника)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Вычисления ведутся с некоторой точностью Е; фактическое количество циклов неизвестно.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зависимости от заданной точности берет соответствующее количество ak – k (обычно k = 0 ÷ n). 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Выход из цикла будет выполняться по рассчитываему значению функции. 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Рекуррентные формулы: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p = p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subscript"/>
          <w:rtl w:val="0"/>
        </w:rPr>
        <w:t xml:space="preserve">k-1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* x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= a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* p, где p0 = a0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 = S + u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Если при выводе результатов значение k &gt; n, то при заданном наборе коэффициентов в a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k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сформулированное условие на точность вычисления не выполняется. 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425.1968503937008" w:left="566.9291338582677" w:right="850" w:header="708" w:footer="708"/>
      <w:cols w:equalWidth="0" w:num="2">
        <w:col w:space="720" w:w="4884.28"/>
        <w:col w:space="0" w:w="4884.2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