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:Защита от несанкционированного доступа и сетевых хакерских атак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Познакомиться с настройками встроенного брандмауэра и Центра обеспечения безопасности системы Microsoft Windows XP.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Брандмауэр Windows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919413" cy="331548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31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38575" cy="377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29125" cy="49339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95650" cy="3114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Центр Обеспечения безопасности Windows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34843" cy="3109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4843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025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71925" cy="4505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52875" cy="4562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71900" cy="392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24300" cy="4343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