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Тема 2. «Математические объекты и их представления»</w:t>
      </w:r>
    </w:p>
    <w:p w:rsidR="00000000" w:rsidDel="00000000" w:rsidP="00000000" w:rsidRDefault="00000000" w:rsidRPr="00000000" w14:paraId="00000002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Вариативная самостоятельная работа</w:t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Задание 2.1.</w:t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Создание аннотированного списка литературы и интернет – ресурсов по теме «Математические объекты и их представления».</w:t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Найти не менее 7 информационных ресурсов по теме «Математические объекты и их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представления».</w:t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Примерами указанных ресурсов могут быть: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Полезные советы.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Справка по объектам и их представлениям.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Теоретический материал.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Рекомендации к использованию.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И так далее.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Ind w:w="-5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1890"/>
        <w:gridCol w:w="1890"/>
        <w:gridCol w:w="2370"/>
        <w:gridCol w:w="3630"/>
        <w:tblGridChange w:id="0">
          <w:tblGrid>
            <w:gridCol w:w="690"/>
            <w:gridCol w:w="1890"/>
            <w:gridCol w:w="1890"/>
            <w:gridCol w:w="2370"/>
            <w:gridCol w:w="36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№1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Адрес ресурса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Скриншот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Аннотация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Roboto Mono" w:cs="Roboto Mono" w:eastAsia="Roboto Mono" w:hAnsi="Roboto Mono"/>
              </w:rPr>
            </w:pPr>
            <w:hyperlink r:id="rId6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u w:val="single"/>
                  <w:rtl w:val="0"/>
                </w:rPr>
                <w:t xml:space="preserve">http://mathemlib.ru/books/item/f00/s00/z0000031/st008.shtml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З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лыгостев Алексей Сергеевич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</w:rPr>
              <w:drawing>
                <wp:inline distB="114300" distT="114300" distL="114300" distR="114300">
                  <wp:extent cx="1371600" cy="6096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Статья на тему “Математические объекты” с представленным примером решения задачи.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Roboto Mono" w:cs="Roboto Mono" w:eastAsia="Roboto Mono" w:hAnsi="Roboto Mono"/>
              </w:rPr>
            </w:pPr>
            <w:hyperlink r:id="rId8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u w:val="single"/>
                  <w:rtl w:val="0"/>
                </w:rPr>
                <w:t xml:space="preserve">http://kspt.icc.spbstu.ru/course/comp-algebra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Малышев И.А.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</w:rPr>
              <w:drawing>
                <wp:inline distB="114300" distT="114300" distL="114300" distR="114300">
                  <wp:extent cx="1371600" cy="6477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5 лекций на тему “Математические объекты и их представления”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40" w:lineRule="auto"/>
              <w:rPr>
                <w:rFonts w:ascii="Roboto Mono" w:cs="Roboto Mono" w:eastAsia="Roboto Mono" w:hAnsi="Roboto Mono"/>
              </w:rPr>
            </w:pPr>
            <w:hyperlink r:id="rId10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u w:val="single"/>
                  <w:rtl w:val="0"/>
                </w:rPr>
                <w:t xml:space="preserve">https://cyberleninka.ru/article/n/matematicheskoe-modelirovanie-obektov-lineynoy-algebry-i-analiticheskoy-geometrii-v-sisteme-kompyuternoy-matematiki-maple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eeeeee" w:val="clear"/>
                <w:rtl w:val="0"/>
              </w:rPr>
              <w:t xml:space="preserve">Самигуллина Алсу Ринатовна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</w:rPr>
              <w:drawing>
                <wp:inline distB="114300" distT="114300" distL="114300" distR="114300">
                  <wp:extent cx="1371600" cy="9144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В статье  описаны основные принципы математического моделирования и программные процедуры в системе компьютерной математики Maple графического представления основных объектов линейной алгебры и аналитической геометрии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Roboto Mono" w:cs="Roboto Mono" w:eastAsia="Roboto Mono" w:hAnsi="Roboto Mono"/>
              </w:rPr>
            </w:pPr>
            <w:hyperlink r:id="rId12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u w:val="single"/>
                  <w:rtl w:val="0"/>
                </w:rPr>
                <w:t xml:space="preserve">https://cyberleninka.ru/article/n/kachestvennaya-opredelennost-matematicheskogo-obekta-ontologicheskiy-analiz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80" w:line="240" w:lineRule="auto"/>
              <w:ind w:left="0" w:firstLine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Букин Дмитрий Николаевич</w:t>
            </w:r>
          </w:p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</w:rPr>
              <w:drawing>
                <wp:inline distB="114300" distT="114300" distL="114300" distR="114300">
                  <wp:extent cx="1371600" cy="901700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Постижение бытия математического объекта далеко не всегда начинается с описания его количественных параметров прежде чем ответить на вопрос «сколько?», необходимо задаться вопросом «что?». В статье показано, что качественный подход в математике применяется повсюду, на всех уровнях анализа, потому что любой математический объект должен быть осмыслен и определен прежде всего со своей качественной стороны. </w:t>
            </w:r>
          </w:p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Roboto Mono" w:cs="Roboto Mono" w:eastAsia="Roboto Mono" w:hAnsi="Roboto Mono"/>
              </w:rPr>
            </w:pPr>
            <w:hyperlink r:id="rId14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u w:val="single"/>
                  <w:rtl w:val="0"/>
                </w:rPr>
                <w:t xml:space="preserve">https://math-it.petrsu.ru/users/semenova/CAS/Lections/Lection_CAS_1.pdf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semenova@petrsu.ru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</w:rPr>
              <w:drawing>
                <wp:inline distB="114300" distT="114300" distL="114300" distR="114300">
                  <wp:extent cx="1371600" cy="11811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Лекция о системах компьютерной алгебры, где доступно представлена основная информация о компьютерной алгебре, математических объектах. А также представлены программные продукты помогающее решить задачи компьютерной алгеьры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Roboto Mono" w:cs="Roboto Mono" w:eastAsia="Roboto Mono" w:hAnsi="Roboto Mono"/>
              </w:rPr>
            </w:pPr>
            <w:hyperlink r:id="rId16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u w:val="single"/>
                  <w:rtl w:val="0"/>
                </w:rPr>
                <w:t xml:space="preserve">http://www.itlab.unn.ru/Uploads/coaChapter04.pdf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Нижегородский государственный университет им. Н. И. Лобачевского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</w:rPr>
              <w:drawing>
                <wp:inline distB="114300" distT="114300" distL="114300" distR="114300">
                  <wp:extent cx="1371600" cy="1206500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Лекция о структурах данных, используемых в компьютерной алгебре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Roboto Mono" w:cs="Roboto Mono" w:eastAsia="Roboto Mono" w:hAnsi="Roboto Mono"/>
              </w:rPr>
            </w:pPr>
            <w:hyperlink r:id="rId18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u w:val="single"/>
                  <w:rtl w:val="0"/>
                </w:rPr>
                <w:t xml:space="preserve">https://www.itweek.ru/themes/detail.php?ID=77105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c4c4c"/>
                <w:highlight w:val="white"/>
                <w:rtl w:val="0"/>
              </w:rPr>
              <w:t xml:space="preserve">Андрей Пеньков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</w:rPr>
              <w:drawing>
                <wp:inline distB="114300" distT="114300" distL="114300" distR="114300">
                  <wp:extent cx="1371600" cy="12954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Анализ по 16 показателям пяти современных интегрированных математических систем для ПК: Derive (под MS-DOS), MathCAD PLUS 6.0, Maple V R3, Mathematica 2.2.2 и MatLAB 4.2 под Windows.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sectPr>
      <w:footerReference r:id="rId2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6.png"/><Relationship Id="rId10" Type="http://schemas.openxmlformats.org/officeDocument/2006/relationships/hyperlink" Target="https://cyberleninka.ru/article/n/matematicheskoe-modelirovanie-obektov-lineynoy-algebry-i-analiticheskoy-geometrii-v-sisteme-kompyuternoy-matematiki-maple" TargetMode="External"/><Relationship Id="rId13" Type="http://schemas.openxmlformats.org/officeDocument/2006/relationships/image" Target="media/image7.png"/><Relationship Id="rId12" Type="http://schemas.openxmlformats.org/officeDocument/2006/relationships/hyperlink" Target="https://cyberleninka.ru/article/n/kachestvennaya-opredelennost-matematicheskogo-obekta-ontologicheskiy-analiz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hyperlink" Target="https://math-it.petrsu.ru/users/semenova/CAS/Lections/Lection_CAS_1.pdf" TargetMode="External"/><Relationship Id="rId17" Type="http://schemas.openxmlformats.org/officeDocument/2006/relationships/image" Target="media/image5.png"/><Relationship Id="rId16" Type="http://schemas.openxmlformats.org/officeDocument/2006/relationships/hyperlink" Target="http://www.itlab.unn.ru/Uploads/coaChapter04.pdf" TargetMode="External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://mathemlib.ru/books/item/f00/s00/z0000031/st008.shtml" TargetMode="External"/><Relationship Id="rId18" Type="http://schemas.openxmlformats.org/officeDocument/2006/relationships/hyperlink" Target="https://www.itweek.ru/themes/detail.php?ID=77105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kspt.icc.spbstu.ru/course/comp-algebr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