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Тема 1. «Основы компьютерной алгебры»</w:t>
      </w:r>
    </w:p>
    <w:p w:rsidR="00000000" w:rsidDel="00000000" w:rsidP="00000000" w:rsidRDefault="00000000" w:rsidRPr="00000000" w14:paraId="00000002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Вариативная самостоятельная работа</w:t>
      </w:r>
    </w:p>
    <w:p w:rsidR="00000000" w:rsidDel="00000000" w:rsidP="00000000" w:rsidRDefault="00000000" w:rsidRPr="00000000" w14:paraId="00000003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Задание 1.</w:t>
      </w:r>
    </w:p>
    <w:p w:rsidR="00000000" w:rsidDel="00000000" w:rsidP="00000000" w:rsidRDefault="00000000" w:rsidRPr="00000000" w14:paraId="0000000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Составление аннотированного списка онлайн-сервисов для решения математических задач. Найти не менее 5 онлайн-сервисов, которые можно использовать для решения математических задач.</w:t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010.0" w:type="dxa"/>
        <w:jc w:val="left"/>
        <w:tblInd w:w="-7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"/>
        <w:gridCol w:w="1890"/>
        <w:gridCol w:w="1620"/>
        <w:gridCol w:w="3315"/>
        <w:gridCol w:w="3735"/>
        <w:tblGridChange w:id="0">
          <w:tblGrid>
            <w:gridCol w:w="450"/>
            <w:gridCol w:w="1890"/>
            <w:gridCol w:w="1620"/>
            <w:gridCol w:w="3315"/>
            <w:gridCol w:w="37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Адрес ресурса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Снимок экрана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Аннотация,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особенности, рассмотренные математические задачи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hyperlink r:id="rId6">
              <w:r w:rsidDel="00000000" w:rsidR="00000000" w:rsidRPr="00000000">
                <w:rPr>
                  <w:rFonts w:ascii="Roboto Mono" w:cs="Roboto Mono" w:eastAsia="Roboto Mono" w:hAnsi="Roboto Mono"/>
                  <w:color w:val="1155cc"/>
                  <w:u w:val="single"/>
                  <w:rtl w:val="0"/>
                </w:rPr>
                <w:t xml:space="preserve">https://www.wolframalpha.com/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Стивен Вольфрам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</w:rPr>
              <w:drawing>
                <wp:inline distB="114300" distT="114300" distL="114300" distR="114300">
                  <wp:extent cx="1897160" cy="900113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160" cy="9001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С помощью сайта-сервиса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highlight w:val="white"/>
                <w:rtl w:val="0"/>
              </w:rPr>
              <w:t xml:space="preserve">WolframAlpha</w:t>
            </w: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Вы можете выполнить самые разные математические вычисления online: построение графиков функции, работа с матрицами, решение алгебраических и дифференциальных уравнений, действия с числами и переменными, вычисление процентов и котировок акций, вычисление производных, интегралов, нулей функции, максимумов и минимумов... Кстати, возможны решения задач онлайн из разных областей наук: физика, химия, география, компьютеры, единицы измерения и др. В решении математики онлайн этот сервис - лидер.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hyperlink r:id="rId8">
              <w:r w:rsidDel="00000000" w:rsidR="00000000" w:rsidRPr="00000000">
                <w:rPr>
                  <w:rFonts w:ascii="Roboto Mono" w:cs="Roboto Mono" w:eastAsia="Roboto Mono" w:hAnsi="Roboto Mono"/>
                  <w:color w:val="1155cc"/>
                  <w:u w:val="single"/>
                  <w:rtl w:val="0"/>
                </w:rPr>
                <w:t xml:space="preserve">http://www.webmath.ru/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</w:rPr>
              <w:drawing>
                <wp:inline distB="114300" distT="114300" distL="114300" distR="114300">
                  <wp:extent cx="1971675" cy="914400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hd w:fill="fcffee" w:val="clear"/>
                <w:rtl w:val="0"/>
              </w:rPr>
              <w:t xml:space="preserve">Webmath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shd w:fill="fcffee" w:val="clear"/>
                <w:rtl w:val="0"/>
              </w:rPr>
              <w:t xml:space="preserve"> - </w:t>
            </w:r>
            <w:r w:rsidDel="00000000" w:rsidR="00000000" w:rsidRPr="00000000">
              <w:rPr>
                <w:rFonts w:ascii="Roboto Mono" w:cs="Roboto Mono" w:eastAsia="Roboto Mono" w:hAnsi="Roboto Mono"/>
                <w:shd w:fill="fcffee" w:val="clear"/>
                <w:rtl w:val="0"/>
              </w:rPr>
              <w:t xml:space="preserve">это сайт, который генерирует ответы на конкретные вопросы и задачи по математике. Ответы генерируются и отображаются в режиме реального времени, как только веб-пользователь вводит в свою математическую задачу и нажимает "решить". В дополнение к ответу, Webmath также показывает ученику, как получить ответ.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hyperlink r:id="rId10">
              <w:r w:rsidDel="00000000" w:rsidR="00000000" w:rsidRPr="00000000">
                <w:rPr>
                  <w:rFonts w:ascii="Roboto Mono" w:cs="Roboto Mono" w:eastAsia="Roboto Mono" w:hAnsi="Roboto Mono"/>
                  <w:color w:val="1155cc"/>
                  <w:u w:val="single"/>
                  <w:rtl w:val="0"/>
                </w:rPr>
                <w:t xml:space="preserve">https://graphsketch.com/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Style w:val="Heading1"/>
              <w:keepNext w:val="0"/>
              <w:keepLines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6f6f6" w:val="clear"/>
              <w:spacing w:after="0" w:before="0" w:line="240" w:lineRule="auto"/>
              <w:rPr>
                <w:rFonts w:ascii="Roboto Mono" w:cs="Roboto Mono" w:eastAsia="Roboto Mono" w:hAnsi="Roboto Mono"/>
                <w:sz w:val="22"/>
                <w:szCs w:val="22"/>
                <w:highlight w:val="white"/>
              </w:rPr>
            </w:pPr>
            <w:bookmarkStart w:colFirst="0" w:colLast="0" w:name="_d1xmlsimp4k0" w:id="0"/>
            <w:bookmarkEnd w:id="0"/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highlight w:val="white"/>
                <w:rtl w:val="0"/>
              </w:rPr>
              <w:t xml:space="preserve">Ашмитц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(</w:t>
            </w:r>
            <w:hyperlink r:id="rId11">
              <w:r w:rsidDel="00000000" w:rsidR="00000000" w:rsidRPr="00000000">
                <w:rPr>
                  <w:rFonts w:ascii="Roboto Mono" w:cs="Roboto Mono" w:eastAsia="Roboto Mono" w:hAnsi="Roboto Mono"/>
                  <w:color w:val="1155cc"/>
                  <w:u w:val="single"/>
                  <w:rtl w:val="0"/>
                </w:rPr>
                <w:t xml:space="preserve">ссылка на личный блог автора</w:t>
              </w:r>
            </w:hyperlink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</w:rPr>
              <w:drawing>
                <wp:inline distB="114300" distT="114300" distL="114300" distR="114300">
                  <wp:extent cx="1971675" cy="1282700"/>
                  <wp:effectExtent b="0" l="0" r="0" t="0"/>
                  <wp:docPr id="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hd w:fill="fcffee" w:val="clear"/>
                <w:rtl w:val="0"/>
              </w:rPr>
              <w:t xml:space="preserve">GraphSketch</w:t>
            </w:r>
            <w:r w:rsidDel="00000000" w:rsidR="00000000" w:rsidRPr="00000000">
              <w:rPr>
                <w:rFonts w:ascii="Roboto Mono" w:cs="Roboto Mono" w:eastAsia="Roboto Mono" w:hAnsi="Roboto Mono"/>
                <w:shd w:fill="fcffee" w:val="clear"/>
                <w:rtl w:val="0"/>
              </w:rPr>
              <w:t xml:space="preserve"> - самый простой и удобный онлайн-генератор графиков.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hd w:fill="fcffee" w:val="clear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hd w:fill="fcffee" w:val="clear"/>
                <w:rtl w:val="0"/>
              </w:rPr>
              <w:t xml:space="preserve">Вот те возможности, которые предлагает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shd w:fill="fcffee" w:val="clear"/>
                <w:rtl w:val="0"/>
              </w:rPr>
              <w:t xml:space="preserve">GraphSketch</w:t>
            </w:r>
            <w:r w:rsidDel="00000000" w:rsidR="00000000" w:rsidRPr="00000000">
              <w:rPr>
                <w:rFonts w:ascii="Roboto Mono" w:cs="Roboto Mono" w:eastAsia="Roboto Mono" w:hAnsi="Roboto Mono"/>
                <w:shd w:fill="fcffee" w:val="clear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240" w:line="335.99999999999994" w:lineRule="auto"/>
              <w:ind w:left="720" w:hanging="360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До 6 уравнений на одном графике.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35.99999999999994" w:lineRule="auto"/>
              <w:ind w:left="720" w:hanging="360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Разные цвета для всех графиков для более легкого сравнения.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35.99999999999994" w:lineRule="auto"/>
              <w:ind w:left="720" w:hanging="360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Изменение масштаба и расстояния между метками осей.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35.99999999999994" w:lineRule="auto"/>
              <w:ind w:left="720" w:hanging="360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Два режима: графики обычных функций и заданных параметрически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35.99999999999994" w:lineRule="auto"/>
              <w:ind w:left="720" w:hanging="360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Возможность загрузить полученные изображения и получить постоянную ссылку на ваш график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0" w:before="0" w:beforeAutospacing="0" w:line="335.99999999999994" w:lineRule="auto"/>
              <w:ind w:left="720" w:hanging="360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Настройка размеров изображения.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hyperlink r:id="rId13">
              <w:r w:rsidDel="00000000" w:rsidR="00000000" w:rsidRPr="00000000">
                <w:rPr>
                  <w:rFonts w:ascii="Roboto Mono" w:cs="Roboto Mono" w:eastAsia="Roboto Mono" w:hAnsi="Roboto Mono"/>
                  <w:color w:val="1155cc"/>
                  <w:u w:val="single"/>
                  <w:rtl w:val="0"/>
                </w:rPr>
                <w:t xml:space="preserve">https://www.mathway.com/ru/Algebra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</w:rPr>
              <w:drawing>
                <wp:inline distB="114300" distT="114300" distL="114300" distR="114300">
                  <wp:extent cx="1971675" cy="121920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Mathway предоставляет учащимся инструменты, необходимые для понимания и решения математических задач. Долгосрочная цель сервиса Mathway - обеспечить всех учащихся доступом к услугам математической поддержки по запросу.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Разделы сайта: элементарная математика, основы алгебры, тригонометрия, основы мат. анализа, статистика, конечная математика, линейная алгебра, химия, построение графиков.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hyperlink r:id="rId15">
              <w:r w:rsidDel="00000000" w:rsidR="00000000" w:rsidRPr="00000000">
                <w:rPr>
                  <w:rFonts w:ascii="Roboto Mono" w:cs="Roboto Mono" w:eastAsia="Roboto Mono" w:hAnsi="Roboto Mono"/>
                  <w:color w:val="1155cc"/>
                  <w:u w:val="single"/>
                  <w:rtl w:val="0"/>
                </w:rPr>
                <w:t xml:space="preserve">https://algebra24.ru/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</w:rPr>
              <w:drawing>
                <wp:inline distB="114300" distT="114300" distL="114300" distR="114300">
                  <wp:extent cx="1971675" cy="1117600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11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математический сервис, позволяющий решать онлайн множество математических задач: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Операции над матрицами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Решение уравнений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Тригонометрия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Геометрия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Вычисление площади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Вычисление объема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Вычисление производных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 Вычисление интегралов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Задача 2.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Поиск информационных ресурсов по дисциплине «Основы компьютерной алгебры».</w:t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Найти не менее 5 информационных ресурсов по дисциплине «Основы компьютерной алгебры».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Примерами указанных ресурсов могут быть: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Лекции по дисциплине.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Описание программ, используемых при изучении дисциплины.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Указания по использованию инструментов систем компьютерной алгебры.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И так далее.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650.0" w:type="dxa"/>
        <w:jc w:val="left"/>
        <w:tblInd w:w="-4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5"/>
        <w:gridCol w:w="1890"/>
        <w:gridCol w:w="1635"/>
        <w:gridCol w:w="2790"/>
        <w:gridCol w:w="3900"/>
        <w:tblGridChange w:id="0">
          <w:tblGrid>
            <w:gridCol w:w="435"/>
            <w:gridCol w:w="1890"/>
            <w:gridCol w:w="1635"/>
            <w:gridCol w:w="2790"/>
            <w:gridCol w:w="39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Адрес ресурса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Снимок экрана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Аннотация,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особенности, рассмотренные математические задачи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hyperlink r:id="rId17">
              <w:r w:rsidDel="00000000" w:rsidR="00000000" w:rsidRPr="00000000">
                <w:rPr>
                  <w:rFonts w:ascii="Roboto Mono" w:cs="Roboto Mono" w:eastAsia="Roboto Mono" w:hAnsi="Roboto Mono"/>
                  <w:color w:val="1155cc"/>
                  <w:u w:val="single"/>
                  <w:rtl w:val="0"/>
                </w:rPr>
                <w:t xml:space="preserve">http://stu.alnam.ru/book_oca.php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Style w:val="Heading1"/>
              <w:keepNext w:val="0"/>
              <w:keepLines w:val="0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220" w:before="220" w:line="240" w:lineRule="auto"/>
              <w:rPr>
                <w:rFonts w:ascii="Roboto Mono" w:cs="Roboto Mono" w:eastAsia="Roboto Mono" w:hAnsi="Roboto Mono"/>
                <w:sz w:val="22"/>
                <w:szCs w:val="22"/>
              </w:rPr>
            </w:pPr>
            <w:bookmarkStart w:colFirst="0" w:colLast="0" w:name="_8x7m3rcm1gmc" w:id="1"/>
            <w:bookmarkEnd w:id="1"/>
            <w:r w:rsidDel="00000000" w:rsidR="00000000" w:rsidRPr="00000000">
              <w:rPr>
                <w:rFonts w:ascii="Roboto Mono" w:cs="Roboto Mono" w:eastAsia="Roboto Mono" w:hAnsi="Roboto Mono"/>
                <w:sz w:val="22"/>
                <w:szCs w:val="22"/>
                <w:rtl w:val="0"/>
              </w:rPr>
              <w:t xml:space="preserve">Акритас А.Г.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</w:rPr>
              <w:drawing>
                <wp:inline distB="114300" distT="114300" distL="114300" distR="114300">
                  <wp:extent cx="1533525" cy="23495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Монография американского специалиста, описывает введение в компьютерную алгебру, основные результаты и приложения. В ней содержится материал, дополняющий литературу на русском языке по данной тематике: вычисление полиномиальных остатков, нахождение корней многочленов с высокой точностью и др. Изложение иллюстрируется большим количеством примеров, дается много задач для самостоятельного решения.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hyperlink r:id="rId19">
              <w:r w:rsidDel="00000000" w:rsidR="00000000" w:rsidRPr="00000000">
                <w:rPr>
                  <w:rFonts w:ascii="Roboto Mono" w:cs="Roboto Mono" w:eastAsia="Roboto Mono" w:hAnsi="Roboto Mono"/>
                  <w:color w:val="1155cc"/>
                  <w:u w:val="single"/>
                  <w:rtl w:val="0"/>
                </w:rPr>
                <w:t xml:space="preserve">https://cyberleninka.ru/article/n/sovremennye-sistemy-kompyuternoy-algebry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80"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Семёнов Сергей Петрович</w:t>
            </w:r>
          </w:p>
          <w:p w:rsidR="00000000" w:rsidDel="00000000" w:rsidP="00000000" w:rsidRDefault="00000000" w:rsidRPr="00000000" w14:paraId="0000005B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80"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Славский Виктор Владимирович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</w:rPr>
              <w:drawing>
                <wp:inline distB="114300" distT="114300" distL="114300" distR="114300">
                  <wp:extent cx="1638300" cy="1168400"/>
                  <wp:effectExtent b="0" l="0" r="0" t="0"/>
                  <wp:docPr id="1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5b5b5b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В работе проводится обзор компьютерных продуктов, которые получили название “Системы компьютерной алгебры” (СКА). Дано описание возможностей некоторых универсальных пакетов СКА: Derive, MathCad, Maple, Mathematica. Рассмотрены примеры применения СКА в учебном процессе и научных исследованиях. Авторами статьи разработан и внедрен в учебный процесс математического факультета Алтайского государственного университета курс по практическому обучению работе с современными пакетами СКА.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hyperlink r:id="rId21">
              <w:r w:rsidDel="00000000" w:rsidR="00000000" w:rsidRPr="00000000">
                <w:rPr>
                  <w:rFonts w:ascii="Roboto Mono" w:cs="Roboto Mono" w:eastAsia="Roboto Mono" w:hAnsi="Roboto Mono"/>
                  <w:color w:val="1155cc"/>
                  <w:u w:val="single"/>
                  <w:rtl w:val="0"/>
                </w:rPr>
                <w:t xml:space="preserve">http://kspt.icc.spbstu.ru/course/comp-algebra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Малышев И.А.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</w:rPr>
              <w:drawing>
                <wp:inline distB="114300" distT="114300" distL="114300" distR="114300">
                  <wp:extent cx="1533525" cy="10160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Курс включает в себя 3 раздела лекций и 6 лабораторных работ. Лекции представлены в виде презентаций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hyperlink r:id="rId23">
              <w:r w:rsidDel="00000000" w:rsidR="00000000" w:rsidRPr="00000000">
                <w:rPr>
                  <w:rFonts w:ascii="Roboto Mono" w:cs="Roboto Mono" w:eastAsia="Roboto Mono" w:hAnsi="Roboto Mono"/>
                  <w:color w:val="1155cc"/>
                  <w:u w:val="single"/>
                  <w:rtl w:val="0"/>
                </w:rPr>
                <w:t xml:space="preserve">https://cyberleninka.ru/article/n/teoriya-tipov-kompyuternaya-algebra-podderzhka-dokazatelstv-i-grammatiki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80"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Федорченко Людмила Николаевна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</w:rPr>
              <w:drawing>
                <wp:inline distB="114300" distT="114300" distL="114300" distR="114300">
                  <wp:extent cx="1638300" cy="1397000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39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Данная статья посвящена краткому обзору и рассмотрению основных направлений исследований, связанных с теорией типов и её приложениями. Даётся характеристика универсальных систем аналитических вычислений (систем компьютерной алгебры), а также систем поддержки аналитических вычислений и возможных доказательств истинности выводов (Proof Assistants). Рассмотрено применение типов в современной информатике, прежде всего, в функциональном и объектно-ориентированном программировании. Перечислены основные научные коллективы, ведущие исследования и разработки программных систем в данном направлении.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hyperlink r:id="rId25">
              <w:r w:rsidDel="00000000" w:rsidR="00000000" w:rsidRPr="00000000">
                <w:rPr>
                  <w:rFonts w:ascii="Roboto Mono" w:cs="Roboto Mono" w:eastAsia="Roboto Mono" w:hAnsi="Roboto Mono"/>
                  <w:color w:val="1155cc"/>
                  <w:u w:val="single"/>
                  <w:rtl w:val="0"/>
                </w:rPr>
                <w:t xml:space="preserve">https://mir-nauki.com/PDF/93PDMN218.pdf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Сиразов Фаннур Саматович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</w:rPr>
              <w:drawing>
                <wp:inline distB="114300" distT="114300" distL="114300" distR="114300">
                  <wp:extent cx="1638300" cy="1270000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27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Автором представлена возможность использования свободно распространяемого пакета системы аналитических вычислений Maxima в рамках курса «Абстрактная и компьютерная алгебра» по некоторым разделам абстрактной алгебры для подготовки бакалавров по направлению подготовки Педагогическое образование (с двумя профилями «Математика и информатика»), на примере приложения к решению неопределенных уравнений и их систем. В статье приводится исследование проблемы «Как решить неопределенные уравнения с помощью Maxima?».</w:t>
            </w:r>
          </w:p>
        </w:tc>
      </w:tr>
    </w:tbl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222222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3.png"/><Relationship Id="rId21" Type="http://schemas.openxmlformats.org/officeDocument/2006/relationships/hyperlink" Target="http://kspt.icc.spbstu.ru/course/comp-algebra" TargetMode="External"/><Relationship Id="rId24" Type="http://schemas.openxmlformats.org/officeDocument/2006/relationships/image" Target="media/image6.png"/><Relationship Id="rId23" Type="http://schemas.openxmlformats.org/officeDocument/2006/relationships/hyperlink" Target="https://cyberleninka.ru/article/n/teoriya-tipov-kompyuternaya-algebra-podderzhka-dokazatelstv-i-grammatiki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.png"/><Relationship Id="rId25" Type="http://schemas.openxmlformats.org/officeDocument/2006/relationships/hyperlink" Target="https://mir-nauki.com/PDF/93PDMN218.pdf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wolframalpha.com/" TargetMode="External"/><Relationship Id="rId7" Type="http://schemas.openxmlformats.org/officeDocument/2006/relationships/image" Target="media/image9.png"/><Relationship Id="rId8" Type="http://schemas.openxmlformats.org/officeDocument/2006/relationships/hyperlink" Target="http://www.webmath.ru/" TargetMode="External"/><Relationship Id="rId11" Type="http://schemas.openxmlformats.org/officeDocument/2006/relationships/hyperlink" Target="https://lardbucket.org/" TargetMode="External"/><Relationship Id="rId10" Type="http://schemas.openxmlformats.org/officeDocument/2006/relationships/hyperlink" Target="https://graphsketch.com/" TargetMode="External"/><Relationship Id="rId13" Type="http://schemas.openxmlformats.org/officeDocument/2006/relationships/hyperlink" Target="https://www.mathway.com/ru/Algebra" TargetMode="External"/><Relationship Id="rId12" Type="http://schemas.openxmlformats.org/officeDocument/2006/relationships/image" Target="media/image10.png"/><Relationship Id="rId15" Type="http://schemas.openxmlformats.org/officeDocument/2006/relationships/hyperlink" Target="https://algebra24.ru/" TargetMode="External"/><Relationship Id="rId14" Type="http://schemas.openxmlformats.org/officeDocument/2006/relationships/image" Target="media/image2.png"/><Relationship Id="rId17" Type="http://schemas.openxmlformats.org/officeDocument/2006/relationships/hyperlink" Target="http://stu.alnam.ru/book_oca.php" TargetMode="External"/><Relationship Id="rId16" Type="http://schemas.openxmlformats.org/officeDocument/2006/relationships/image" Target="media/image8.png"/><Relationship Id="rId19" Type="http://schemas.openxmlformats.org/officeDocument/2006/relationships/hyperlink" Target="https://cyberleninka.ru/article/n/sovremennye-sistemy-kompyuternoy-algebry" TargetMode="External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