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Roboto Mono" w:cs="Roboto Mono" w:eastAsia="Roboto Mono" w:hAnsi="Roboto Mono"/>
          <w:b w:val="1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22222"/>
          <w:highlight w:val="white"/>
          <w:rtl w:val="0"/>
        </w:rPr>
        <w:t xml:space="preserve">Тема 2. «Математические объекты и их представления»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Roboto Mono" w:cs="Roboto Mono" w:eastAsia="Roboto Mono" w:hAnsi="Roboto Mono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Roboto Mono" w:cs="Roboto Mono" w:eastAsia="Roboto Mono" w:hAnsi="Roboto Mono"/>
          <w:b w:val="1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22222"/>
          <w:highlight w:val="white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 Mono" w:cs="Roboto Mono" w:eastAsia="Roboto Mono" w:hAnsi="Roboto Mono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22222"/>
          <w:highlight w:val="white"/>
          <w:rtl w:val="0"/>
        </w:rPr>
        <w:t xml:space="preserve">Компьютерная алгебра</w:t>
      </w: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 — область математики, лежащая на стыке </w:t>
      </w:r>
      <w:r w:rsidDel="00000000" w:rsidR="00000000" w:rsidRPr="00000000">
        <w:rPr>
          <w:rFonts w:ascii="Roboto Mono" w:cs="Roboto Mono" w:eastAsia="Roboto Mono" w:hAnsi="Roboto Mono"/>
          <w:b w:val="1"/>
          <w:color w:val="222222"/>
          <w:highlight w:val="white"/>
          <w:rtl w:val="0"/>
        </w:rPr>
        <w:t xml:space="preserve">алгебры</w:t>
      </w: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 и вычислительных методов.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22222"/>
          <w:highlight w:val="white"/>
          <w:rtl w:val="0"/>
        </w:rPr>
        <w:t xml:space="preserve">Компьютерная алгебра</w:t>
      </w: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 — область математики, лежащая на стыке алгебры и вычислительных методов. Для нее, как и для любой области, лежащей на стыке различных наук, трудно определить четкие границы. Часто говорят, что к компьютерной алгебре относятся вопросы, слишком алгебраические, чтобы содержаться в учебниках по вычислительной математике и слишком вычислительные, чтобы содержаться в учебниках по алгебре. При этом ответ на вопрос о том, относится ли конкретная задача к компьютерной алгебре, часто зависит от склонностей специалиста.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22222"/>
          <w:highlight w:val="white"/>
          <w:rtl w:val="0"/>
        </w:rPr>
        <w:t xml:space="preserve">Компьютерная алгебра</w:t>
      </w: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 - это раздел информатики и вычислительной техники.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Базовые объекты компьютерной алгебры: целые числа, рациональные числа, полиномы от одной переменной, полиномы от нескольких переменных, рациональные функции.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Виды представления математических объектов компьютерной алгебры: предметное представление (примеры: иррациональные числа, алгебраические уравнения, интегральное исчисление), символьное представление (примеры: 2.345 5633 6644, 2х+3у = 5), машинное представление.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Проблема выбора представления математического объекта в компьютерной алгебре объединяет два подхода: абстрактно-алгебраический и программно-технический.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Абстрактно-алгебраический подход основан на использовании отношений эквивалентности алгебраических структур.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Программно-технический подход ставит два вопроса: моделирование объектов компьютерной алгебры посредством совокупности структур хранения данных; разработка представлений и преобразований информации из исходной формы представления во внутреннюю форму и наоборот.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Представление целых чисел: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Возможны различные способы представлений целых чисел: 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1. Ограниченной точности, когда количество цифр в целом числе задано. К таковым относятся все стандартные арифметики в языках программирования. 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2. Произвольно заданной точности, когда количество цифр в заданном числе можно менять, но только один раз – задавать перед вычислениями. 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3. Неограниченной точности, когда количество цифр в числе не ограничивается никаким наперёд заданным числом, кроме ограничений, связанных с размером памяти машины. 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В системах компьютерной алгебры целые числа неограниченной точности, реализуются программным путем, (этот тип данных считается базовым).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Представление рациональных чисел: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Возможны различные способы представлений рациональных чисел произвольной точности : 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1. Отношение числителя и знаменателя (оба - числа произвольной точности) (более точно, в виде записи, хранящей ссылку на список – числитель и ссылку на список – знаменатель). Такое представление является нормальным. Проблема - для нормального представления необходимо распознавание идентичных чисел. Пример. Записи вида –2 / 3, 2 / -3, 4 / -6, -10 / 15 и т.п. представляют одно и то же число. (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2. Так же, как в (1), но выполнив дополнительные условия : </w:t>
      </w:r>
    </w:p>
    <w:p w:rsidR="00000000" w:rsidDel="00000000" w:rsidP="00000000" w:rsidRDefault="00000000" w:rsidRPr="00000000" w14:paraId="00000023">
      <w:pPr>
        <w:ind w:left="720" w:firstLine="72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а) числитель и знаменатель числа должны быть сокращены на наибольший общий делитель (НОД); </w:t>
      </w:r>
    </w:p>
    <w:p w:rsidR="00000000" w:rsidDel="00000000" w:rsidP="00000000" w:rsidRDefault="00000000" w:rsidRPr="00000000" w14:paraId="00000024">
      <w:pPr>
        <w:ind w:left="720" w:firstLine="72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б) знаменатель должен быть положительным числом. 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Такое представление является каноническим. 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Проблема - требуется вычисление НОД двух целых чисел произвольной точности. При большом количестве цифр в числах эта процедура является алгоритмически сложной. Тем более, её надо производить на одном из самых низких уровнях вычислений – при каждом вычислении чисел. 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Замечание. В системах компьютерной алгебры обычно используется каноническое представление рациональных чисел произвольной точности. 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22222"/>
          <w:highlight w:val="white"/>
          <w:rtl w:val="0"/>
        </w:rPr>
        <w:t xml:space="preserve">Алгебраическая функция</w:t>
      </w: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 — элементарная функция, которая в окрестности каждой точки области определения может быть неявно задана с помощью алгебраического уравнения.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Алгебраической называется функция, являющаяся решением уравнения: G ( x ) = 0, где G ( x ) – порождающий полином от одной переменной с коэффициентами – полиномами от нескольких переменных с целыми коэффициентами.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Алгебраические функции: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color w:val="222222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Иррациональные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color w:val="222222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Рациональные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  <w:rPr>
          <w:rFonts w:ascii="Roboto Mono" w:cs="Roboto Mono" w:eastAsia="Roboto Mono" w:hAnsi="Roboto Mono"/>
          <w:color w:val="222222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целые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2160" w:hanging="360"/>
        <w:rPr>
          <w:rFonts w:ascii="Roboto Mono" w:cs="Roboto Mono" w:eastAsia="Roboto Mono" w:hAnsi="Roboto Mono"/>
          <w:color w:val="222222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дробные</w:t>
      </w:r>
    </w:p>
    <w:p w:rsidR="00000000" w:rsidDel="00000000" w:rsidP="00000000" w:rsidRDefault="00000000" w:rsidRPr="00000000" w14:paraId="00000036">
      <w:pPr>
        <w:ind w:left="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037">
      <w:pPr>
        <w:ind w:left="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ab/>
        <w:t xml:space="preserve">Представление матриц.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Для представления матриц обычно используется плотное представление (т.е. хранятся все элементы матриц, включая нулевые). В некоторых особых случаях для матриц специального вида (диагональных, ленточных и т.п.) применяется разреженное представление. 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Замечание. В случае использования разреженного представления требуются специальные алгоритмы преобразований матриц.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highlight w:val="white"/>
            <w:u w:val="single"/>
            <w:rtl w:val="0"/>
          </w:rPr>
          <w:t xml:space="preserve">Источник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highlight w:val="white"/>
            <w:u w:val="single"/>
            <w:rtl w:val="0"/>
          </w:rPr>
          <w:t xml:space="preserve">Источник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highlight w:val="white"/>
            <w:u w:val="single"/>
            <w:rtl w:val="0"/>
          </w:rPr>
          <w:t xml:space="preserve">Источник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kspt.icc.spbstu.ru/course/comp-algebra" TargetMode="External"/><Relationship Id="rId7" Type="http://schemas.openxmlformats.org/officeDocument/2006/relationships/hyperlink" Target="https://matemonline.com/2011/04/klassifikacija-function/" TargetMode="External"/><Relationship Id="rId8" Type="http://schemas.openxmlformats.org/officeDocument/2006/relationships/hyperlink" Target="https://dic.academic.ru/dic.nsf/ruwiki/30892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