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Понятие и виды источников права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теории государства и права источник права рассматривается в нескольких смысловых значениях: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Материальные источники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 качестве источников права выступают общественные отношения, требующие регулятивно-охранительного воздействия со стороны государства, и обусловливающие появление соответствующих правовых институтов. К материальным источникам следует отнести нуждающиеся в правовом регулировании общественные отношения в сфере экономики, политики, социального обеспечения и т.д.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Идеальные источники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Под источниками права понимаются идеи, взгляды, теории, в которых отражается сущность социально-правового регулирования и которые оказывают серьезное влияние на правотворческую и правоприменительную деятельность. К идеальным источникам относятся правосознание, правовая доктрина, правовая культура и т.п.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Формально-юридические источники права или формы права.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Источниками права являются сформулированные и принятые в официальном порядке предписания властного характера, в которых закрепляются общезначимые правила поведения и которые обеспечиваются системой государственных гарантий и санкций. К таким источникам относятся правовой обычай, правовой прецедент, нормативный договор и нормативно-правовой акт.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Правовой обычай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правило поведения, возникшее в процессе социально-политического развития, в результате многократного повторения явления, признаваемого общественно полезным и, в силу этого, воспринятого государством в качестве правового регулятора.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Правовой прецедент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решение компетентного государственного органа по конкретному юридическому делу, используемое в качестве эталона (образца) при рассмотрении последующих аналогичных дел одноуровневыми либо нижестоящими органами.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Нормативный договор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соглашение между двумя и более субъектами права, заключаемое для достижения целей и решения задач, имеющих юридическое значение для договаривающихся сторон.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Нормативно-правовой акт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официальный документ, принимаемый от имени государства в порядке установленной государством процедуры, содержащий правило поведения обобщенного характера (норму права), регулятивно-охранительное воздействие которого  распространяется на неперсонифицированный круг субъектов.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