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уравнение регрессии считается качественным, если ошибка аппроксимации 8-10 %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 линейной форме связи средний коэф эластичности вычисляется по формуле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Э = b1*x/y (x y - средние значения признаков)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Э значит, что при увеличении стоимости квартиры на 1 %, то что-то там..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