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0A1F3F"/>
          <w:sz w:val="72"/>
          <w:szCs w:val="72"/>
        </w:rPr>
        <w:t xml:space="preserve">DARSAL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32"/>
          <w:szCs w:val="32"/>
        </w:rPr>
        <w:t xml:space="preserve">Website Copy &amp; Content Structure</w:t>
      </w:r>
    </w:p>
    <w:p>
      <w:pPr>
        <w:pBdr>
          <w:bottom w:val="single" w:color="0A1F3F" w:sz="3" w:space="1"/>
        </w:pBdr>
        <w:spacing w:after="300"/>
        <w:jc w:val="center"/>
      </w:pPr>
    </w:p>
    <w:p>
      <w:pPr>
        <w:spacing w:before="200"/>
      </w:pP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333333"/>
          <w:sz w:val="24"/>
          <w:szCs w:val="24"/>
        </w:rPr>
        <w:t xml:space="preserve">Institutional Trading Conditions for Independent Traders</w:t>
      </w:r>
    </w:p>
    <w:p>
      <w:pPr>
        <w:spacing w:after="6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Prepared for Website Redesign</w:t>
      </w:r>
    </w:p>
    <w:p>
      <w:pPr>
        <w:jc w:val="center"/>
      </w:pPr>
      <w:r>
        <w:rPr>
          <w:rFonts w:ascii="Arial" w:cs="Arial" w:eastAsia="Arial" w:hAnsi="Arial"/>
          <w:color w:val="0A1F3F"/>
          <w:sz w:val="22"/>
          <w:szCs w:val="22"/>
        </w:rPr>
        <w:t xml:space="preserve">www.darsal.net</w:t>
      </w:r>
    </w:p>
    <w:p>
      <w:pPr>
        <w:spacing w:before="1500"/>
      </w:pPr>
    </w:p>
    <w:p>
      <w:pPr>
        <w:jc w:val="center"/>
      </w:pPr>
      <w:r>
        <w:rPr>
          <w:rFonts w:ascii="Arial" w:cs="Arial" w:eastAsia="Arial" w:hAnsi="Arial"/>
          <w:b/>
          <w:bCs/>
          <w:caps/>
          <w:color w:val="999999"/>
          <w:sz w:val="20"/>
          <w:szCs w:val="20"/>
        </w:rPr>
        <w:t xml:space="preserve">CONFIDENTIAL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0A1F3F" w:sz="4" w:space="8"/>
        </w:pBdr>
        <w:spacing w:after="200" w:before="400"/>
      </w:pPr>
      <w:r>
        <w:rPr>
          <w:rFonts w:ascii="Arial" w:cs="Arial" w:eastAsia="Arial" w:hAnsi="Arial"/>
          <w:b/>
          <w:bCs/>
          <w:color w:val="0A1F3F"/>
          <w:sz w:val="36"/>
          <w:szCs w:val="36"/>
        </w:rPr>
        <w:t xml:space="preserve">HOME</w:t>
      </w:r>
    </w:p>
    <w:p>
      <w:pPr>
        <w:pBdr>
          <w:left w:val="single" w:color="CCCCCC" w:sz="6" w:space="8"/>
        </w:pBdr>
        <w:spacing w:after="200"/>
        <w:ind w:left="200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Purpose: First impression. Speak directly to the target audience. No fluff. Establish credibility and differentiate immediately.</w:t>
      </w:r>
    </w:p>
    <w:p>
      <w:pPr>
        <w:spacing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Hero Section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0A1F3F"/>
          <w:sz w:val="36"/>
          <w:szCs w:val="36"/>
        </w:rPr>
        <w:t xml:space="preserve">EURUSD All-In Spread: 0.6 Pip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No commission. No stop level. No freeze level.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trading conditions hedge funds negotiate — now available to independent traders managing their own capital.</w:t>
      </w:r>
    </w:p>
    <w:p>
      <w:pPr>
        <w:spacing w:before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Introduction Block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DARSAL operates at the intersection of private wealth management and institutional currency trading.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Built on 40+ years in private financial services and over two decades specializing in global FX markets, we focus on one thing: giving serious traders access to professional execution conditions.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We don’t sell courses. We don’t run signal groups. We provide the infrastructure and execution environment that active, experienced traders actually need.</w:t>
      </w:r>
    </w:p>
    <w:p>
      <w:pPr>
        <w:spacing w:before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What We Offer — In Plain Terms</w:t>
      </w:r>
    </w:p>
    <w:p>
      <w:pPr>
        <w:spacing w:after="160"/>
        <w:jc w:val="left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Institutional spreads.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Through the trading volume DARSAL has generated over many years, we’ve negotiated preferential execution conditions with established broker partners. EURUSD all-in spread starts at 0.6 pip, dropping to 0.5 pip once monthly traded volume exceeds EUR 1 billion.</w:t>
      </w:r>
    </w:p>
    <w:p>
      <w:pPr>
        <w:spacing w:after="160"/>
        <w:jc w:val="left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No hidden costs.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Zero additional commissions. Zero stop level. Zero freeze level. Trading without artificial execution barriers.</w:t>
      </w:r>
    </w:p>
    <w:p>
      <w:pPr>
        <w:spacing w:after="160"/>
        <w:jc w:val="left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Your capital, your control.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Each trader operates through an individual account. Capital remains entirely under the account holder’s control at all times. We never touch your money.</w:t>
      </w:r>
    </w:p>
    <w:p>
      <w:pPr>
        <w:spacing w:before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BOB — Our Secured Trading Machine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For investors seeking passive exposure to FX markets, DARSAL operates BOB: a rule-based, fully automated trading system structured for monthly consistent yield.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Built on over 23 years of live trading history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Designed for capital stability, not speculation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Targets low single-digit monthly yield under strict capital control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positions carried overnight — each session resets to neutral</w:t>
      </w:r>
    </w:p>
    <w:p>
      <w:pPr>
        <w:spacing w:before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Call to Action</w:t>
      </w:r>
    </w:p>
    <w:p>
      <w:pPr>
        <w:spacing w:after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Explore our institutional spread conditions → Access</w:t>
      </w:r>
    </w:p>
    <w:p>
      <w:pPr>
        <w:spacing w:after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See how BOB performs → Performance</w:t>
      </w:r>
    </w:p>
    <w:p>
      <w:r>
        <w:br w:type="page"/>
      </w:r>
    </w:p>
    <w:p>
      <w:pPr>
        <w:pStyle w:val="Heading1"/>
        <w:pBdr>
          <w:bottom w:val="single" w:color="0A1F3F" w:sz="4" w:space="8"/>
        </w:pBdr>
        <w:spacing w:after="200" w:before="400"/>
      </w:pPr>
      <w:r>
        <w:rPr>
          <w:rFonts w:ascii="Arial" w:cs="Arial" w:eastAsia="Arial" w:hAnsi="Arial"/>
          <w:b/>
          <w:bCs/>
          <w:color w:val="0A1F3F"/>
          <w:sz w:val="36"/>
          <w:szCs w:val="36"/>
        </w:rPr>
        <w:t xml:space="preserve">STRATEGY</w:t>
      </w:r>
    </w:p>
    <w:p>
      <w:pPr>
        <w:pBdr>
          <w:left w:val="single" w:color="CCCCCC" w:sz="6" w:space="8"/>
        </w:pBdr>
        <w:spacing w:after="200"/>
        <w:ind w:left="200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Purpose: Explain exactly how BOB works. Concrete rules and principles. No marketing jargon.</w:t>
      </w:r>
    </w:p>
    <w:p>
      <w:pPr>
        <w:spacing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The Core Problem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Financial markets are complex. But one factor consistently erodes trader performance above all others: trading costs. For scalpers and high-frequency strategies, execution conditions define profitability. Every pip counts.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BOB was built to solve this by operating within a framework of strict, encoded rules — removing the single biggest risk in active trading: human emotion.</w:t>
      </w:r>
    </w:p>
    <w:p>
      <w:pPr>
        <w:spacing w:before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How BOB Operates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Master Rule: Conservative Leverage Indexed to Market Conditions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BOB does not use fixed leverage. Leverage is dynamically calculated based on real-time volatility and market conditions, always staying within conservative parameters. This is the system’s foundational risk control mechanism.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Intraday Only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All positions are opened and closed within the same trading session. No positions are carried overnight. Each session resets to neutral. This eliminates overnight gap risk entirely.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Rule-Based, Zero Discretion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Every decision follows encoded rules. There is no improvisation and no emotional execution. BOB runs autonomously under a fixed rule set. Human oversight exists only to enforce discipline — not to override it.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Operational Target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system targets a low single-digit monthly yield. This is not a promise — it’s a design parameter. The strategy deliberately favors durability over short-term spikes, consistency over acceleration.</w:t>
      </w:r>
    </w:p>
    <w:p>
      <w:pPr>
        <w:spacing w:before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Three Priorities (In Order)</w:t>
      </w:r>
    </w:p>
    <w:p>
      <w:pPr>
        <w:spacing w:after="160"/>
        <w:jc w:val="left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1. Precision over frequency.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BOB waits for statistically favorable conditions rather than trading constantly.</w:t>
      </w:r>
    </w:p>
    <w:p>
      <w:pPr>
        <w:spacing w:after="160"/>
        <w:jc w:val="left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2. Protection over expansion.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Capital preservation is always the first objective.</w:t>
      </w:r>
    </w:p>
    <w:p>
      <w:pPr>
        <w:spacing w:after="160"/>
        <w:jc w:val="left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3. Consistency over acceleration.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Stable, repeatable returns matter more than outlier months.</w:t>
      </w:r>
    </w:p>
    <w:p>
      <w:r>
        <w:br w:type="page"/>
      </w:r>
    </w:p>
    <w:p>
      <w:pPr>
        <w:pStyle w:val="Heading1"/>
        <w:pBdr>
          <w:bottom w:val="single" w:color="0A1F3F" w:sz="4" w:space="8"/>
        </w:pBdr>
        <w:spacing w:after="200" w:before="400"/>
      </w:pPr>
      <w:r>
        <w:rPr>
          <w:rFonts w:ascii="Arial" w:cs="Arial" w:eastAsia="Arial" w:hAnsi="Arial"/>
          <w:b/>
          <w:bCs/>
          <w:color w:val="0A1F3F"/>
          <w:sz w:val="36"/>
          <w:szCs w:val="36"/>
        </w:rPr>
        <w:t xml:space="preserve">MAM (Multi-Account Manager)</w:t>
      </w:r>
    </w:p>
    <w:p>
      <w:pPr>
        <w:pBdr>
          <w:left w:val="single" w:color="CCCCCC" w:sz="6" w:space="8"/>
        </w:pBdr>
        <w:spacing w:after="200"/>
        <w:ind w:left="200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Purpose: Explain the delegated management structure. Emphasize transparency, ownership, and fee structure clearly.</w:t>
      </w:r>
    </w:p>
    <w:p>
      <w:pPr>
        <w:spacing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How It Works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DARSAL’s MAM structure allows investors to participate in our trading strategy without managing trades themselves. Here’s exactly what happens: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Orders are executed simultaneously across all connected investor accounts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Results are allocated proportionally to each investor’s capital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You remain the full owner of your account at all times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DARSAL has no access to your deposits or withdrawals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Full activity remains transparent and traceable through your broker dashboard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Fee Structure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No management fees. We earn only when you earn.</w:t>
      </w:r>
    </w:p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Minimum Recommended Commitment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F3F"/>
                <w:sz w:val="22"/>
                <w:szCs w:val="22"/>
              </w:rPr>
              <w:t xml:space="preserve">1 Year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Management Fees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F3F"/>
                <w:sz w:val="22"/>
                <w:szCs w:val="22"/>
              </w:rPr>
              <w:t xml:space="preserve">0%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Banking Fees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F3F"/>
                <w:sz w:val="22"/>
                <w:szCs w:val="22"/>
              </w:rPr>
              <w:t xml:space="preserve">Standard broker fees apply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Monthly Performance Fee (on gain only)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F3F"/>
                <w:sz w:val="22"/>
                <w:szCs w:val="22"/>
              </w:rPr>
              <w:t xml:space="preserve">20%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Calculation Method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F3F"/>
                <w:sz w:val="22"/>
                <w:szCs w:val="22"/>
              </w:rPr>
              <w:t xml:space="preserve">High Water Mark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Withdrawal Access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F3F"/>
                <w:sz w:val="22"/>
                <w:szCs w:val="22"/>
              </w:rPr>
              <w:t xml:space="preserve">24/7</w:t>
            </w:r>
          </w:p>
        </w:tc>
      </w:tr>
    </w:tbl>
    <w:p>
      <w:pPr>
        <w:spacing w:before="10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What “High Water Mark” Means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You only pay the 20% performance fee on net new gains. If your account drops and then recovers, you pay nothing on the recovery — only on profits above your previous peak. This aligns our incentives completely with yours.</w:t>
      </w:r>
    </w:p>
    <w:p>
      <w:r>
        <w:br w:type="page"/>
      </w:r>
    </w:p>
    <w:p>
      <w:pPr>
        <w:pStyle w:val="Heading1"/>
        <w:pBdr>
          <w:bottom w:val="single" w:color="0A1F3F" w:sz="4" w:space="8"/>
        </w:pBdr>
        <w:spacing w:after="200" w:before="400"/>
      </w:pPr>
      <w:r>
        <w:rPr>
          <w:rFonts w:ascii="Arial" w:cs="Arial" w:eastAsia="Arial" w:hAnsi="Arial"/>
          <w:b/>
          <w:bCs/>
          <w:color w:val="0A1F3F"/>
          <w:sz w:val="36"/>
          <w:szCs w:val="36"/>
        </w:rPr>
        <w:t xml:space="preserve">INVESTORS</w:t>
      </w:r>
    </w:p>
    <w:p>
      <w:pPr>
        <w:pBdr>
          <w:left w:val="single" w:color="CCCCCC" w:sz="6" w:space="8"/>
        </w:pBdr>
        <w:spacing w:after="200"/>
        <w:ind w:left="200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Purpose: Address each investor type directly. Show that we understand their world and what they need.</w:t>
      </w:r>
    </w:p>
    <w:p>
      <w:pPr>
        <w:spacing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Private Investors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You hold an established portfolio. You’re looking for measured risk and a passive income strategy that doesn’t require your daily attention. DARSAL provides disciplined, rule-based FX exposure through BOB — designed specifically for capital you want working without you watching it.</w:t>
      </w:r>
    </w:p>
    <w:p>
      <w:pPr>
        <w:spacing w:before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Professional Investors &amp; Advisors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You manage capital for yourself or your clients and want to delegate part of it to a disciplined external strategy. DARSAL gives you a technically rigorous, transparent partner with over two decades of FX specialization. You can offer your clients robust, non-correlated returns backed by a real track record.</w:t>
      </w:r>
    </w:p>
    <w:p>
      <w:pPr>
        <w:spacing w:before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Corporate &amp; Family Offices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You’re seeking non-correlated alpha for portfolio diversification. DARSAL provides full visibility and control over allocations and performance — no black boxes, no opaque structures. Every trade is visible in your own account.</w:t>
      </w:r>
    </w:p>
    <w:p>
      <w:pPr>
        <w:spacing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Supervision</w:t>
      </w:r>
    </w:p>
    <w:p>
      <w:pPr>
        <w:spacing w:after="160"/>
        <w:jc w:val="left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Wohlwend Alexandre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International private banking and FX trading professional. Active in capital management since 1986.</w:t>
      </w:r>
    </w:p>
    <w:p>
      <w:pPr>
        <w:spacing w:before="100"/>
      </w:pP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i/>
          <w:iCs/>
          <w:color w:val="0A1F3F"/>
          <w:sz w:val="26"/>
          <w:szCs w:val="26"/>
        </w:rPr>
        <w:t xml:space="preserve">“We manage two assets: your money and our reputation.”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Contact: +41 79 355 42 79  |  +34 64 134 79 62</w:t>
      </w:r>
    </w:p>
    <w:p>
      <w:pPr>
        <w:jc w:val="center"/>
      </w:pPr>
      <w:r>
        <w:rPr>
          <w:rFonts w:ascii="Arial" w:cs="Arial" w:eastAsia="Arial" w:hAnsi="Arial"/>
          <w:color w:val="0A1F3F"/>
          <w:sz w:val="20"/>
          <w:szCs w:val="20"/>
        </w:rPr>
        <w:t xml:space="preserve">contact@darsal.net</w:t>
      </w:r>
    </w:p>
    <w:p>
      <w:r>
        <w:br w:type="page"/>
      </w:r>
    </w:p>
    <w:p>
      <w:pPr>
        <w:pStyle w:val="Heading1"/>
        <w:pBdr>
          <w:bottom w:val="single" w:color="0A1F3F" w:sz="4" w:space="8"/>
        </w:pBdr>
        <w:spacing w:after="200" w:before="400"/>
      </w:pPr>
      <w:r>
        <w:rPr>
          <w:rFonts w:ascii="Arial" w:cs="Arial" w:eastAsia="Arial" w:hAnsi="Arial"/>
          <w:b/>
          <w:bCs/>
          <w:color w:val="0A1F3F"/>
          <w:sz w:val="36"/>
          <w:szCs w:val="36"/>
        </w:rPr>
        <w:t xml:space="preserve">ACCESS</w:t>
      </w:r>
    </w:p>
    <w:p>
      <w:pPr>
        <w:pBdr>
          <w:left w:val="single" w:color="CCCCCC" w:sz="6" w:space="8"/>
        </w:pBdr>
        <w:spacing w:after="200"/>
        <w:ind w:left="200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Purpose: Dedicated landing for spread conditions. The flagship differentiator. Let the numbers speak.</w:t>
      </w:r>
    </w:p>
    <w:p>
      <w:pPr>
        <w:spacing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Institutional Spread Conditions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Professional trading desks — hedge funds, institutional desks, currency market specialists — operate under very different conditions than retail traders. Through the volume generated by DARSAL over many years, we’ve negotiated those same conditions and made them available to selected independent traders.</w:t>
      </w:r>
    </w:p>
    <w:p>
      <w:pPr>
        <w:spacing w:before="80"/>
      </w:pP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EURUSD All-In Spread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A1F3F"/>
          <w:sz w:val="56"/>
          <w:szCs w:val="56"/>
        </w:rPr>
        <w:t xml:space="preserve">0.6 pip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Not marketing. Real trading conditions.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What’s Included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additional commissions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Execution through established broker infrastructure used by professional market participants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stop level, no freeze level — trading without artificial barriers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0.5 pip available once monthly traded volume exceeds EUR 1 billion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Who This Is For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Experienced traders managing their own capital who are tired of paying retail spreads for institutional-grade strategies. If execution conditions are the difference between profitability and breakeven for you, this is what you’ve been looking for.</w:t>
      </w:r>
    </w:p>
    <w:p>
      <w:r>
        <w:br w:type="page"/>
      </w:r>
    </w:p>
    <w:p>
      <w:pPr>
        <w:pStyle w:val="Heading1"/>
        <w:pBdr>
          <w:bottom w:val="single" w:color="0A1F3F" w:sz="4" w:space="8"/>
        </w:pBdr>
        <w:spacing w:after="200" w:before="400"/>
      </w:pPr>
      <w:r>
        <w:rPr>
          <w:rFonts w:ascii="Arial" w:cs="Arial" w:eastAsia="Arial" w:hAnsi="Arial"/>
          <w:b/>
          <w:bCs/>
          <w:color w:val="0A1F3F"/>
          <w:sz w:val="36"/>
          <w:szCs w:val="36"/>
        </w:rPr>
        <w:t xml:space="preserve">GLOBAL ELEMENTS</w:t>
      </w:r>
    </w:p>
    <w:p>
      <w:pPr>
        <w:pBdr>
          <w:left w:val="single" w:color="CCCCCC" w:sz="6" w:space="8"/>
        </w:pBdr>
        <w:spacing w:after="200"/>
        <w:ind w:left="200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Purpose: Reusable copy for navigation, footer, and site-wide messaging.</w:t>
      </w:r>
    </w:p>
    <w:p>
      <w:pPr>
        <w:spacing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Navigation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Home  |  Strategy  |  Performance  |  MAM  |  Investors  |  Access  |  Sign Up</w:t>
      </w:r>
    </w:p>
    <w:p>
      <w:pPr>
        <w:spacing w:before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Footer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Terms &amp; Conditions  |  Disclaimer  |  contact@darsal.net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© 2003–2026 DARSAL. All rights reserved.</w:t>
      </w:r>
    </w:p>
    <w:p>
      <w:pPr>
        <w:spacing w:before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Tone &amp; Voice Guidelines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Direct and factual. No superlatives, no hype, no promises of returns. Let the track record and conditions speak. The audience is sophisticated — they detect marketing language instantly and it erodes trust.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Write for traders and finance professionals, not retail beginners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 specific numbers (0.6 pip, 23 years, 20% fee) rather than vague claims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Short paragraphs. Every sentence must earn its place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Never say “we guarantee” or “risk-free” — this audience knows better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Credibility comes from specificity and restraint, not volume</w:t>
      </w:r>
    </w:p>
    <w:sectPr>
      <w:head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DARSAL  |  Website Copy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0A1F3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1A3A6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2026-03-20T05:24:54.033Z</dcterms:created>
  <dcterms:modified xsi:type="dcterms:W3CDTF">2026-03-20T05:24:54.034Z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