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Para o ano de 2025, a quantificação das reduções de emissões do Projeto Premix Fator P – Pecuária Baixo Carbono foi realizada a partir da produção total de 441,57 toneladas de Fator P, das quais 431,02 toneladas foram efetivamente comercializadas, conforme verificação das notas fiscais de venda. </w:t>
        <w:br w:type="textWrapping"/>
        <w:br w:type="textWrapping"/>
        <w:t xml:space="preserve">Considerando o consumo médio anual de 1,46 kg de aditivo por animal, correspondente a uma dosagem média de 4 g por animal por dia durante 365 dias, estima-se que esse volume tenha permitido a suplementação aproximada de 295.219 animais.</w:t>
        <w:br w:type="textWrapping"/>
        <w:br w:type="textWrapping"/>
        <w:t xml:space="preserve">Aplicando o fator de emissão entérica de 70 kg CH₄ por animal por ano, as emissões no cenário de linha de base foram estimadas em 20.665.330 kg de CH₄. Com a aplicação do fator médio de mitigação de 17%, as emissões no cenário do projeto foram estimadas em 17.152.224 kg de CH₄, resultando em uma redução bruta de 3.513.106 kg de CH₄, equivalente a 98.367 tCO₂e, considerando o GWP₁₀₀ = 28 conforme o IPCC.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 etapa seguinte, foram subtraídas as emissões operacionais associadas à produção do aditivo no período, estimadas em 1.021 tCO₂e, resultando em uma redução preliminar de 97.346 tCO₂e. </w:t>
        <w:br w:type="textWrapping"/>
        <w:br w:type="textWrapping"/>
        <w:t xml:space="preserve">Em seguida, foram aplicados os fatores de integridade metodológica do projeto, incluindo um desconto de incerteza de 10% e um buffer de integridade de 5%, utilizados como salvaguardas para garantir maior conservadorismo na quantificação. </w:t>
        <w:br w:type="textWrapping"/>
        <w:br w:type="textWrapping"/>
        <w:t xml:space="preserve">Após a aplicação desses ajustes, obteve-se uma redução final estimada de 83.230 tCO₂e, correspondente ao volume de reduções elegíveis para geração de créditos de carbono associados à produção e comercialização do Fator P no ano de 2025.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