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 </w:t>
      </w:r>
      <w:r w:rsidDel="00000000" w:rsidR="00000000" w:rsidRPr="00000000">
        <w:rPr>
          <w:rFonts w:ascii="Times New Roman" w:cs="Times New Roman" w:eastAsia="Times New Roman" w:hAnsi="Times New Roman"/>
          <w:rtl w:val="0"/>
        </w:rPr>
        <w:t xml:space="preserve">Steven Qiao, Jialu Xia, Jiarui Li, Kei Chon Sio</w:t>
      </w:r>
    </w:p>
    <w:p w:rsidR="00000000" w:rsidDel="00000000" w:rsidP="00000000" w:rsidRDefault="00000000" w:rsidRPr="00000000" w14:paraId="00000002">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GGR376H5</w:t>
      </w:r>
    </w:p>
    <w:p w:rsidR="00000000" w:rsidDel="00000000" w:rsidP="00000000" w:rsidRDefault="00000000" w:rsidRPr="00000000" w14:paraId="00000003">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2026/3/6</w:t>
      </w:r>
    </w:p>
    <w:p w:rsidR="00000000" w:rsidDel="00000000" w:rsidP="00000000" w:rsidRDefault="00000000" w:rsidRPr="00000000" w14:paraId="0000000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Project Proposal - Group 15</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rPr>
          <w:sz w:val="26"/>
          <w:szCs w:val="26"/>
        </w:rPr>
      </w:pPr>
      <w:r w:rsidDel="00000000" w:rsidR="00000000" w:rsidRPr="00000000">
        <w:rPr>
          <w:sz w:val="26"/>
          <w:szCs w:val="26"/>
          <w:rtl w:val="0"/>
        </w:rPr>
        <w:t xml:space="preserve">1. Spatial Research Question background </w:t>
      </w: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b w:val="0"/>
          <w:bCs w:val="0"/>
          <w:sz w:val="26"/>
          <w:szCs w:val="26"/>
        </w:rPr>
      </w:pPr>
      <w:bookmarkStart w:colFirst="0" w:colLast="0" w:name="_heading=h.vku825tty358" w:id="0"/>
      <w:bookmarkEnd w:id="0"/>
      <w:r w:rsidDel="00000000" w:rsidR="00000000" w:rsidRPr="00000000">
        <w:rPr>
          <w:rFonts w:ascii="Times New Roman" w:cs="Times New Roman" w:eastAsia="Times New Roman" w:hAnsi="Times New Roman"/>
          <w:b w:val="0"/>
          <w:bCs w:val="0"/>
          <w:sz w:val="26"/>
          <w:szCs w:val="26"/>
          <w:rtl w:val="0"/>
        </w:rPr>
        <w:t xml:space="preserve">1.1 Background</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has severely impacted the catering industry. To help restaurants overcome the difficulties, the City of Toronto launched the CaféTO, allowing restaurants to set up outdoor seating on roadside lanes and sidewalks. Originally, this was just a temporary policy, but after the pandemic ended, it was retained and became a permanent measure in Toronto. The CaféTO program also generated significant economic benefits for Toronto’s restaurant sector. A survey conducted by the Toronto Association of Business Improvement Areas (TABIA, 2022) estimated that CaféTO patios contributed approximately $203 million in economic activity in 2022. Although the outdoor dining permit of CaféTO was introduced during the pandemic, its distribution across various communities in Toronto was far from uniform. We conducted this research to determine two things: first, are these outdoor dining areas clearly concentrated in certain areas; second, is its distribution related to the economic recovery of different communities?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wanted to explore whether the distribution of CaféTO in Toronto was random or related to the characteristics of local communities. We believe that its distribution was definitely uneven, and this unevenness might be related to many factors, such as the varying commercial activity levels in different communities, the tendency of restaurants to cluster on main streets, and differences in local economic conditions. One key reason is consumer spending power. After all, when businesses choose locations, the most important factor is whether they can make a profit, so the outdoor seating of CaféTO should be more likely to appear in communities with higher after-tax income of families.</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keepNext w:val="0"/>
        <w:keepLines w:val="0"/>
        <w:jc w:val="both"/>
        <w:rPr>
          <w:rFonts w:ascii="Times New Roman" w:cs="Times New Roman" w:eastAsia="Times New Roman" w:hAnsi="Times New Roman"/>
          <w:sz w:val="26"/>
          <w:szCs w:val="26"/>
        </w:rPr>
      </w:pPr>
      <w:bookmarkStart w:colFirst="0" w:colLast="0" w:name="_heading=h.hcvq1375qfjp" w:id="1"/>
      <w:bookmarkEnd w:id="1"/>
      <w:sdt>
        <w:sdtPr>
          <w:id w:val="-2000226805"/>
          <w:tag w:val="goog_rdk_0"/>
        </w:sdtPr>
        <w:sdtContent>
          <w:commentRangeStart w:id="0"/>
        </w:sdtContent>
      </w:sdt>
      <w:r w:rsidDel="00000000" w:rsidR="00000000" w:rsidRPr="00000000">
        <w:rPr>
          <w:rFonts w:ascii="Times New Roman" w:cs="Times New Roman" w:eastAsia="Times New Roman" w:hAnsi="Times New Roman"/>
          <w:sz w:val="26"/>
          <w:szCs w:val="26"/>
          <w:rtl w:val="0"/>
        </w:rPr>
        <w:t xml:space="preserve">1. Background</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had a significant impact on the restaurant industry in Toronto, disrupting indoor dining and reducing business activity. In response, the City of Toronto introduced the CaféTO program, which allowed restaurants to expand outdoor seating onto sidewalks and curb lanes. Although this policy was originally designed as a temporary emergency measure, it was later retained as a permanent initiative due to its economic benefits and popularity among businesses and customers.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Toronto Association of Business Improvement Areas (TABIA, 2022), CaféTO patios contributed approximately $203 million in economic activity in 2022. This suggests that CaféTO is not only a short-term recovery strategy, but also an important part of Toronto’s urban commercial system.</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despite being implemented across the city, the distribution of CaféTO permits appears uneven across neighbourhoods. Some areas, particularly in the downtown core, have a high concentration of outdoor dining spaces, while many peripheral neighbourhoods have few or none. This uneven distribution raises an important question about whether access to these public-commercial spaces is equally shared across the city, or whether it reflects deeper spatial inequalities.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spacing w:after="240" w:before="240" w:lineRule="auto"/>
        <w:rPr>
          <w:sz w:val="26"/>
          <w:szCs w:val="26"/>
        </w:rPr>
      </w:pPr>
      <w:bookmarkStart w:colFirst="0" w:colLast="0" w:name="_heading=h.ga5zc3enlh2u" w:id="2"/>
      <w:bookmarkEnd w:id="2"/>
      <w:r w:rsidDel="00000000" w:rsidR="00000000" w:rsidRPr="00000000">
        <w:rPr>
          <w:sz w:val="26"/>
          <w:szCs w:val="26"/>
          <w:rtl w:val="0"/>
        </w:rPr>
        <w:t xml:space="preserve">2. Research Question and Hypotheses</w:t>
      </w:r>
    </w:p>
    <w:p w:rsidR="00000000" w:rsidDel="00000000" w:rsidP="00000000" w:rsidRDefault="00000000" w:rsidRPr="00000000" w14:paraId="00000016">
      <w:pPr>
        <w:pStyle w:val="Heading2"/>
        <w:spacing w:after="240" w:before="240" w:lineRule="auto"/>
        <w:rPr>
          <w:rFonts w:ascii="Times New Roman" w:cs="Times New Roman" w:eastAsia="Times New Roman" w:hAnsi="Times New Roman"/>
          <w:b w:val="0"/>
          <w:bCs w:val="0"/>
          <w:sz w:val="26"/>
          <w:szCs w:val="26"/>
        </w:rPr>
      </w:pPr>
      <w:bookmarkStart w:colFirst="0" w:colLast="0" w:name="_heading=h.6he81j78gilg" w:id="3"/>
      <w:bookmarkEnd w:id="3"/>
      <w:r w:rsidDel="00000000" w:rsidR="00000000" w:rsidRPr="00000000">
        <w:rPr>
          <w:rFonts w:ascii="Times New Roman" w:cs="Times New Roman" w:eastAsia="Times New Roman" w:hAnsi="Times New Roman"/>
          <w:b w:val="0"/>
          <w:bCs w:val="0"/>
          <w:sz w:val="26"/>
          <w:szCs w:val="26"/>
          <w:rtl w:val="0"/>
        </w:rPr>
        <w:t xml:space="preserve">2.1 Primary Research Question </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spatial distribution of CaféTO permits across Toronto’s neighbourhoods spatially random, or does it exhibit statistically significant clustering that reflects localized socioeconomic inequalities?</w:t>
      </w:r>
    </w:p>
    <w:p w:rsidR="00000000" w:rsidDel="00000000" w:rsidP="00000000" w:rsidRDefault="00000000" w:rsidRPr="00000000" w14:paraId="00000018">
      <w:pPr>
        <w:pStyle w:val="Heading2"/>
        <w:spacing w:after="240" w:before="240" w:lineRule="auto"/>
        <w:rPr>
          <w:rFonts w:ascii="Times New Roman" w:cs="Times New Roman" w:eastAsia="Times New Roman" w:hAnsi="Times New Roman"/>
          <w:b w:val="0"/>
          <w:bCs w:val="0"/>
          <w:sz w:val="26"/>
          <w:szCs w:val="26"/>
        </w:rPr>
      </w:pPr>
      <w:bookmarkStart w:colFirst="0" w:colLast="0" w:name="_heading=h.dvcytucl5fn7" w:id="4"/>
      <w:bookmarkEnd w:id="4"/>
      <w:r w:rsidDel="00000000" w:rsidR="00000000" w:rsidRPr="00000000">
        <w:rPr>
          <w:rFonts w:ascii="Times New Roman" w:cs="Times New Roman" w:eastAsia="Times New Roman" w:hAnsi="Times New Roman"/>
          <w:b w:val="0"/>
          <w:bCs w:val="0"/>
          <w:sz w:val="26"/>
          <w:szCs w:val="26"/>
          <w:rtl w:val="0"/>
        </w:rPr>
        <w:t xml:space="preserve">2.2 Hypotheses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systematically address our research questions and understand the reasons </w:t>
      </w:r>
      <w:r w:rsidDel="00000000" w:rsidR="00000000" w:rsidRPr="00000000">
        <w:rPr>
          <w:rFonts w:ascii="Times New Roman" w:cs="Times New Roman" w:eastAsia="Times New Roman" w:hAnsi="Times New Roman"/>
          <w:rtl w:val="0"/>
        </w:rPr>
        <w:t xml:space="preserve">behind the distribution of CaféTO, we proposed three testable hypotheses:</w:t>
      </w:r>
      <w:r w:rsidDel="00000000" w:rsidR="00000000" w:rsidRPr="00000000">
        <w:rPr>
          <w:rtl w:val="0"/>
        </w:rPr>
      </w:r>
    </w:p>
    <w:p w:rsidR="00000000" w:rsidDel="00000000" w:rsidP="00000000" w:rsidRDefault="00000000" w:rsidRPr="00000000" w14:paraId="0000001A">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1 (Spatial Clustering): We believe that the distribution of CaféTO is not random; it should be concentrated in a certain area. This also indicates that public space facilities in cities are not evenly distributed among each neighbourhood.</w:t>
      </w:r>
    </w:p>
    <w:p w:rsidR="00000000" w:rsidDel="00000000" w:rsidP="00000000" w:rsidRDefault="00000000" w:rsidRPr="00000000" w14:paraId="0000001B">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2 (Market Capacity and Income): CaféTO is essentially a commercial facility, and merchants will definitely consider whether they can make a profit when choosing an address. Therefore, we speculate that the number of CaféTO per 1,000 residents in a neighbourhood is positively correlated with the median household income of this neighbourhood. Thus, the more affluent the neighbourhood, the more people may use CaféTO, and businesses are more likely to set up their stores here.</w:t>
      </w: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3"/>
        <w:keepNext w:val="0"/>
        <w:keepLines w:val="0"/>
        <w:ind w:left="0" w:firstLine="0"/>
        <w:rPr>
          <w:rFonts w:ascii="Times New Roman" w:cs="Times New Roman" w:eastAsia="Times New Roman" w:hAnsi="Times New Roman"/>
          <w:sz w:val="26"/>
          <w:szCs w:val="26"/>
        </w:rPr>
      </w:pPr>
      <w:bookmarkStart w:colFirst="0" w:colLast="0" w:name="_heading=h.bkstz0272dt1" w:id="5"/>
      <w:bookmarkEnd w:id="5"/>
      <w:sdt>
        <w:sdtPr>
          <w:id w:val="1881063106"/>
          <w:tag w:val="goog_rdk_1"/>
        </w:sdtPr>
        <w:sdtContent>
          <w:commentRangeStart w:id="1"/>
        </w:sdtContent>
      </w:sdt>
      <w:r w:rsidDel="00000000" w:rsidR="00000000" w:rsidRPr="00000000">
        <w:rPr>
          <w:rFonts w:ascii="Times New Roman" w:cs="Times New Roman" w:eastAsia="Times New Roman" w:hAnsi="Times New Roman"/>
          <w:sz w:val="26"/>
          <w:szCs w:val="26"/>
          <w:rtl w:val="0"/>
        </w:rPr>
        <w:t xml:space="preserve">2. Research Question and Hypotheses</w:t>
      </w:r>
    </w:p>
    <w:p w:rsidR="00000000" w:rsidDel="00000000" w:rsidP="00000000" w:rsidRDefault="00000000" w:rsidRPr="00000000" w14:paraId="0000001E">
      <w:pPr>
        <w:pStyle w:val="Heading4"/>
        <w:keepNext w:val="0"/>
        <w:keepLines w:val="0"/>
        <w:ind w:left="0" w:firstLine="0"/>
        <w:rPr>
          <w:rFonts w:ascii="Times New Roman" w:cs="Times New Roman" w:eastAsia="Times New Roman" w:hAnsi="Times New Roman"/>
          <w:sz w:val="22"/>
          <w:szCs w:val="22"/>
        </w:rPr>
      </w:pPr>
      <w:bookmarkStart w:colFirst="0" w:colLast="0" w:name="_heading=h.6buyrgkx5xvb" w:id="6"/>
      <w:bookmarkEnd w:id="6"/>
      <w:r w:rsidDel="00000000" w:rsidR="00000000" w:rsidRPr="00000000">
        <w:rPr>
          <w:rtl w:val="0"/>
        </w:rPr>
      </w:r>
    </w:p>
    <w:p w:rsidR="00000000" w:rsidDel="00000000" w:rsidP="00000000" w:rsidRDefault="00000000" w:rsidRPr="00000000" w14:paraId="0000001F">
      <w:pPr>
        <w:pStyle w:val="Heading4"/>
        <w:keepNext w:val="0"/>
        <w:keepLines w:val="0"/>
        <w:ind w:left="0" w:firstLine="0"/>
        <w:rPr>
          <w:rFonts w:ascii="Times New Roman" w:cs="Times New Roman" w:eastAsia="Times New Roman" w:hAnsi="Times New Roman"/>
          <w:sz w:val="22"/>
          <w:szCs w:val="22"/>
        </w:rPr>
      </w:pPr>
      <w:bookmarkStart w:colFirst="0" w:colLast="0" w:name="_heading=h.8qza18lb5fws" w:id="7"/>
      <w:bookmarkEnd w:id="7"/>
      <w:r w:rsidDel="00000000" w:rsidR="00000000" w:rsidRPr="00000000">
        <w:rPr>
          <w:rFonts w:ascii="Times New Roman" w:cs="Times New Roman" w:eastAsia="Times New Roman" w:hAnsi="Times New Roman"/>
          <w:sz w:val="22"/>
          <w:szCs w:val="22"/>
          <w:rtl w:val="0"/>
        </w:rPr>
        <w:t xml:space="preserve">2.1 Primary Research Question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Our primary research question is : </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spatial distribution of CaféTO permits across Toronto neighbourhoods exhibit statistically significant spatial clustering, and to what extent is this pattern associated with neighbourhood-level socioeconomic conditions (e.g., median household income)?</w:t>
      </w:r>
    </w:p>
    <w:p w:rsidR="00000000" w:rsidDel="00000000" w:rsidP="00000000" w:rsidRDefault="00000000" w:rsidRPr="00000000" w14:paraId="00000023">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ind w:left="720" w:hanging="360"/>
        <w:rPr>
          <w:rFonts w:ascii="Times New Roman" w:cs="Times New Roman" w:eastAsia="Times New Roman" w:hAnsi="Times New Roman"/>
          <w:sz w:val="26"/>
          <w:szCs w:val="26"/>
        </w:rPr>
      </w:pPr>
      <w:bookmarkStart w:colFirst="0" w:colLast="0" w:name="_heading=h.pzr980m7ywq" w:id="8"/>
      <w:bookmarkEnd w:id="8"/>
      <w:r w:rsidDel="00000000" w:rsidR="00000000" w:rsidRPr="00000000">
        <w:rPr>
          <w:rFonts w:ascii="Times New Roman" w:cs="Times New Roman" w:eastAsia="Times New Roman" w:hAnsi="Times New Roman"/>
          <w:sz w:val="26"/>
          <w:szCs w:val="26"/>
          <w:rtl w:val="0"/>
        </w:rPr>
        <w:t xml:space="preserve">2.2 Hypotheses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research question, we propose the following testable hypotheses:</w:t>
      </w:r>
    </w:p>
    <w:p w:rsidR="00000000" w:rsidDel="00000000" w:rsidP="00000000" w:rsidRDefault="00000000" w:rsidRPr="00000000" w14:paraId="0000002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1 (Spatial Clustering):</w:t>
        <w:br w:type="textWrapping"/>
        <w:br w:type="textWrapping"/>
      </w:r>
      <w:r w:rsidDel="00000000" w:rsidR="00000000" w:rsidRPr="00000000">
        <w:rPr>
          <w:rFonts w:ascii="Times New Roman" w:cs="Times New Roman" w:eastAsia="Times New Roman" w:hAnsi="Times New Roman"/>
          <w:rtl w:val="0"/>
        </w:rPr>
        <w:t xml:space="preserve"> CaféTO permit density (number of permits per 1,000 residents) exhibits positive spatial autocorrelation across Toronto neighbourhoods, indicating that areas with high (or low) densities are spatially clustered rather than randomly distributed.</w:t>
        <w:br w:type="textWrapping"/>
      </w:r>
    </w:p>
    <w:p w:rsidR="00000000" w:rsidDel="00000000" w:rsidP="00000000" w:rsidRDefault="00000000" w:rsidRPr="00000000" w14:paraId="0000002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2 (Income Association):</w:t>
        <w:br w:type="textWrapping"/>
        <w:br w:type="textWrapping"/>
      </w:r>
      <w:r w:rsidDel="00000000" w:rsidR="00000000" w:rsidRPr="00000000">
        <w:rPr>
          <w:rFonts w:ascii="Times New Roman" w:cs="Times New Roman" w:eastAsia="Times New Roman" w:hAnsi="Times New Roman"/>
          <w:rtl w:val="0"/>
        </w:rPr>
        <w:t xml:space="preserve"> CaféTO permit density is positively associated with neighbourhood median household income, such that higher-income neighbourhoods tend to have higher CaféTO density.</w:t>
      </w:r>
      <w:commentRangeEnd w:id="1"/>
      <w:r w:rsidDel="00000000" w:rsidR="00000000" w:rsidRPr="00000000">
        <w:commentReference w:id="1"/>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rPr>
          <w:sz w:val="26"/>
          <w:szCs w:val="26"/>
        </w:rPr>
      </w:pPr>
      <w:r w:rsidDel="00000000" w:rsidR="00000000" w:rsidRPr="00000000">
        <w:rPr>
          <w:sz w:val="26"/>
          <w:szCs w:val="26"/>
          <w:rtl w:val="0"/>
        </w:rPr>
        <w:t xml:space="preserve">3. Preliminary ESDA</w:t>
      </w:r>
    </w:p>
    <w:p w:rsidR="00000000" w:rsidDel="00000000" w:rsidP="00000000" w:rsidRDefault="00000000" w:rsidRPr="00000000" w14:paraId="0000002B">
      <w:pPr>
        <w:keepNext w:val="0"/>
        <w:keepLines w:val="0"/>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whether CaféTO density exhibits spatial structure, we first conduct exploratory spatial data analysis (ESDA). Since the population in each neighbourhood varies, directly comparing the number of CaféTO </w:t>
      </w:r>
      <w:r w:rsidDel="00000000" w:rsidR="00000000" w:rsidRPr="00000000">
        <w:rPr>
          <w:rFonts w:ascii="Times New Roman" w:cs="Times New Roman" w:eastAsia="Times New Roman" w:hAnsi="Times New Roman"/>
          <w:color w:val="2a2b2e"/>
          <w:highlight w:val="white"/>
          <w:rtl w:val="0"/>
        </w:rPr>
        <w:t xml:space="preserve">permits</w:t>
      </w:r>
      <w:r w:rsidDel="00000000" w:rsidR="00000000" w:rsidRPr="00000000">
        <w:rPr>
          <w:rFonts w:ascii="Times New Roman" w:cs="Times New Roman" w:eastAsia="Times New Roman" w:hAnsi="Times New Roman"/>
          <w:rtl w:val="0"/>
        </w:rPr>
        <w:t xml:space="preserve"> is unfair because it doesn't take into account the population size. Therefore, we calculated "the number of CaféTO </w:t>
      </w:r>
      <w:r w:rsidDel="00000000" w:rsidR="00000000" w:rsidRPr="00000000">
        <w:rPr>
          <w:rFonts w:ascii="Times New Roman" w:cs="Times New Roman" w:eastAsia="Times New Roman" w:hAnsi="Times New Roman"/>
          <w:color w:val="2a2b2e"/>
          <w:highlight w:val="white"/>
          <w:rtl w:val="0"/>
        </w:rPr>
        <w:t xml:space="preserve">permits</w:t>
      </w:r>
      <w:r w:rsidDel="00000000" w:rsidR="00000000" w:rsidRPr="00000000">
        <w:rPr>
          <w:rFonts w:ascii="Times New Roman" w:cs="Times New Roman" w:eastAsia="Times New Roman" w:hAnsi="Times New Roman"/>
          <w:rtl w:val="0"/>
        </w:rPr>
        <w:t xml:space="preserve"> per 1000 residents" to eliminate the influence of population size. </w:t>
      </w:r>
    </w:p>
    <w:p w:rsidR="00000000" w:rsidDel="00000000" w:rsidP="00000000" w:rsidRDefault="00000000" w:rsidRPr="00000000" w14:paraId="0000002C">
      <w:pPr>
        <w:keepNext w:val="0"/>
        <w:keepLines w:val="0"/>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Figure 1, it can be clearly seen that there are a total of 1,281 CaféTO locations throughout Toronto, with most of them concentrated in the central and southern areas, especially along the lake and in the city center. However, in the northern and western peripheral neighbourhoods of the city, there is hardly any trace of CaféTO. This visual pattern suggests that the distribution may not be random, but formal spatial statistical tests such as Moran’s I are required to determine whether significant spatial clustering exists.</w:t>
      </w:r>
    </w:p>
    <w:p w:rsidR="00000000" w:rsidDel="00000000" w:rsidP="00000000" w:rsidRDefault="00000000" w:rsidRPr="00000000" w14:paraId="0000002D">
      <w:pPr>
        <w:keepNext w:val="0"/>
        <w:keepLines w:val="0"/>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calculated some basic statistics and drew histograms and box plots to see what the key indicators are approximately. The distribution in Figure 4 is highly uneven and strongly right-skewed. There are approximately 90 neighbourhoods that have CaféTO densities close to zero, while only a few neighbourhoods have extremely high densities, some exceeding 1.5 per 1,000 people, and the highest even approaching 5.0. The median is also far below 0.5, indicating that CaféTO is highly concentrated in a few neighbourhoods.</w:t>
      </w:r>
    </w:p>
    <w:p w:rsidR="00000000" w:rsidDel="00000000" w:rsidP="00000000" w:rsidRDefault="00000000" w:rsidRPr="00000000" w14:paraId="0000002E">
      <w:pPr>
        <w:keepNext w:val="0"/>
        <w:keepLines w:val="0"/>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also once again proves this concentration trend. Only near the city center and a few neighbourhoods in the south have the highest CaféTO density (0.73 to 5.04 per 1,000 people), while most other neighbourhoods are in the lowest two density ranges.</w:t>
      </w:r>
    </w:p>
    <w:p w:rsidR="00000000" w:rsidDel="00000000" w:rsidP="00000000" w:rsidRDefault="00000000" w:rsidRPr="00000000" w14:paraId="0000002F">
      <w:pPr>
        <w:keepNext w:val="0"/>
        <w:keepLines w:val="0"/>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3, the distribution of areas with higher household income is relatively scattered, not concentrated in one area. When comparing Figures 2 and 3, it can be observed that the areas with a higher number of CaféTO and the high-income areas do not have any obvious overlap. This indicates that the relationship between income and the distribution of CaféTO may not be as simple as we initially thought. At Figure 5, it can also be noticed that there is no obvious linear pattern between the two, and no obvious correlation can be seen. This further demonstrates that we need to conduct more formal spatial statistical analysis to determine whether there is a significant relationship between income and the distribution of CaféTO.</w:t>
      </w:r>
    </w:p>
    <w:p w:rsidR="00000000" w:rsidDel="00000000" w:rsidP="00000000" w:rsidRDefault="00000000" w:rsidRPr="00000000" w14:paraId="00000030">
      <w:pPr>
        <w:keepNext w:val="0"/>
        <w:keepLines w:val="0"/>
        <w:widowControl w:val="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widowControl w:val="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3"/>
        <w:keepNext w:val="0"/>
        <w:keepLines w:val="0"/>
        <w:jc w:val="both"/>
        <w:rPr>
          <w:rFonts w:ascii="Times New Roman" w:cs="Times New Roman" w:eastAsia="Times New Roman" w:hAnsi="Times New Roman"/>
          <w:sz w:val="26"/>
          <w:szCs w:val="26"/>
        </w:rPr>
      </w:pPr>
      <w:bookmarkStart w:colFirst="0" w:colLast="0" w:name="_heading=h.i6uu5uhv6oyr" w:id="9"/>
      <w:bookmarkEnd w:id="9"/>
      <w:sdt>
        <w:sdtPr>
          <w:id w:val="1052495259"/>
          <w:tag w:val="goog_rdk_2"/>
        </w:sdtPr>
        <w:sdtContent>
          <w:commentRangeStart w:id="2"/>
        </w:sdtContent>
      </w:sdt>
      <w:r w:rsidDel="00000000" w:rsidR="00000000" w:rsidRPr="00000000">
        <w:rPr>
          <w:rFonts w:ascii="Times New Roman" w:cs="Times New Roman" w:eastAsia="Times New Roman" w:hAnsi="Times New Roman"/>
          <w:sz w:val="26"/>
          <w:szCs w:val="26"/>
          <w:rtl w:val="0"/>
        </w:rPr>
        <w:t xml:space="preserve">3. Preliminary ESDA</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whether CaféTO density exhibits spatial structure, we first conducted exploratory spatial data analysis (ESDA). Since neighbourhood populations vary, directly comparing the number of CaféTO permits would be misleading. Therefore, we normalized the data by calculating the number of CaféTO permits per 1,000 residents.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shows the geographic distribution of CaféTO locations across Toronto. Visually, many permits appear to be located in the central and southern parts of the city, while fewer are observed in peripheral areas. However, this visual pattern alone is not sufficient to determine whether the distribution is statistically clustered or random. Formal spatial statistical analysis, such as Moran’s I, is required to confirm the presence of spatial autocorrelation.</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the distribution, we examined summary statistics and distribution plots. The histogram and boxplot (Figure 4) indicate that CaféTO density is highly right-skewed. A large number of neighbourhoods have very low or zero density, while a small number of neighbourhoods exhibit relatively high values. The median density is below 0.5 permits per 1,000 residents, suggesting that most neighbourhoods have limited CaféTO presence.</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maps CaféTO density using a quantile classification. Higher-density neighbourhoods appear more frequently in central areas, while lower-density neighbourhoods are more common in outer regions. However, this pattern should be interpreted cautiously, as quantile classification can exaggerate differences between classes.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presents the distribution of median household income across neighbourhoods. Unlike CaféTO density, income appears more spatially dispersed rather than concentrated in a single area.</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comparing CaféTO density (Figure 2) with income (Figure 3), there is no clear visual evidence of a strong spatial overlap between high-income areas and high CaféTO density. Similarly, the scatterplot (Figure 5) does not show a clear linear relationship between the two variables. These observations suggest that income alone may not fully explain the distribution of CaféTO permits.</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ESDA results indicate that CaféTO density is unevenly distributed and potentially spatially structured. However, formal spatial statistical tests are necessary to determine whether this pattern reflects statistically significant clustering and to better understand its relationship with socioeconomic variables.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keepNext w:val="0"/>
        <w:keepLines w:val="0"/>
        <w:widowControl w:val="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1163" cy="3945807"/>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91163" cy="394580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3D">
      <w:pPr>
        <w:keepNext w:val="0"/>
        <w:keepLines w:val="0"/>
        <w:widowControl w:val="1"/>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Figure 1:</w:t>
      </w:r>
      <w:r w:rsidDel="00000000" w:rsidR="00000000" w:rsidRPr="00000000">
        <w:rPr>
          <w:rFonts w:ascii="Times New Roman" w:cs="Times New Roman" w:eastAsia="Times New Roman" w:hAnsi="Times New Roman"/>
          <w:sz w:val="22"/>
          <w:szCs w:val="22"/>
          <w:rtl w:val="0"/>
        </w:rPr>
        <w:t xml:space="preserve"> Toronto Neighbourhoods and CaféTO Locations</w:t>
      </w:r>
    </w:p>
    <w:p w:rsidR="00000000" w:rsidDel="00000000" w:rsidP="00000000" w:rsidRDefault="00000000" w:rsidRPr="00000000" w14:paraId="0000003E">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0755" cy="3662363"/>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6075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2:</w:t>
      </w:r>
      <w:r w:rsidDel="00000000" w:rsidR="00000000" w:rsidRPr="00000000">
        <w:rPr>
          <w:rFonts w:ascii="Times New Roman" w:cs="Times New Roman" w:eastAsia="Times New Roman" w:hAnsi="Times New Roman"/>
          <w:sz w:val="22"/>
          <w:szCs w:val="22"/>
          <w:rtl w:val="0"/>
        </w:rPr>
        <w:t xml:space="preserve"> CaféTO Permits per 1,000 Residents by Neighbourhood (Quantile Classification)</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224463" cy="3518956"/>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24463" cy="351895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keepNext w:val="0"/>
        <w:keepLines w:val="0"/>
        <w:widowControl w:val="1"/>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Median Household Income by Neighbourhood, 2021 Census (Quantile Classification)</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4000" cy="34290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7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4a. Histogram of CaféTO permits per 1,000 residents across Toronto neighbourhoods.</w:t>
      </w:r>
    </w:p>
    <w:p w:rsidR="00000000" w:rsidDel="00000000" w:rsidP="00000000" w:rsidRDefault="00000000" w:rsidRPr="00000000" w14:paraId="00000047">
      <w:pPr>
        <w:keepNext w:val="0"/>
        <w:keepLines w:val="0"/>
        <w:widowControl w:val="1"/>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48">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4000" cy="3378200"/>
            <wp:effectExtent b="0" l="0" r="0" t="0"/>
            <wp:docPr id="12" name="image4.png"/>
            <a:graphic>
              <a:graphicData uri="http://schemas.openxmlformats.org/drawingml/2006/picture">
                <pic:pic>
                  <pic:nvPicPr>
                    <pic:cNvPr id="0" name="image4.png"/>
                    <pic:cNvPicPr preferRelativeResize="0"/>
                  </pic:nvPicPr>
                  <pic:blipFill>
                    <a:blip r:embed="rId13"/>
                    <a:srcRect b="1605" l="0" r="0" t="0"/>
                    <a:stretch>
                      <a:fillRect/>
                    </a:stretch>
                  </pic:blipFill>
                  <pic:spPr>
                    <a:xfrm>
                      <a:off x="0" y="0"/>
                      <a:ext cx="5274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4b. Boxplot of CaféTO permits per 1,000 residents across Toronto neighbourhoods.</w:t>
      </w:r>
    </w:p>
    <w:p w:rsidR="00000000" w:rsidDel="00000000" w:rsidP="00000000" w:rsidRDefault="00000000" w:rsidRPr="00000000" w14:paraId="0000004A">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widowControl w:val="1"/>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114300" distT="114300" distL="114300" distR="114300">
            <wp:extent cx="4291013" cy="4315721"/>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91013" cy="431572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widowControl w:val="1"/>
        <w:jc w:val="left"/>
        <w:rPr>
          <w:sz w:val="22"/>
          <w:szCs w:val="22"/>
        </w:rPr>
      </w:pPr>
      <w:r w:rsidDel="00000000" w:rsidR="00000000" w:rsidRPr="00000000">
        <w:rPr>
          <w:rFonts w:ascii="Times New Roman" w:cs="Times New Roman" w:eastAsia="Times New Roman" w:hAnsi="Times New Roman"/>
          <w:b w:val="1"/>
          <w:bCs w:val="1"/>
          <w:sz w:val="22"/>
          <w:szCs w:val="22"/>
          <w:rtl w:val="0"/>
        </w:rPr>
        <w:t xml:space="preserve">Figure 5:</w:t>
      </w:r>
      <w:r w:rsidDel="00000000" w:rsidR="00000000" w:rsidRPr="00000000">
        <w:rPr>
          <w:rFonts w:ascii="Times New Roman" w:cs="Times New Roman" w:eastAsia="Times New Roman" w:hAnsi="Times New Roman"/>
          <w:sz w:val="22"/>
          <w:szCs w:val="22"/>
          <w:rtl w:val="0"/>
        </w:rPr>
        <w:t xml:space="preserve"> CaféTO permit density compared with median household income across Toronto neighbourhoods.</w:t>
      </w:r>
      <w:r w:rsidDel="00000000" w:rsidR="00000000" w:rsidRPr="00000000">
        <w:rPr>
          <w:rtl w:val="0"/>
        </w:rPr>
      </w:r>
    </w:p>
    <w:p w:rsidR="00000000" w:rsidDel="00000000" w:rsidP="00000000" w:rsidRDefault="00000000" w:rsidRPr="00000000" w14:paraId="0000004D">
      <w:pPr>
        <w:pStyle w:val="Heading1"/>
        <w:rPr>
          <w:sz w:val="26"/>
          <w:szCs w:val="26"/>
        </w:rPr>
      </w:pPr>
      <w:r w:rsidDel="00000000" w:rsidR="00000000" w:rsidRPr="00000000">
        <w:rPr>
          <w:sz w:val="26"/>
          <w:szCs w:val="26"/>
          <w:rtl w:val="0"/>
        </w:rPr>
        <w:t xml:space="preserve">4. Methodology and Justification</w:t>
      </w:r>
    </w:p>
    <w:p w:rsidR="00000000" w:rsidDel="00000000" w:rsidP="00000000" w:rsidRDefault="00000000" w:rsidRPr="00000000" w14:paraId="0000004E">
      <w:pPr>
        <w:pStyle w:val="Heading2"/>
        <w:rPr>
          <w:rFonts w:ascii="Times New Roman" w:cs="Times New Roman" w:eastAsia="Times New Roman" w:hAnsi="Times New Roman"/>
          <w:b w:val="0"/>
          <w:bCs w:val="0"/>
          <w:sz w:val="26"/>
          <w:szCs w:val="26"/>
        </w:rPr>
      </w:pPr>
      <w:bookmarkStart w:colFirst="0" w:colLast="0" w:name="_heading=h.8u2a7s7pzzmd" w:id="10"/>
      <w:bookmarkEnd w:id="10"/>
      <w:r w:rsidDel="00000000" w:rsidR="00000000" w:rsidRPr="00000000">
        <w:rPr>
          <w:rFonts w:ascii="Times New Roman" w:cs="Times New Roman" w:eastAsia="Times New Roman" w:hAnsi="Times New Roman"/>
          <w:b w:val="0"/>
          <w:bCs w:val="0"/>
          <w:sz w:val="26"/>
          <w:szCs w:val="26"/>
          <w:rtl w:val="0"/>
        </w:rPr>
        <w:t xml:space="preserve">4.1 Spatial Weights</w:t>
      </w:r>
    </w:p>
    <w:p w:rsidR="00000000" w:rsidDel="00000000" w:rsidP="00000000" w:rsidRDefault="00000000" w:rsidRPr="00000000" w14:paraId="0000004F">
      <w:pPr>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In this study, Queen contiguity weights are used to define the spatial relationships between neighbourhoods. Since the spatial units are polygons, neighbourhoods sharing boundaries are likely to exhibit continuity in commercial environment and population composition. Neighbourhoods sharing only corner points may also have spatial interactions. Therefore, Queen contiguity weights capture neighbourhood relationships more comprehensively than Rook contiguity. All weights are row-standardized so that the sum of weights for each neighbourhood equals 1 which removes the influence of variation in the number of neighbours.</w:t>
      </w:r>
    </w:p>
    <w:p w:rsidR="00000000" w:rsidDel="00000000" w:rsidP="00000000" w:rsidRDefault="00000000" w:rsidRPr="00000000" w14:paraId="00000050">
      <w:pPr>
        <w:jc w:val="both"/>
        <w:rPr>
          <w:rFonts w:ascii="Times New Roman" w:cs="Times New Roman" w:eastAsia="Times New Roman" w:hAnsi="Times New Roman"/>
          <w:color w:val="3b3a3b"/>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4.2 Global Spatial Auto-correlation</w:t>
      </w:r>
    </w:p>
    <w:p w:rsidR="00000000" w:rsidDel="00000000" w:rsidP="00000000" w:rsidRDefault="00000000" w:rsidRPr="00000000" w14:paraId="00000052">
      <w:pPr>
        <w:keepNext w:val="0"/>
        <w:keepLines w:val="0"/>
        <w:widowControl w:val="1"/>
        <w:jc w:val="both"/>
        <w:rPr>
          <w:rFonts w:ascii="Times New Roman" w:cs="Times New Roman" w:eastAsia="Times New Roman" w:hAnsi="Times New Roman"/>
        </w:rPr>
      </w:pPr>
      <w:bookmarkStart w:colFirst="0" w:colLast="0" w:name="_heading=h.2x507aemmryr" w:id="11"/>
      <w:bookmarkEnd w:id="11"/>
      <w:r w:rsidDel="00000000" w:rsidR="00000000" w:rsidRPr="00000000">
        <w:rPr>
          <w:rFonts w:ascii="Times New Roman" w:cs="Times New Roman" w:eastAsia="Times New Roman" w:hAnsi="Times New Roman"/>
          <w:color w:val="3b3a3b"/>
          <w:rtl w:val="0"/>
        </w:rPr>
        <w:t xml:space="preserve">Global Moran's I is used to see if there were any spatial patterns in the distribution of CaféTO across different neighbourhoods. This method will calculate an I value to help us determine whether areas with a large number of CaféTO permits will cluster together rather than be randomly scattered throughout the city. If the I value is significantly positive, it indicates that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3b3a3b"/>
          <w:rtl w:val="0"/>
        </w:rPr>
        <w:t xml:space="preserve"> with a high number of CaféTO </w:t>
      </w:r>
      <w:r w:rsidDel="00000000" w:rsidR="00000000" w:rsidRPr="00000000">
        <w:rPr>
          <w:rFonts w:ascii="Times New Roman" w:cs="Times New Roman" w:eastAsia="Times New Roman" w:hAnsi="Times New Roman"/>
          <w:color w:val="2a2b2e"/>
          <w:highlight w:val="white"/>
          <w:rtl w:val="0"/>
        </w:rPr>
        <w:t xml:space="preserve">permits</w:t>
      </w:r>
      <w:r w:rsidDel="00000000" w:rsidR="00000000" w:rsidRPr="00000000">
        <w:rPr>
          <w:rFonts w:ascii="Times New Roman" w:cs="Times New Roman" w:eastAsia="Times New Roman" w:hAnsi="Times New Roman"/>
          <w:color w:val="3b3a3b"/>
          <w:rtl w:val="0"/>
        </w:rPr>
        <w:t xml:space="preserve"> tend to be close to each other; if it is significantly negative, it means that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3b3a3b"/>
          <w:rtl w:val="0"/>
        </w:rPr>
        <w:t xml:space="preserve"> with a high and low number of CaféTO </w:t>
      </w:r>
      <w:r w:rsidDel="00000000" w:rsidR="00000000" w:rsidRPr="00000000">
        <w:rPr>
          <w:rFonts w:ascii="Times New Roman" w:cs="Times New Roman" w:eastAsia="Times New Roman" w:hAnsi="Times New Roman"/>
          <w:color w:val="2a2b2e"/>
          <w:highlight w:val="white"/>
          <w:rtl w:val="0"/>
        </w:rPr>
        <w:t xml:space="preserve">permits</w:t>
      </w:r>
      <w:r w:rsidDel="00000000" w:rsidR="00000000" w:rsidRPr="00000000">
        <w:rPr>
          <w:rFonts w:ascii="Times New Roman" w:cs="Times New Roman" w:eastAsia="Times New Roman" w:hAnsi="Times New Roman"/>
          <w:color w:val="3b3a3b"/>
          <w:rtl w:val="0"/>
        </w:rPr>
        <w:t xml:space="preserve"> alternate. The result of this step can help determine from which socioeconomic factors that drive this spatial distribution pattern. During the specific calculation, we use the variable of the number of CaféTO permits per 1,000 residents to calculate the Moran's I value.</w:t>
      </w:r>
      <w:r w:rsidDel="00000000" w:rsidR="00000000" w:rsidRPr="00000000">
        <w:rPr>
          <w:rtl w:val="0"/>
        </w:rPr>
      </w:r>
    </w:p>
    <w:p w:rsidR="00000000" w:rsidDel="00000000" w:rsidP="00000000" w:rsidRDefault="00000000" w:rsidRPr="00000000" w14:paraId="00000053">
      <w:pPr>
        <w:keepNext w:val="0"/>
        <w:keepLines w:val="0"/>
        <w:widowControl w:val="1"/>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26"/>
          <w:szCs w:val="26"/>
          <w:rtl w:val="0"/>
        </w:rPr>
        <w:t xml:space="preserve">4.3 </w:t>
      </w:r>
      <w:r w:rsidDel="00000000" w:rsidR="00000000" w:rsidRPr="00000000">
        <w:rPr>
          <w:rFonts w:ascii="Times New Roman" w:cs="Times New Roman" w:eastAsia="Times New Roman" w:hAnsi="Times New Roman"/>
          <w:b w:val="0"/>
          <w:bCs w:val="0"/>
          <w:color w:val="2a2b2e"/>
          <w:sz w:val="26"/>
          <w:szCs w:val="26"/>
          <w:highlight w:val="white"/>
          <w:rtl w:val="0"/>
        </w:rPr>
        <w:t xml:space="preserve">Local Spatial autocorrelation (LISA)</w:t>
      </w:r>
      <w:r w:rsidDel="00000000" w:rsidR="00000000" w:rsidRPr="00000000">
        <w:rPr>
          <w:rtl w:val="0"/>
        </w:rPr>
      </w:r>
    </w:p>
    <w:p w:rsidR="00000000" w:rsidDel="00000000" w:rsidP="00000000" w:rsidRDefault="00000000" w:rsidRPr="00000000" w14:paraId="00000055">
      <w:pPr>
        <w:keepNext w:val="0"/>
        <w:keepLines w:val="0"/>
        <w:widowControl w:val="1"/>
        <w:jc w:val="both"/>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Local Spatial autocorrelation (LISA) further identifies which specific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2a2b2e"/>
          <w:highlight w:val="white"/>
          <w:rtl w:val="0"/>
        </w:rPr>
        <w:t xml:space="preserve"> are in the dominant spatial aggregation pattern based on the global Moran's I. Through the LISA clustering graph, each </w:t>
      </w:r>
      <w:r w:rsidDel="00000000" w:rsidR="00000000" w:rsidRPr="00000000">
        <w:rPr>
          <w:rFonts w:ascii="Times New Roman" w:cs="Times New Roman" w:eastAsia="Times New Roman" w:hAnsi="Times New Roman"/>
          <w:rtl w:val="0"/>
        </w:rPr>
        <w:t xml:space="preserve">neighbourhood</w:t>
      </w:r>
      <w:r w:rsidDel="00000000" w:rsidR="00000000" w:rsidRPr="00000000">
        <w:rPr>
          <w:rFonts w:ascii="Times New Roman" w:cs="Times New Roman" w:eastAsia="Times New Roman" w:hAnsi="Times New Roman"/>
          <w:color w:val="2a2b2e"/>
          <w:highlight w:val="white"/>
          <w:rtl w:val="0"/>
        </w:rPr>
        <w:t xml:space="preserve"> is classified into the following four categories: High-high aggregation areas (H-H, where the density of </w:t>
      </w:r>
      <w:r w:rsidDel="00000000" w:rsidR="00000000" w:rsidRPr="00000000">
        <w:rPr>
          <w:rFonts w:ascii="Times New Roman" w:cs="Times New Roman" w:eastAsia="Times New Roman" w:hAnsi="Times New Roman"/>
          <w:rtl w:val="0"/>
        </w:rPr>
        <w:t xml:space="preserve">CaféTO</w:t>
      </w:r>
      <w:r w:rsidDel="00000000" w:rsidR="00000000" w:rsidRPr="00000000">
        <w:rPr>
          <w:rFonts w:ascii="Times New Roman" w:cs="Times New Roman" w:eastAsia="Times New Roman" w:hAnsi="Times New Roman"/>
          <w:color w:val="2a2b2e"/>
          <w:highlight w:val="white"/>
          <w:rtl w:val="0"/>
        </w:rPr>
        <w:t xml:space="preserve"> permits in this </w:t>
      </w:r>
      <w:r w:rsidDel="00000000" w:rsidR="00000000" w:rsidRPr="00000000">
        <w:rPr>
          <w:rFonts w:ascii="Times New Roman" w:cs="Times New Roman" w:eastAsia="Times New Roman" w:hAnsi="Times New Roman"/>
          <w:rtl w:val="0"/>
        </w:rPr>
        <w:t xml:space="preserve">neighbourhood</w:t>
      </w:r>
      <w:r w:rsidDel="00000000" w:rsidR="00000000" w:rsidRPr="00000000">
        <w:rPr>
          <w:rFonts w:ascii="Times New Roman" w:cs="Times New Roman" w:eastAsia="Times New Roman" w:hAnsi="Times New Roman"/>
          <w:color w:val="2a2b2e"/>
          <w:highlight w:val="white"/>
          <w:rtl w:val="0"/>
        </w:rPr>
        <w:t xml:space="preserve"> and surrounding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2a2b2e"/>
          <w:highlight w:val="white"/>
          <w:rtl w:val="0"/>
        </w:rPr>
        <w:t xml:space="preserve"> is significantly higher than the average level), low-low aggregation areas (L-L, where the density in this </w:t>
      </w:r>
      <w:r w:rsidDel="00000000" w:rsidR="00000000" w:rsidRPr="00000000">
        <w:rPr>
          <w:rFonts w:ascii="Times New Roman" w:cs="Times New Roman" w:eastAsia="Times New Roman" w:hAnsi="Times New Roman"/>
          <w:rtl w:val="0"/>
        </w:rPr>
        <w:t xml:space="preserve">neighbourhood</w:t>
      </w:r>
      <w:r w:rsidDel="00000000" w:rsidR="00000000" w:rsidRPr="00000000">
        <w:rPr>
          <w:rFonts w:ascii="Times New Roman" w:cs="Times New Roman" w:eastAsia="Times New Roman" w:hAnsi="Times New Roman"/>
          <w:color w:val="2a2b2e"/>
          <w:highlight w:val="white"/>
          <w:rtl w:val="0"/>
        </w:rPr>
        <w:t xml:space="preserve"> and surrounding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2a2b2e"/>
          <w:highlight w:val="white"/>
          <w:rtl w:val="0"/>
        </w:rPr>
        <w:t xml:space="preserve"> is significantly lower than the average level), spatial outliers (where there is a significant difference in density between this </w:t>
      </w:r>
      <w:r w:rsidDel="00000000" w:rsidR="00000000" w:rsidRPr="00000000">
        <w:rPr>
          <w:rFonts w:ascii="Times New Roman" w:cs="Times New Roman" w:eastAsia="Times New Roman" w:hAnsi="Times New Roman"/>
          <w:rtl w:val="0"/>
        </w:rPr>
        <w:t xml:space="preserve">neighbourhood</w:t>
      </w:r>
      <w:r w:rsidDel="00000000" w:rsidR="00000000" w:rsidRPr="00000000">
        <w:rPr>
          <w:rFonts w:ascii="Times New Roman" w:cs="Times New Roman" w:eastAsia="Times New Roman" w:hAnsi="Times New Roman"/>
          <w:color w:val="2a2b2e"/>
          <w:highlight w:val="white"/>
          <w:rtl w:val="0"/>
        </w:rPr>
        <w:t xml:space="preserve"> and surrounding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2a2b2e"/>
          <w:highlight w:val="white"/>
          <w:rtl w:val="0"/>
        </w:rPr>
        <w:t xml:space="preserve">), and areas with no statistical significance. This helps to precisely identify the specific geographical locations where the distribution of CafeTO resources is unequal among various </w:t>
      </w:r>
      <w:r w:rsidDel="00000000" w:rsidR="00000000" w:rsidRPr="00000000">
        <w:rPr>
          <w:rFonts w:ascii="Times New Roman" w:cs="Times New Roman" w:eastAsia="Times New Roman" w:hAnsi="Times New Roman"/>
          <w:rtl w:val="0"/>
        </w:rPr>
        <w:t xml:space="preserve">neighbourhoods</w:t>
      </w:r>
      <w:r w:rsidDel="00000000" w:rsidR="00000000" w:rsidRPr="00000000">
        <w:rPr>
          <w:rFonts w:ascii="Times New Roman" w:cs="Times New Roman" w:eastAsia="Times New Roman" w:hAnsi="Times New Roman"/>
          <w:color w:val="2a2b2e"/>
          <w:highlight w:val="white"/>
          <w:rtl w:val="0"/>
        </w:rPr>
        <w:t xml:space="preserve"> in Toronto. In the specific calculation, the number of CafeTO permits per 1,000 residents is also used as a variable.</w:t>
      </w:r>
      <w:r w:rsidDel="00000000" w:rsidR="00000000" w:rsidRPr="00000000">
        <w:rPr>
          <w:rtl w:val="0"/>
        </w:rPr>
      </w:r>
    </w:p>
    <w:p w:rsidR="00000000" w:rsidDel="00000000" w:rsidP="00000000" w:rsidRDefault="00000000" w:rsidRPr="00000000" w14:paraId="00000056">
      <w:pPr>
        <w:keepNext w:val="0"/>
        <w:keepLines w:val="0"/>
        <w:widowControl w:val="1"/>
        <w:jc w:val="both"/>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57">
      <w:pPr>
        <w:keepNext w:val="0"/>
        <w:keepLines w:val="0"/>
        <w:widowControl w:val="1"/>
        <w:jc w:val="both"/>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58">
      <w:pPr>
        <w:keepNext w:val="0"/>
        <w:keepLines w:val="0"/>
        <w:widowControl w:val="1"/>
        <w:jc w:val="both"/>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Spatially Constrained Clustering</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After LISA identified which neighbourhoods had clustering phenomena, we plan to use spatially constrained clustering for further analysis. This method takes into account both the number of CaféTO </w:t>
      </w:r>
      <w:r w:rsidDel="00000000" w:rsidR="00000000" w:rsidRPr="00000000">
        <w:rPr>
          <w:rFonts w:ascii="Times New Roman" w:cs="Times New Roman" w:eastAsia="Times New Roman" w:hAnsi="Times New Roman"/>
          <w:color w:val="2a2b2e"/>
          <w:highlight w:val="white"/>
          <w:rtl w:val="0"/>
        </w:rPr>
        <w:t xml:space="preserve">permits</w:t>
      </w:r>
      <w:r w:rsidDel="00000000" w:rsidR="00000000" w:rsidRPr="00000000">
        <w:rPr>
          <w:rFonts w:ascii="Times New Roman" w:cs="Times New Roman" w:eastAsia="Times New Roman" w:hAnsi="Times New Roman"/>
          <w:color w:val="3b3a3b"/>
          <w:rtl w:val="0"/>
        </w:rPr>
        <w:t xml:space="preserve"> per 1,000 residents and the median household income, grouping neighbourhoods that are geographically adjacent but have similar situations into one group. The difference from ordinary clustering is that it requires that the neighbourhoods within the same group must be adjacent. In this way, we can directly see on the map which contiguously clustered areas have both high-income and high-density or low-income and low-density situations, more intuitively reflecting the inequality in resource allocation.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3b3a3b"/>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3b3a3b"/>
          <w:sz w:val="34"/>
          <w:szCs w:val="34"/>
        </w:rPr>
      </w:pPr>
      <w:r w:rsidDel="00000000" w:rsidR="00000000" w:rsidRPr="00000000">
        <w:rPr>
          <w:rFonts w:ascii="Times New Roman" w:cs="Times New Roman" w:eastAsia="Times New Roman" w:hAnsi="Times New Roman"/>
          <w:color w:val="3b3a3b"/>
          <w:rtl w:val="0"/>
        </w:rPr>
        <w:t xml:space="preserve">​​</w:t>
      </w:r>
      <w:sdt>
        <w:sdtPr>
          <w:id w:val="-1447861528"/>
          <w:tag w:val="goog_rdk_3"/>
        </w:sdtPr>
        <w:sdtContent>
          <w:commentRangeStart w:id="3"/>
        </w:sdtContent>
      </w:sdt>
      <w:r w:rsidDel="00000000" w:rsidR="00000000" w:rsidRPr="00000000">
        <w:rPr>
          <w:rFonts w:ascii="Times New Roman" w:cs="Times New Roman" w:eastAsia="Times New Roman" w:hAnsi="Times New Roman"/>
          <w:b w:val="1"/>
          <w:bCs w:val="1"/>
          <w:color w:val="3b3a3b"/>
          <w:sz w:val="34"/>
          <w:szCs w:val="34"/>
          <w:rtl w:val="0"/>
        </w:rPr>
        <w:t xml:space="preserve">4. Methodology and Justification</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color w:val="3b3a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jc w:val="both"/>
        <w:rPr>
          <w:rFonts w:ascii="Times New Roman" w:cs="Times New Roman" w:eastAsia="Times New Roman" w:hAnsi="Times New Roman"/>
          <w:color w:val="3b3a3b"/>
          <w:sz w:val="26"/>
          <w:szCs w:val="26"/>
        </w:rPr>
      </w:pPr>
      <w:bookmarkStart w:colFirst="0" w:colLast="0" w:name="_heading=h.xktre08sfub7" w:id="12"/>
      <w:bookmarkEnd w:id="12"/>
      <w:r w:rsidDel="00000000" w:rsidR="00000000" w:rsidRPr="00000000">
        <w:rPr>
          <w:rFonts w:ascii="Times New Roman" w:cs="Times New Roman" w:eastAsia="Times New Roman" w:hAnsi="Times New Roman"/>
          <w:color w:val="3b3a3b"/>
          <w:sz w:val="26"/>
          <w:szCs w:val="26"/>
          <w:rtl w:val="0"/>
        </w:rPr>
        <w:t xml:space="preserve">4.1 Spatial Weights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In this study, Queen contiguity weights are used to define spatial relationships between neighbourhoods. Under this approach, two neighbourhoods are considered neighbours if they share either a common boundary or a vertex. This definition is appropriate for polygon-based spatial units, as it captures spatial adjacency more comprehensively than Rook contiguity.</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All spatial weights are row-standardized so that the weights of neighbouring units sum to 1 for each observation. This ensures comparability across neighbourhoods with different numbers of neighbours.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color w:val="3b3a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jc w:val="both"/>
        <w:rPr>
          <w:rFonts w:ascii="Times New Roman" w:cs="Times New Roman" w:eastAsia="Times New Roman" w:hAnsi="Times New Roman"/>
          <w:color w:val="3b3a3b"/>
          <w:sz w:val="26"/>
          <w:szCs w:val="26"/>
        </w:rPr>
      </w:pPr>
      <w:bookmarkStart w:colFirst="0" w:colLast="0" w:name="_heading=h.n9s4vqldlgen" w:id="13"/>
      <w:bookmarkEnd w:id="13"/>
      <w:r w:rsidDel="00000000" w:rsidR="00000000" w:rsidRPr="00000000">
        <w:rPr>
          <w:rFonts w:ascii="Times New Roman" w:cs="Times New Roman" w:eastAsia="Times New Roman" w:hAnsi="Times New Roman"/>
          <w:color w:val="3b3a3b"/>
          <w:sz w:val="26"/>
          <w:szCs w:val="26"/>
          <w:rtl w:val="0"/>
        </w:rPr>
        <w:t xml:space="preserve">4.2 Global Spatial Autocorrelation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Global Moran’s I is used to assess whether CaféTO permit density exhibits spatial autocorrelation across neighbourhoods. Specifically, it tests whether similar values (either high or low CaféTO density) are more spatially clustered than would be expected under a random distribution.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A significantly positive Moran’s I indicates clustering of similar values (high-high or low-low), while a significantly negative value suggests spatial dispersion. This step allows us to formally evaluate whether the observed spatial pattern is non-random.</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color w:val="3b3a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jc w:val="both"/>
        <w:rPr>
          <w:rFonts w:ascii="Times New Roman" w:cs="Times New Roman" w:eastAsia="Times New Roman" w:hAnsi="Times New Roman"/>
          <w:color w:val="3b3a3b"/>
          <w:sz w:val="26"/>
          <w:szCs w:val="26"/>
        </w:rPr>
      </w:pPr>
      <w:bookmarkStart w:colFirst="0" w:colLast="0" w:name="_heading=h.vxwq2ogu984j" w:id="14"/>
      <w:bookmarkEnd w:id="14"/>
      <w:r w:rsidDel="00000000" w:rsidR="00000000" w:rsidRPr="00000000">
        <w:rPr>
          <w:rFonts w:ascii="Times New Roman" w:cs="Times New Roman" w:eastAsia="Times New Roman" w:hAnsi="Times New Roman"/>
          <w:color w:val="3b3a3b"/>
          <w:sz w:val="26"/>
          <w:szCs w:val="26"/>
          <w:rtl w:val="0"/>
        </w:rPr>
        <w:t xml:space="preserve">4.3 Local Spatial Autocorrelation (LISA)</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Local Indicators of Spatial Association (LISA) are used to identify the location of local spatial clusters and outliers. Each neighbourhood is classified into one of four categories: high-high (high values surrounded by high values), low-low (low values surroundwaed by low values), high-low, and low-high spatial outliers.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This analysis helps locate specific areas where CaféTO density is significantly higher or lower than expected relative to neighbouring areas, providing a more detailed view of the spatial structure identified by Moran’s I.</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color w:val="3b3a3b"/>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jc w:val="both"/>
        <w:rPr>
          <w:rFonts w:ascii="Times New Roman" w:cs="Times New Roman" w:eastAsia="Times New Roman" w:hAnsi="Times New Roman"/>
          <w:color w:val="3b3a3b"/>
          <w:sz w:val="26"/>
          <w:szCs w:val="26"/>
        </w:rPr>
      </w:pPr>
      <w:bookmarkStart w:colFirst="0" w:colLast="0" w:name="_heading=h.nzi78rk5ck43" w:id="15"/>
      <w:bookmarkEnd w:id="15"/>
      <w:r w:rsidDel="00000000" w:rsidR="00000000" w:rsidRPr="00000000">
        <w:rPr>
          <w:rFonts w:ascii="Times New Roman" w:cs="Times New Roman" w:eastAsia="Times New Roman" w:hAnsi="Times New Roman"/>
          <w:color w:val="3b3a3b"/>
          <w:sz w:val="26"/>
          <w:szCs w:val="26"/>
          <w:rtl w:val="0"/>
        </w:rPr>
        <w:t xml:space="preserve">4.4 Spatially Constrained Clustering</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To further explore spatial patterns, we apply spatially constrained clustering, which groups neighbouring areas into contiguous regions based on similarity in selected variables. In this study, clustering is based on CaféTO permit density and median household income.</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Before clustering, variables are standardized to ensure comparability. The number of clusters will be selected based on interpretability and balance between within-cluster similarity and between-cluster differences.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color w:val="3b3a3b"/>
        </w:rPr>
      </w:pPr>
      <w:r w:rsidDel="00000000" w:rsidR="00000000" w:rsidRPr="00000000">
        <w:rPr>
          <w:rFonts w:ascii="Times New Roman" w:cs="Times New Roman" w:eastAsia="Times New Roman" w:hAnsi="Times New Roman"/>
          <w:color w:val="3b3a3b"/>
          <w:rtl w:val="0"/>
        </w:rPr>
        <w:t xml:space="preserve">Unlike conventional clustering methods, spatially constrained clustering ensures that all neighbourhoods within a cluster are geographically contiguous. This allows us to identify spatially coherent regions with similar characteristics.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color w:val="3b3a3b"/>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1"/>
        <w:spacing w:after="240" w:before="240" w:lineRule="auto"/>
        <w:jc w:val="both"/>
        <w:rPr>
          <w:sz w:val="26"/>
          <w:szCs w:val="26"/>
        </w:rPr>
      </w:pPr>
      <w:bookmarkStart w:colFirst="0" w:colLast="0" w:name="_heading=h.bm529lo0hczj" w:id="16"/>
      <w:bookmarkEnd w:id="16"/>
      <w:r w:rsidDel="00000000" w:rsidR="00000000" w:rsidRPr="00000000">
        <w:rPr>
          <w:sz w:val="26"/>
          <w:szCs w:val="26"/>
          <w:rtl w:val="0"/>
        </w:rPr>
        <w:t xml:space="preserve">5. Expected Challenges, Limitations, and Contingency Plans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expect to run into a few practical issues during this project, and here is how we plan to deal with them.</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spacing w:after="240" w:before="240" w:lineRule="auto"/>
        <w:jc w:val="both"/>
        <w:rPr>
          <w:rFonts w:ascii="Times New Roman" w:cs="Times New Roman" w:eastAsia="Times New Roman" w:hAnsi="Times New Roman"/>
          <w:b w:val="0"/>
          <w:bCs w:val="0"/>
          <w:sz w:val="26"/>
          <w:szCs w:val="26"/>
        </w:rPr>
      </w:pPr>
      <w:bookmarkStart w:colFirst="0" w:colLast="0" w:name="_heading=h.uiunocueuux4" w:id="17"/>
      <w:bookmarkEnd w:id="17"/>
      <w:r w:rsidDel="00000000" w:rsidR="00000000" w:rsidRPr="00000000">
        <w:rPr>
          <w:rFonts w:ascii="Times New Roman" w:cs="Times New Roman" w:eastAsia="Times New Roman" w:hAnsi="Times New Roman"/>
          <w:b w:val="0"/>
          <w:bCs w:val="0"/>
          <w:sz w:val="26"/>
          <w:szCs w:val="26"/>
          <w:rtl w:val="0"/>
        </w:rPr>
        <w:t xml:space="preserve">5.1 The Neighbourhood Boundary Problem (MAUP) </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CaféTO is a policy implemented in Toronto, we use 158 neighbourhoods from Open Data Toronto as our spatial units. However, these boundaries were set by the municipal government for social planning purposes, not based on the actual distribution of CaféTO permits or commercial activity. This means that  maybe two cafés on the same commercial street could end up in different neighbourhoods simply because of where the boundary falls.</w:t>
      </w:r>
      <w:r w:rsidDel="00000000" w:rsidR="00000000" w:rsidRPr="00000000">
        <w:rPr>
          <w:rtl w:val="0"/>
        </w:rPr>
      </w:r>
    </w:p>
    <w:p w:rsidR="00000000" w:rsidDel="00000000" w:rsidP="00000000" w:rsidRDefault="00000000" w:rsidRPr="00000000" w14:paraId="00000075">
      <w:pPr>
        <w:numPr>
          <w:ilvl w:val="0"/>
          <w:numId w:val="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Plan: </w:t>
      </w:r>
      <w:r w:rsidDel="00000000" w:rsidR="00000000" w:rsidRPr="00000000">
        <w:rPr>
          <w:rFonts w:ascii="Times New Roman" w:cs="Times New Roman" w:eastAsia="Times New Roman" w:hAnsi="Times New Roman"/>
          <w:rtl w:val="0"/>
        </w:rPr>
        <w:t xml:space="preserve">If it is found that our clustering area does not match the known commercial streets in Toronto, such as Queen West Street and Ossington Avenue, we will switch to the "Dissemination Areas" (DA), which is a more refined spatial scale, for re-analysis. If the two results are similar, it indicates that our discovery is reliable. If there are significant differences, we will discuss the impact of boundary selection in the final report.</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after="240" w:before="240" w:lineRule="auto"/>
        <w:rPr>
          <w:rFonts w:ascii="Times New Roman" w:cs="Times New Roman" w:eastAsia="Times New Roman" w:hAnsi="Times New Roman"/>
          <w:b w:val="0"/>
          <w:bCs w:val="0"/>
          <w:color w:val="2a2b2e"/>
          <w:sz w:val="26"/>
          <w:szCs w:val="26"/>
          <w:highlight w:val="white"/>
        </w:rPr>
      </w:pPr>
      <w:bookmarkStart w:colFirst="0" w:colLast="0" w:name="_heading=h.1oe167hbmwi" w:id="18"/>
      <w:bookmarkEnd w:id="18"/>
      <w:r w:rsidDel="00000000" w:rsidR="00000000" w:rsidRPr="00000000">
        <w:rPr>
          <w:rFonts w:ascii="Times New Roman" w:cs="Times New Roman" w:eastAsia="Times New Roman" w:hAnsi="Times New Roman"/>
          <w:b w:val="0"/>
          <w:bCs w:val="0"/>
          <w:sz w:val="26"/>
          <w:szCs w:val="26"/>
          <w:rtl w:val="0"/>
        </w:rPr>
        <w:t xml:space="preserve">5.2 </w:t>
      </w:r>
      <w:r w:rsidDel="00000000" w:rsidR="00000000" w:rsidRPr="00000000">
        <w:rPr>
          <w:rFonts w:ascii="Times New Roman" w:cs="Times New Roman" w:eastAsia="Times New Roman" w:hAnsi="Times New Roman"/>
          <w:b w:val="0"/>
          <w:bCs w:val="0"/>
          <w:color w:val="2a2b2e"/>
          <w:sz w:val="26"/>
          <w:szCs w:val="26"/>
          <w:highlight w:val="white"/>
          <w:rtl w:val="0"/>
        </w:rPr>
        <w:t xml:space="preserve">The possible misjudgment caused by a zero value</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 aim to investigate is the spatial correlation between income and the distribution of CaféTO permits. However, in the data, there are 32 out of 158 neighbourhoods where the number of CaféTO permits is zero, accounting for approximately 20%. The problem is that these zero values do not necessarily indicate that the income is low; rather, it is likely that those neighbourhoods are purely residential areas with no commercial activities.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analysis results show that areas with low CaféTO density and low income overlap spatially, we cannot directly determine whether it is the low income that leads to fewer CaféTO permits, or whether there are no CaféTO permits because the area is originally a residential zone and thus has no commercial activities. This confusion will affect our judgment of the research question.</w:t>
      </w:r>
      <w:r w:rsidDel="00000000" w:rsidR="00000000" w:rsidRPr="00000000">
        <w:rPr>
          <w:rtl w:val="0"/>
        </w:rPr>
      </w:r>
    </w:p>
    <w:p w:rsidR="00000000" w:rsidDel="00000000" w:rsidP="00000000" w:rsidRDefault="00000000" w:rsidRPr="00000000" w14:paraId="0000007A">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Plan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If this issue is relatively obvious in the analysis, we will consider using the land use zoning Data of Open Data Toronto, retaining only the neighbourhoods with commercial zoning for the analysis. In this way, the result can more truly reflect the relationship between income and the distribution of CaféTO permits.</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spacing w:after="240" w:before="240" w:lineRule="auto"/>
        <w:rPr>
          <w:rFonts w:ascii="Times New Roman" w:cs="Times New Roman" w:eastAsia="Times New Roman" w:hAnsi="Times New Roman"/>
          <w:b w:val="0"/>
          <w:bCs w:val="0"/>
          <w:sz w:val="26"/>
          <w:szCs w:val="26"/>
        </w:rPr>
      </w:pPr>
      <w:bookmarkStart w:colFirst="0" w:colLast="0" w:name="_heading=h.79ja7sqec87u" w:id="19"/>
      <w:bookmarkEnd w:id="19"/>
      <w:r w:rsidDel="00000000" w:rsidR="00000000" w:rsidRPr="00000000">
        <w:rPr>
          <w:rFonts w:ascii="Times New Roman" w:cs="Times New Roman" w:eastAsia="Times New Roman" w:hAnsi="Times New Roman"/>
          <w:b w:val="0"/>
          <w:bCs w:val="0"/>
          <w:sz w:val="26"/>
          <w:szCs w:val="26"/>
          <w:rtl w:val="0"/>
        </w:rPr>
        <w:t xml:space="preserve">5.3 Ecological Fallacy </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using neighbourhood-level median household income data, but this does not necessarily represent the actual income of the people who live in or use CaféTO spaces. Our findings describe spatial patterns at the neighbourhood level, meaning we can say something about how CaféTO permits are distributed relative to neighbourhood wealth, but we cannot make any claims about individual behaviour.</w:t>
      </w:r>
    </w:p>
    <w:p w:rsidR="00000000" w:rsidDel="00000000" w:rsidP="00000000" w:rsidRDefault="00000000" w:rsidRPr="00000000" w14:paraId="0000007E">
      <w:pPr>
        <w:numPr>
          <w:ilvl w:val="0"/>
          <w:numId w:val="4"/>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Contingency Plan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We will make this clear in the final report and avoid overstating the findings beyond the neighbourhood level.</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240" w:lineRule="auto"/>
        <w:rPr>
          <w:rFonts w:ascii="Times New Roman" w:cs="Times New Roman" w:eastAsia="Times New Roman" w:hAnsi="Times New Roman"/>
          <w:sz w:val="34"/>
          <w:szCs w:val="34"/>
        </w:rPr>
      </w:pPr>
      <w:bookmarkStart w:colFirst="0" w:colLast="0" w:name="_heading=h.97187qj17oxi" w:id="20"/>
      <w:bookmarkEnd w:id="20"/>
      <w:sdt>
        <w:sdtPr>
          <w:id w:val="368480282"/>
          <w:tag w:val="goog_rdk_4"/>
        </w:sdtPr>
        <w:sdtContent>
          <w:commentRangeStart w:id="4"/>
        </w:sdtContent>
      </w:sdt>
      <w:r w:rsidDel="00000000" w:rsidR="00000000" w:rsidRPr="00000000">
        <w:rPr>
          <w:rFonts w:ascii="Times New Roman" w:cs="Times New Roman" w:eastAsia="Times New Roman" w:hAnsi="Times New Roman"/>
          <w:sz w:val="34"/>
          <w:szCs w:val="34"/>
          <w:rtl w:val="0"/>
        </w:rPr>
        <w:t xml:space="preserve">5. Expected Challenges, Limitations, and Contingency Plans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may encounter several methodological and data-related limitations. The following issues and corresponding strategies are identified in advance.</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rPr>
          <w:rFonts w:ascii="Times New Roman" w:cs="Times New Roman" w:eastAsia="Times New Roman" w:hAnsi="Times New Roman"/>
          <w:sz w:val="26"/>
          <w:szCs w:val="26"/>
        </w:rPr>
      </w:pPr>
      <w:bookmarkStart w:colFirst="0" w:colLast="0" w:name="_heading=h.an34z12cke09" w:id="21"/>
      <w:bookmarkEnd w:id="21"/>
      <w:r w:rsidDel="00000000" w:rsidR="00000000" w:rsidRPr="00000000">
        <w:rPr>
          <w:rFonts w:ascii="Times New Roman" w:cs="Times New Roman" w:eastAsia="Times New Roman" w:hAnsi="Times New Roman"/>
          <w:sz w:val="26"/>
          <w:szCs w:val="26"/>
          <w:rtl w:val="0"/>
        </w:rPr>
        <w:t xml:space="preserve">5.1 Modifiable Areal Unit Problem (MAUP)</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is conducted using the 158 Social Planning Neighbourhoods defined by the City of Toronto. However, these administrative boundaries are not designed based on the spatial distribution of CaféTO permits or commercial activity. As a result, spatial patterns may be influenced by the choice of spatial unit.</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restaurants located along the same commercial corridor may fall into different neighbourhoods due to boundary definitions, which can affect the observed clustering patterns.</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assess the sensitivity of our results to spatial scale, we will conduct a supplementary analysis using Dissemination Areas (DA), which represent a finer spatial resolution. The results from both spatial scales will be compared to evaluate whether the identified spatial patterns are consistent across different levels of aggregation.</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rPr>
          <w:rFonts w:ascii="Times New Roman" w:cs="Times New Roman" w:eastAsia="Times New Roman" w:hAnsi="Times New Roman"/>
          <w:sz w:val="26"/>
          <w:szCs w:val="26"/>
        </w:rPr>
      </w:pPr>
      <w:bookmarkStart w:colFirst="0" w:colLast="0" w:name="_heading=h.u3lvj1in66ih" w:id="22"/>
      <w:bookmarkEnd w:id="22"/>
      <w:r w:rsidDel="00000000" w:rsidR="00000000" w:rsidRPr="00000000">
        <w:rPr>
          <w:rFonts w:ascii="Times New Roman" w:cs="Times New Roman" w:eastAsia="Times New Roman" w:hAnsi="Times New Roman"/>
          <w:sz w:val="26"/>
          <w:szCs w:val="26"/>
          <w:rtl w:val="0"/>
        </w:rPr>
        <w:t xml:space="preserve">5.2 Zero-Value Neighbourhoods and Land Use Context</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portion of neighbourhoods in the dataset have zero CaféTO permits. These zero values do not necessarily reflect low economic activity or low income, but may instead indicate areas with primarily residential land use and limited commercial presence.</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introduces a potential bias when interpreting the relationship between CaféTO density and income, as the absence of permits may be driven by land use rather than socioeconomic conditions.</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issue, we will incorporate land use information (if available) to contextualize neighbourhoods with zero values. This allows for a more accurate interpretation of whether observed patterns are associated with economic factors or structural characteristics of urban space.</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rPr>
          <w:rFonts w:ascii="Times New Roman" w:cs="Times New Roman" w:eastAsia="Times New Roman" w:hAnsi="Times New Roman"/>
          <w:sz w:val="26"/>
          <w:szCs w:val="26"/>
        </w:rPr>
      </w:pPr>
      <w:bookmarkStart w:colFirst="0" w:colLast="0" w:name="_heading=h.cdf1d0mhqd1z" w:id="23"/>
      <w:bookmarkEnd w:id="23"/>
      <w:r w:rsidDel="00000000" w:rsidR="00000000" w:rsidRPr="00000000">
        <w:rPr>
          <w:rFonts w:ascii="Times New Roman" w:cs="Times New Roman" w:eastAsia="Times New Roman" w:hAnsi="Times New Roman"/>
          <w:sz w:val="26"/>
          <w:szCs w:val="26"/>
          <w:rtl w:val="0"/>
        </w:rPr>
        <w:t xml:space="preserve">5.3 Ecological Fallacy</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neighbourhood-level median household income as a proxy for socioeconomic conditions. However, this aggregated measure does not represent individual-level income or behaviour.</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any relationships identified in this study should be interpreted at the neighbourhood level only. The analysis does not allow for conclusions about individual decision-making or behaviour.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1"/>
        <w:rPr>
          <w:sz w:val="26"/>
          <w:szCs w:val="26"/>
        </w:rPr>
      </w:pPr>
      <w:r w:rsidDel="00000000" w:rsidR="00000000" w:rsidRPr="00000000">
        <w:rPr>
          <w:rtl w:val="0"/>
        </w:rPr>
      </w:r>
    </w:p>
    <w:p w:rsidR="00000000" w:rsidDel="00000000" w:rsidP="00000000" w:rsidRDefault="00000000" w:rsidRPr="00000000" w14:paraId="00000093">
      <w:pPr>
        <w:pStyle w:val="Heading1"/>
        <w:rPr>
          <w:sz w:val="26"/>
          <w:szCs w:val="26"/>
        </w:rPr>
      </w:pPr>
      <w:r w:rsidDel="00000000" w:rsidR="00000000" w:rsidRPr="00000000">
        <w:rPr>
          <w:rtl w:val="0"/>
        </w:rPr>
      </w:r>
    </w:p>
    <w:p w:rsidR="00000000" w:rsidDel="00000000" w:rsidP="00000000" w:rsidRDefault="00000000" w:rsidRPr="00000000" w14:paraId="00000094">
      <w:pPr>
        <w:pStyle w:val="Heading1"/>
        <w:rPr>
          <w:sz w:val="26"/>
          <w:szCs w:val="26"/>
        </w:rPr>
      </w:pPr>
      <w:r w:rsidDel="00000000" w:rsidR="00000000" w:rsidRPr="00000000">
        <w:rPr>
          <w:rtl w:val="0"/>
        </w:rPr>
      </w:r>
    </w:p>
    <w:p w:rsidR="00000000" w:rsidDel="00000000" w:rsidP="00000000" w:rsidRDefault="00000000" w:rsidRPr="00000000" w14:paraId="00000095">
      <w:pPr>
        <w:pStyle w:val="Heading1"/>
        <w:rPr>
          <w:sz w:val="26"/>
          <w:szCs w:val="26"/>
        </w:rPr>
      </w:pPr>
      <w:r w:rsidDel="00000000" w:rsidR="00000000" w:rsidRPr="00000000">
        <w:rPr>
          <w:sz w:val="26"/>
          <w:szCs w:val="26"/>
          <w:rtl w:val="0"/>
        </w:rPr>
        <w:t xml:space="preserve">6. Data Sources &amp; Spatial Units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spatial unit for this study is the 158 Social Planning Neighbourhoods defined by the City of Toronto. “ before esda figures “ </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2a2b2e"/>
          <w:sz w:val="26"/>
          <w:szCs w:val="26"/>
          <w:highlight w:val="whit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2a2b2e"/>
          <w:sz w:val="26"/>
          <w:szCs w:val="26"/>
          <w:highlight w:val="whit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2a2b2e"/>
          <w:sz w:val="26"/>
          <w:szCs w:val="26"/>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color w:val="2a2b2e"/>
          <w:highlight w:val="white"/>
        </w:rPr>
      </w:pPr>
      <w:r w:rsidDel="00000000" w:rsidR="00000000" w:rsidRPr="00000000">
        <w:rPr>
          <w:rFonts w:ascii="Times New Roman" w:cs="Times New Roman" w:eastAsia="Times New Roman" w:hAnsi="Times New Roman"/>
          <w:b w:val="1"/>
          <w:bCs w:val="1"/>
          <w:color w:val="2a2b2e"/>
          <w:sz w:val="26"/>
          <w:szCs w:val="26"/>
          <w:highlight w:val="white"/>
          <w:rtl w:val="0"/>
        </w:rPr>
        <w:t xml:space="preserve">6.1 Toronto Neighbourhoods Boundary</w:t>
      </w:r>
      <w:r w:rsidDel="00000000" w:rsidR="00000000" w:rsidRPr="00000000">
        <w:rPr>
          <w:rFonts w:ascii="Times New Roman" w:cs="Times New Roman" w:eastAsia="Times New Roman" w:hAnsi="Times New Roman"/>
          <w:b w:val="1"/>
          <w:bCs w:val="1"/>
          <w:color w:val="2a2b2e"/>
          <w:highlight w:val="white"/>
          <w:rtl w:val="0"/>
        </w:rPr>
        <w:t xml:space="preserve"> </w:t>
      </w:r>
    </w:p>
    <w:p w:rsidR="00000000" w:rsidDel="00000000" w:rsidP="00000000" w:rsidRDefault="00000000" w:rsidRPr="00000000" w14:paraId="0000009B">
      <w:pPr>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color w:val="2a2b2e"/>
          <w:highlight w:val="white"/>
          <w:rtl w:val="0"/>
        </w:rPr>
        <w:t xml:space="preserve">Vector boundary data for the 158 neighbourhoods, obtained from Open Data Toronto (City of Toronto, 2010).</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561975</wp:posOffset>
            </wp:positionV>
            <wp:extent cx="5274000" cy="3721100"/>
            <wp:effectExtent b="0" l="0" r="0" t="0"/>
            <wp:wrapNone/>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74000" cy="3721100"/>
                    </a:xfrm>
                    <a:prstGeom prst="rect"/>
                    <a:ln/>
                  </pic:spPr>
                </pic:pic>
              </a:graphicData>
            </a:graphic>
          </wp:anchor>
        </w:drawing>
      </w:r>
    </w:p>
    <w:p w:rsidR="00000000" w:rsidDel="00000000" w:rsidP="00000000" w:rsidRDefault="00000000" w:rsidRPr="00000000" w14:paraId="0000009C">
      <w:pPr>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color w:val="2a2b2e"/>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2a2b2e"/>
          <w:highlight w:val="whit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color w:val="2a2b2e"/>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color w:val="2a2b2e"/>
          <w:highlight w:val="white"/>
        </w:rPr>
      </w:pPr>
      <w:r w:rsidDel="00000000" w:rsidR="00000000" w:rsidRPr="00000000">
        <w:rPr>
          <w:rFonts w:ascii="Times New Roman" w:cs="Times New Roman" w:eastAsia="Times New Roman" w:hAnsi="Times New Roman"/>
          <w:b w:val="1"/>
          <w:bCs w:val="1"/>
          <w:color w:val="2a2b2e"/>
          <w:highlight w:val="white"/>
          <w:rtl w:val="0"/>
        </w:rPr>
        <w:t xml:space="preserve">Figure 6</w:t>
      </w:r>
      <w:r w:rsidDel="00000000" w:rsidR="00000000" w:rsidRPr="00000000">
        <w:rPr>
          <w:rFonts w:ascii="Times New Roman" w:cs="Times New Roman" w:eastAsia="Times New Roman" w:hAnsi="Times New Roman"/>
          <w:color w:val="2a2b2e"/>
          <w:highlight w:val="white"/>
          <w:rtl w:val="0"/>
        </w:rPr>
        <w:t xml:space="preserve">. Toronto's 158 Social Planning Neighbourhoods</w:t>
      </w:r>
    </w:p>
    <w:p w:rsidR="00000000" w:rsidDel="00000000" w:rsidP="00000000" w:rsidRDefault="00000000" w:rsidRPr="00000000" w14:paraId="000000AB">
      <w:pPr>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2a2b2e"/>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Toronto Neighbourhood Profiles, 2021 Census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 attributes including population and median household income at the neighbourhood level, obtained from Open Data Toronto (City of Toronto, 2026). </w:t>
      </w:r>
      <w:sdt>
        <w:sdtPr>
          <w:id w:val="-39331765"/>
          <w:tag w:val="goog_rdk_5"/>
        </w:sdtPr>
        <w:sdtContent>
          <w:commentRangeStart w:id="5"/>
        </w:sdtContent>
      </w:sdt>
      <w:r w:rsidDel="00000000" w:rsidR="00000000" w:rsidRPr="00000000">
        <w:rPr>
          <w:rFonts w:ascii="Times New Roman" w:cs="Times New Roman" w:eastAsia="Times New Roman" w:hAnsi="Times New Roman"/>
          <w:rtl w:val="0"/>
        </w:rPr>
        <w:t xml:space="preserve">Table 1 shows a sample of the dataset used in the analysis.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sdt>
        <w:sdtPr>
          <w:id w:val="-1236602670"/>
          <w:tag w:val="goog_rdk_6"/>
        </w:sdtPr>
        <w:sdtContent>
          <w:commentRangeStart w:id="6"/>
        </w:sdtContent>
      </w:sdt>
      <w:r w:rsidDel="00000000" w:rsidR="00000000" w:rsidRPr="00000000">
        <w:rPr>
          <w:rFonts w:ascii="Times New Roman" w:cs="Times New Roman" w:eastAsia="Times New Roman" w:hAnsi="Times New Roman"/>
          <w:rtl w:val="0"/>
        </w:rPr>
        <w:t xml:space="preserve">Table 1: Sample of neighbourhood-level population and median household income data used in the analysis.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tl w:val="0"/>
        </w:rPr>
      </w:r>
    </w:p>
    <w:tbl>
      <w:tblPr>
        <w:tblStyle w:val="Table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370"/>
        <w:gridCol w:w="2760"/>
        <w:tblGridChange w:id="0">
          <w:tblGrid>
            <w:gridCol w:w="3165"/>
            <w:gridCol w:w="2370"/>
            <w:gridCol w:w="276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Neighbourhood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Population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Household Income (2020)</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Humber-Clairville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33,300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$92,000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 Olive-Silverstone-Jamestown</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31,345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$76,500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Thistletown-Beaumond Heights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9,850</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$86,000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Rexdale-Kipling</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10,375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$77,000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Elms-Old Rexdale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9,355</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$82,000</w:t>
            </w:r>
          </w:p>
        </w:tc>
      </w:tr>
    </w:tbl>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 CaféTO Locations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locations of CaféTO permits across Toronto, obtained from Open Data Toronto (City of Toronto, 2022).</w:t>
      </w: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E1">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Association of Business Improvement Areas (TABIA). (2022). </w:t>
      </w:r>
      <w:r w:rsidDel="00000000" w:rsidR="00000000" w:rsidRPr="00000000">
        <w:rPr>
          <w:rFonts w:ascii="Times New Roman" w:cs="Times New Roman" w:eastAsia="Times New Roman" w:hAnsi="Times New Roman"/>
          <w:i w:val="1"/>
          <w:iCs w:val="1"/>
          <w:rtl w:val="0"/>
        </w:rPr>
        <w:t xml:space="preserve">2022 CaféTO Impact Survey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City of Toronto. (2010). </w:t>
      </w:r>
      <w:r w:rsidDel="00000000" w:rsidR="00000000" w:rsidRPr="00000000">
        <w:rPr>
          <w:rFonts w:ascii="Times New Roman" w:cs="Times New Roman" w:eastAsia="Times New Roman" w:hAnsi="Times New Roman"/>
          <w:i w:val="1"/>
          <w:iCs w:val="1"/>
          <w:rtl w:val="0"/>
        </w:rPr>
        <w:t xml:space="preserve">Neighbourhoods</w:t>
      </w:r>
      <w:r w:rsidDel="00000000" w:rsidR="00000000" w:rsidRPr="00000000">
        <w:rPr>
          <w:rFonts w:ascii="Times New Roman" w:cs="Times New Roman" w:eastAsia="Times New Roman" w:hAnsi="Times New Roman"/>
          <w:rtl w:val="0"/>
        </w:rPr>
        <w:t xml:space="preserve">. Open Data Toronto.</w:t>
      </w:r>
      <w:hyperlink r:id="rId16">
        <w:r w:rsidDel="00000000" w:rsidR="00000000" w:rsidRPr="00000000">
          <w:rPr>
            <w:rFonts w:ascii="Times New Roman" w:cs="Times New Roman" w:eastAsia="Times New Roman" w:hAnsi="Times New Roman"/>
            <w:color w:val="1155cc"/>
            <w:u w:val="single"/>
            <w:rtl w:val="0"/>
          </w:rPr>
          <w:t xml:space="preserve">https://open.toronto.ca/dataset/neighbourhoods/</w:t>
        </w:r>
      </w:hyperlink>
      <w:r w:rsidDel="00000000" w:rsidR="00000000" w:rsidRPr="00000000">
        <w:rPr>
          <w:rtl w:val="0"/>
        </w:rPr>
      </w:r>
    </w:p>
    <w:p w:rsidR="00000000" w:rsidDel="00000000" w:rsidP="00000000" w:rsidRDefault="00000000" w:rsidRPr="00000000" w14:paraId="000000E3">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City of Toronto. (2026). </w:t>
      </w:r>
      <w:r w:rsidDel="00000000" w:rsidR="00000000" w:rsidRPr="00000000">
        <w:rPr>
          <w:rFonts w:ascii="Times New Roman" w:cs="Times New Roman" w:eastAsia="Times New Roman" w:hAnsi="Times New Roman"/>
          <w:i w:val="1"/>
          <w:iCs w:val="1"/>
          <w:rtl w:val="0"/>
        </w:rPr>
        <w:t xml:space="preserve">Neighbourhood Profiles</w:t>
      </w:r>
      <w:r w:rsidDel="00000000" w:rsidR="00000000" w:rsidRPr="00000000">
        <w:rPr>
          <w:rFonts w:ascii="Times New Roman" w:cs="Times New Roman" w:eastAsia="Times New Roman" w:hAnsi="Times New Roman"/>
          <w:rtl w:val="0"/>
        </w:rPr>
        <w:t xml:space="preserve">. Open Data Toronto.</w:t>
      </w:r>
      <w:hyperlink r:id="rId17">
        <w:r w:rsidDel="00000000" w:rsidR="00000000" w:rsidRPr="00000000">
          <w:rPr>
            <w:rFonts w:ascii="Times New Roman" w:cs="Times New Roman" w:eastAsia="Times New Roman" w:hAnsi="Times New Roman"/>
            <w:color w:val="1155cc"/>
            <w:u w:val="single"/>
            <w:rtl w:val="0"/>
          </w:rPr>
          <w:t xml:space="preserve">https://open.toronto.ca/dataset/neighbourhood-profiles/</w:t>
        </w:r>
      </w:hyperlink>
      <w:r w:rsidDel="00000000" w:rsidR="00000000" w:rsidRPr="00000000">
        <w:rPr>
          <w:rtl w:val="0"/>
        </w:rPr>
      </w:r>
    </w:p>
    <w:p w:rsidR="00000000" w:rsidDel="00000000" w:rsidP="00000000" w:rsidRDefault="00000000" w:rsidRPr="00000000" w14:paraId="000000E4">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City of Toronto. (2022). </w:t>
      </w:r>
      <w:r w:rsidDel="00000000" w:rsidR="00000000" w:rsidRPr="00000000">
        <w:rPr>
          <w:rFonts w:ascii="Times New Roman" w:cs="Times New Roman" w:eastAsia="Times New Roman" w:hAnsi="Times New Roman"/>
          <w:i w:val="1"/>
          <w:iCs w:val="1"/>
          <w:rtl w:val="0"/>
        </w:rPr>
        <w:t xml:space="preserve">CaféTO Locations</w:t>
      </w:r>
      <w:r w:rsidDel="00000000" w:rsidR="00000000" w:rsidRPr="00000000">
        <w:rPr>
          <w:rFonts w:ascii="Times New Roman" w:cs="Times New Roman" w:eastAsia="Times New Roman" w:hAnsi="Times New Roman"/>
          <w:rtl w:val="0"/>
        </w:rPr>
        <w:t xml:space="preserve">. Open Data Toronto.</w:t>
      </w:r>
      <w:hyperlink r:id="rId18">
        <w:r w:rsidDel="00000000" w:rsidR="00000000" w:rsidRPr="00000000">
          <w:rPr>
            <w:rFonts w:ascii="Times New Roman" w:cs="Times New Roman" w:eastAsia="Times New Roman" w:hAnsi="Times New Roman"/>
            <w:color w:val="1155cc"/>
            <w:u w:val="single"/>
            <w:rtl w:val="0"/>
          </w:rPr>
          <w:t xml:space="preserve">https://open.toronto.ca/dataset/cafeto-curb-lane-parklet-cafe-locations/</w:t>
        </w:r>
      </w:hyperlink>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rPr>
      </w:pPr>
      <w:r w:rsidDel="00000000" w:rsidR="00000000" w:rsidRPr="00000000">
        <w:rPr>
          <w:rtl w:val="0"/>
        </w:rPr>
      </w:r>
    </w:p>
    <w:sectPr>
      <w:footerReference r:id="rId19" w:type="default"/>
      <w:pgSz w:h="16838" w:w="11906" w:orient="portrait"/>
      <w:pgMar w:bottom="1440" w:top="1440" w:left="1800" w:right="1800"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son Low" w:id="1" w:date="2026-03-19T22:48:59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0378163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根據 ta的comment 改的</w:t>
          </w:r>
        </w:sdtContent>
      </w:sdt>
    </w:p>
  </w:comment>
  <w:comment w:author="Anson Low" w:id="4" w:date="2026-03-19T23:11:0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51578054"/>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根據ta的comment改</w:t>
          </w:r>
        </w:sdtContent>
      </w:sdt>
    </w:p>
  </w:comment>
  <w:comment w:author="Anson Low" w:id="3" w:date="2026-03-19T23:09:33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5201661"/>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根據ta的comment改的</w:t>
          </w:r>
        </w:sdtContent>
      </w:sdt>
    </w:p>
  </w:comment>
  <w:comment w:author="Anson Low" w:id="2" w:date="2026-03-19T22:57:13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672742"/>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根據ta要求改的</w:t>
          </w:r>
        </w:sdtContent>
      </w:sdt>
    </w:p>
  </w:comment>
  <w:comment w:author="Steven" w:id="5" w:date="2026-03-20T01:35:4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3795110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加的"is this a sample of the data?"</w:t>
          </w:r>
        </w:sdtContent>
      </w:sdt>
    </w:p>
  </w:comment>
  <w:comment w:author="Anson Low" w:id="0" w:date="2026-03-19T22:37:47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37188122"/>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根據ta的comment改的</w:t>
          </w:r>
        </w:sdtContent>
      </w:sdt>
    </w:p>
  </w:comment>
  <w:comment w:author="Steven" w:id="6" w:date="2026-03-20T01:33:3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9383403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我加了figure</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7" w15:done="0"/>
  <w15:commentEx w15:paraId="000000E8" w15:done="0"/>
  <w15:commentEx w15:paraId="000000E9" w15:done="0"/>
  <w15:commentEx w15:paraId="000000EA" w15:done="0"/>
  <w15:commentEx w15:paraId="000000EB" w15:done="0"/>
  <w15:commentEx w15:paraId="000000EC" w15:done="0"/>
  <w15:commentEx w15:paraId="000000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576"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6" w:default="1">
    <w:name w:val="Default Paragraph Font"/>
    <w:uiPriority w:val="0"/>
    <w:semiHidden w:val="1"/>
    <w:qFormat w:val="1"/>
  </w:style>
  <w:style w:type="table" w:styleId="5" w:default="1">
    <w:name w:val="Normal Table"/>
    <w:uiPriority w:val="0"/>
    <w:semiHidden w:val="1"/>
    <w:qFormat w:val="1"/>
    <w:tblPr>
      <w:tblCellMar>
        <w:top w:w="0.0" w:type="dxa"/>
        <w:left w:w="108.0" w:type="dxa"/>
        <w:bottom w:w="0.0" w:type="dxa"/>
        <w:right w:w="108.0" w:type="dxa"/>
      </w:tblCellMar>
    </w:tblPr>
  </w:style>
  <w:style w:type="paragraph" w:styleId="4">
    <w:name w:val="Normal (Web)"/>
    <w:basedOn w:val="1"/>
    <w:uiPriority w:val="0"/>
    <w:qFormat w:val="1"/>
    <w:pPr>
      <w:spacing w:after="0" w:afterAutospacing="1" w:before="0" w:beforeAutospacing="1"/>
      <w:ind w:left="0" w:right="0"/>
      <w:jc w:val="left"/>
    </w:pPr>
    <w:rPr>
      <w:kern w:val="0"/>
      <w:sz w:val="24"/>
      <w:lang w:bidi="ar" w:eastAsia="zh-CN" w:val="en-US"/>
    </w:rPr>
  </w:style>
  <w:style w:type="character" w:styleId="7">
    <w:name w:val="Hyperlink"/>
    <w:basedOn w:val="6"/>
    <w:uiPriority w:val="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yperlink" Target="https://open.toronto.ca/dataset/neighbourhood-profiles/" TargetMode="External"/><Relationship Id="rId16" Type="http://schemas.openxmlformats.org/officeDocument/2006/relationships/hyperlink" Target="https://open.toronto.ca/dataset/neighbourhoods/"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yperlink" Target="https://open.toronto.ca/dataset/cafeto-curb-lane-parklet-cafe-location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wKOzu2WzMmGLZQ04im3IO07UA==">CgMxLjAaJwoBMBIiCiAIBCocCgtBQUFCMk9VUHhNMBAIGgtBQUFCMk9VUHhNMBonCgExEiIKIAgEKhwKC0FBQUIyT1ZoQXg4EAgaC0FBQUIyT1ZoQXg4GicKATISIgogCAQqHAoLQUFBQjJPVmhBeUkQCBoLQUFBQjJPVmhBeUkaJwoBMxIiCiAIBCocCgtBQUFCMk9WaEF5YxAIGgtBQUFCMk9WaEF5YxonCgE0EiIKIAgEKhwKC0FBQUIyT1ZoQXlnEAgaC0FBQUIyT1ZoQXlnGicKATUSIgogCAQqHAoLQUFBQjJORE1oZGMQCBoLQUFBQjJORE1oZGMaJwoBNhIiCiAIBCocCgtBQUFCMk5ETWhkWRAIGgtBQUFCMk5ETWhkWR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2026-02-22T05:40:00Z</dcterms:created>
  <dc:creator>Leslie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98BD0502872E4F66A7DAA7210FAF66F5_11</vt:lpwstr>
  </property>
  <property fmtid="{D5CDD505-2E9C-101B-9397-08002B2CF9AE}" pid="4" name="KSOTemplateDocerSaveRecord">
    <vt:lpwstr>eyJoZGlkIjoiZjViMWMwMDdkODMwODQ0OGEyMGZhYzlkYmUxODNiNzUiLCJ1c2VySWQiOiIyNzg5NjkzNzAifQ==</vt:lpwstr>
  </property>
</Properties>
</file>