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Электрический пробой</w:t>
      </w:r>
    </w:p>
    <w:p>
      <w:pPr>
        <w:pStyle w:val="Subtitle"/>
      </w:pPr>
      <w:r>
        <w:t xml:space="preserve">Групповой проект</w:t>
      </w:r>
    </w:p>
    <w:p>
      <w:pPr>
        <w:pStyle w:val="Author"/>
      </w:pPr>
      <w:r>
        <w:t xml:space="preserve">Софич А.Г,Солдатов С.А,Чистов Д.М,Соловьев Б.М,Селиванов В.А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вводная-часть"/>
    <w:p>
      <w:pPr>
        <w:pStyle w:val="Heading1"/>
      </w:pPr>
      <w:r>
        <w:t xml:space="preserve">1. Вводная часть</w:t>
      </w:r>
    </w:p>
    <w:bookmarkStart w:id="20" w:name="цели-проекта-на-данном-этапе"/>
    <w:p>
      <w:pPr>
        <w:pStyle w:val="Heading2"/>
      </w:pPr>
      <w:r>
        <w:t xml:space="preserve">1.1 Цели проекта на данном этапе</w:t>
      </w:r>
    </w:p>
    <w:p>
      <w:pPr>
        <w:pStyle w:val="FirstParagraph"/>
      </w:pPr>
      <w:r>
        <w:t xml:space="preserve">Придумать и проработать алгоритмы по задачам проекта</w:t>
      </w:r>
    </w:p>
    <w:bookmarkEnd w:id="20"/>
    <w:bookmarkStart w:id="21" w:name="задачи-проекта"/>
    <w:p>
      <w:pPr>
        <w:pStyle w:val="Heading2"/>
      </w:pPr>
      <w:r>
        <w:t xml:space="preserve">1.2 Задачи проекта</w:t>
      </w:r>
    </w:p>
    <w:p>
      <w:pPr>
        <w:pStyle w:val="FirstParagraph"/>
      </w:pPr>
      <w:r>
        <w:t xml:space="preserve">Написать программу вычисления электрического потенциала итерационным методом.</w:t>
      </w:r>
    </w:p>
    <w:p>
      <w:pPr>
        <w:pStyle w:val="BodyText"/>
      </w:pPr>
      <w:r>
        <w:t xml:space="preserve">Рассмотреть пробой в геометрии</w:t>
      </w:r>
      <w:r>
        <w:t xml:space="preserve"> </w:t>
      </w:r>
      <w:r>
        <w:t xml:space="preserve">“острие– плоскость”</w:t>
      </w:r>
      <w:r>
        <w:t xml:space="preserve"> </w:t>
      </w:r>
      <w:r>
        <w:t xml:space="preserve">с использованием флуктуационного критерия роста.</w:t>
      </w:r>
    </w:p>
    <w:p>
      <w:pPr>
        <w:pStyle w:val="BodyText"/>
      </w:pPr>
      <w:r>
        <w:t xml:space="preserve">Рассмотреть пробой в геометрии</w:t>
      </w:r>
      <w:r>
        <w:t xml:space="preserve"> </w:t>
      </w:r>
      <w:r>
        <w:t xml:space="preserve">“точка– окружность”</w:t>
      </w:r>
      <w:r>
        <w:t xml:space="preserve">. Исследовать как меняется густота ветвей с радиусом стримерной структуры?</w:t>
      </w:r>
    </w:p>
    <w:bookmarkEnd w:id="21"/>
    <w:bookmarkEnd w:id="22"/>
    <w:bookmarkStart w:id="29" w:name="основная-часть"/>
    <w:p>
      <w:pPr>
        <w:pStyle w:val="Heading1"/>
      </w:pPr>
      <w:r>
        <w:t xml:space="preserve">2. Основная часть</w:t>
      </w:r>
    </w:p>
    <w:bookmarkStart w:id="23" w:name="Xe67f36745561f1d34c1fe230df72f63eef8151c"/>
    <w:p>
      <w:pPr>
        <w:pStyle w:val="Heading2"/>
      </w:pPr>
      <w:r>
        <w:t xml:space="preserve">2.1 Вычисление электирического потенциала интерационным методом</w:t>
      </w:r>
    </w:p>
    <w:p>
      <w:pPr>
        <w:pStyle w:val="FirstParagraph"/>
      </w:pPr>
      <w:r>
        <w:t xml:space="preserve">Для моделирования электрического поля в двумерной области решается уравнение Лапласа: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φ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— электрический потенциал.</w:t>
      </w:r>
    </w:p>
    <w:p>
      <w:pPr>
        <w:pStyle w:val="BodyText"/>
      </w:pPr>
      <w:r>
        <w:rPr>
          <w:b/>
          <w:bCs/>
        </w:rPr>
        <w:t xml:space="preserve">Граничные условия:</w:t>
      </w:r>
      <w:r>
        <w:t xml:space="preserve"> </w:t>
      </w:r>
      <w:r>
        <w:t xml:space="preserve">На острие (или точечном электроде) задаётся высокий потенциал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t xml:space="preserve">На плоскости (или окружности) задаётся нулевой потенциал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</w:p>
    <w:bookmarkEnd w:id="23"/>
    <w:bookmarkStart w:id="24" w:name="Xe1c89aadd51ef9a0da3af3249654d514184473b"/>
    <w:p>
      <w:pPr>
        <w:pStyle w:val="Heading2"/>
      </w:pPr>
      <w:r>
        <w:t xml:space="preserve">2.2 Вычисление электирического потенциала интерационным методом</w:t>
      </w:r>
    </w:p>
    <w:p>
      <w:pPr>
        <w:pStyle w:val="FirstParagraph"/>
      </w:pPr>
      <w:r>
        <w:rPr>
          <w:b/>
          <w:bCs/>
        </w:rPr>
        <w:t xml:space="preserve">Дискретизация:</w:t>
      </w:r>
      <w:r>
        <w:t xml:space="preserve"> </w:t>
      </w:r>
      <w:r>
        <w:t xml:space="preserve">Область разбивается на прямоугольную сетку с шагом</w:t>
      </w:r>
      <w:r>
        <w:t xml:space="preserve"> </w:t>
      </w:r>
      <m:oMath>
        <m:r>
          <m:t>h</m:t>
        </m:r>
      </m:oMath>
      <w:r>
        <w:t xml:space="preserve">. Потенциал в узле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обозначается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Итерационная схема (метод Якоби или Гаусса–Зейделя):</w:t>
      </w:r>
      <w:r>
        <w:t xml:space="preserve"> </w:t>
      </w:r>
      <w:r>
        <w:t xml:space="preserve">Для внутреннего узла потенциал пересчитывается как среднее арифметическое соседних узлов: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Итерации продолжаются до достижения сходимости, когда максимальное изменение потенциала между итерациями становится меньше заданной погрешности</w:t>
      </w:r>
      <w:r>
        <w:t xml:space="preserve"> </w:t>
      </w:r>
      <m:oMath>
        <m:r>
          <m:t>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d>
            <m:dPr>
              <m:begChr m:val="|"/>
              <m:sepChr m:val=""/>
              <m:endChr m:val="|"/>
              <m:grow/>
            </m:dPr>
            <m:e>
              <m:sSubSup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φ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  <m:sup>
                  <m:r>
                    <m:t>k</m:t>
                  </m:r>
                </m:sup>
              </m:sSubSup>
            </m:e>
          </m:d>
          <m:r>
            <m:rPr>
              <m:sty m:val="p"/>
            </m:rPr>
            <m:t>&lt;</m:t>
          </m:r>
          <m:r>
            <m:t>ε</m:t>
          </m:r>
        </m:oMath>
      </m:oMathPara>
    </w:p>
    <w:bookmarkEnd w:id="24"/>
    <w:bookmarkStart w:id="25" w:name="X932e5ea7e85aa7109ca8f77057a8150d29c274c"/>
    <w:p>
      <w:pPr>
        <w:pStyle w:val="Heading2"/>
      </w:pPr>
      <w:r>
        <w:t xml:space="preserve">2.3 Пробой в геометрии «остриё–плоскость» с флуктуационным критерием роста</w:t>
      </w:r>
    </w:p>
    <w:p>
      <w:pPr>
        <w:pStyle w:val="FirstParagraph"/>
      </w:pPr>
      <w:r>
        <w:t xml:space="preserve">После расчёта электрического поля определяется локальная напряжённость в каждой ячейке: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φ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φ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  <m: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φ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φ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  <m: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Флуктуационный критерий роста:</w:t>
      </w:r>
      <w:r>
        <w:t xml:space="preserve"> </w:t>
      </w:r>
      <w:r>
        <w:t xml:space="preserve">Вероятность пробоя ячейки пропорциональна локальной напряжённости в некоторой степени: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∝</m:t>
          </m:r>
          <m:sSubSup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η</m:t>
              </m:r>
            </m:sup>
          </m:sSub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— показатель степени, управляющий ветвистостью структуры:</w:t>
      </w:r>
      <w:r>
        <w:t xml:space="preserve"> </w:t>
      </w:r>
      <w:r>
        <w:t xml:space="preserve">- При</w:t>
      </w:r>
      <w:r>
        <w:t xml:space="preserve"> </w:t>
      </w:r>
      <m:oMath>
        <m:r>
          <m:t>η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— детерминированный рост (пробой всегда в ячейку с максимальным полем)</w:t>
      </w:r>
      <w:r>
        <w:t xml:space="preserve"> </w:t>
      </w:r>
      <w:r>
        <w:t xml:space="preserve">- При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вероятностный рост, пропорциональный полю (аналог модели ДЛА)</w:t>
      </w:r>
    </w:p>
    <w:bookmarkEnd w:id="25"/>
    <w:bookmarkStart w:id="26" w:name="Xe2d3af11405211daae3a38f1dca08a4663f0e05"/>
    <w:p>
      <w:pPr>
        <w:pStyle w:val="Heading2"/>
      </w:pPr>
      <w:r>
        <w:t xml:space="preserve">2.4 Пробой в геометрии «остриё–плоскость» с флуктуационным критерием роста</w:t>
      </w:r>
    </w:p>
    <w:p>
      <w:pPr>
        <w:pStyle w:val="FirstParagraph"/>
      </w:pPr>
      <w:r>
        <w:rPr>
          <w:b/>
          <w:bCs/>
        </w:rPr>
        <w:t xml:space="preserve">Алгоритм роста:</w:t>
      </w:r>
      <w:r>
        <w:br/>
      </w:r>
      <w:r>
        <w:t xml:space="preserve">1. Решить уравнение Лапласа для текущей конфигурации электродов</w:t>
      </w:r>
      <w:r>
        <w:br/>
      </w:r>
      <w:r>
        <w:t xml:space="preserve">2. Вычислить напряжённость поля во всех граничных ячейках</w:t>
      </w:r>
      <w:r>
        <w:br/>
      </w:r>
      <w:r>
        <w:t xml:space="preserve">3. Присвоить каждой граничной ячейке вероятность P ∝ E^η</w:t>
      </w:r>
      <w:r>
        <w:br/>
      </w:r>
      <w:r>
        <w:t xml:space="preserve">4. Выбрать ячейку для пробоя случайным образом</w:t>
      </w:r>
      <w:r>
        <w:br/>
      </w:r>
      <w:r>
        <w:t xml:space="preserve">5. Добавить выбранную ячейку к стримерной структуре</w:t>
      </w:r>
      <w:r>
        <w:br/>
      </w:r>
      <w:r>
        <w:t xml:space="preserve">6. Повторять шаги 1–5 до достижения противоположного электрода</w:t>
      </w:r>
    </w:p>
    <w:bookmarkEnd w:id="26"/>
    <w:bookmarkStart w:id="27" w:name="пробой-в-геометрии-точкаокружность"/>
    <w:p>
      <w:pPr>
        <w:pStyle w:val="Heading2"/>
      </w:pPr>
      <w:r>
        <w:t xml:space="preserve">2.5 Пробой в геометрии «точка–окружность»</w:t>
      </w:r>
    </w:p>
    <w:p>
      <w:pPr>
        <w:pStyle w:val="FirstParagraph"/>
      </w:pPr>
      <w:r>
        <w:t xml:space="preserve">Геометрия отличается тем, что второй электрод представляет собой замкнутую окружность, окружающую точечный электрод.</w:t>
      </w:r>
    </w:p>
    <w:p>
      <w:pPr>
        <w:pStyle w:val="BodyText"/>
      </w:pPr>
      <w:r>
        <w:rPr>
          <w:b/>
          <w:bCs/>
        </w:rPr>
        <w:t xml:space="preserve">Особенности алгоритма:</w:t>
      </w:r>
      <w:r>
        <w:t xml:space="preserve"> </w:t>
      </w:r>
      <w:r>
        <w:t xml:space="preserve">- Граничные условия на окружности: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Рост стримера происходит радиально от центральной точки к окружности</w:t>
      </w:r>
    </w:p>
    <w:p>
      <w:pPr>
        <w:pStyle w:val="BodyText"/>
      </w:pPr>
      <w:r>
        <w:rPr>
          <w:b/>
          <w:bCs/>
        </w:rPr>
        <w:t xml:space="preserve">Исследование густоты ветвей:</w:t>
      </w:r>
      <w:r>
        <w:t xml:space="preserve"> </w:t>
      </w:r>
      <w:r>
        <w:t xml:space="preserve">Густота ветвей зависит от радиуса окружности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 параметра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в флуктуационном критерии.</w:t>
      </w:r>
    </w:p>
    <w:p>
      <w:pPr>
        <w:pStyle w:val="BodyText"/>
      </w:pPr>
      <w:r>
        <w:t xml:space="preserve">Ожидаемые результаты:</w:t>
      </w:r>
      <w:r>
        <w:t xml:space="preserve"> </w:t>
      </w:r>
      <w:r>
        <w:t xml:space="preserve">- При малом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(близкая окружность) — стример достигает границы быстро, ветвление слабое</w:t>
      </w:r>
      <w:r>
        <w:t xml:space="preserve"> </w:t>
      </w:r>
      <w:r>
        <w:t xml:space="preserve">- При большом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(далёкая окружность) — поле становится более однородным, ветвление усиливается</w:t>
      </w:r>
      <w:r>
        <w:t xml:space="preserve"> </w:t>
      </w:r>
      <w:r>
        <w:t xml:space="preserve">- Густота ветвей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может быть охарактеризована фрактальной размерностью структуры</w:t>
      </w:r>
    </w:p>
    <w:bookmarkEnd w:id="27"/>
    <w:bookmarkStart w:id="28" w:name="итоговый-алгоритм-решения-всех-задач"/>
    <w:p>
      <w:pPr>
        <w:pStyle w:val="Heading2"/>
      </w:pPr>
      <w:r>
        <w:t xml:space="preserve">2.6 Итоговый алгоритм решения всех задач</w:t>
      </w:r>
    </w:p>
    <w:p>
      <w:pPr>
        <w:pStyle w:val="FirstParagraph"/>
      </w:pPr>
      <w:r>
        <w:t xml:space="preserve">Алгоритм:</w:t>
      </w:r>
      <w:r>
        <w:br/>
      </w:r>
      <w:r>
        <w:t xml:space="preserve">1. Инициализация — задание сетки, граничных условий, начальной затравки</w:t>
      </w:r>
      <w:r>
        <w:br/>
      </w:r>
      <w:r>
        <w:t xml:space="preserve">2. Расчёт поля — итерационное решение уравнения Лапласа</w:t>
      </w:r>
      <w:r>
        <w:br/>
      </w:r>
      <w:r>
        <w:t xml:space="preserve">3. Вычисление напряжённости в граничных ячейках</w:t>
      </w:r>
      <w:r>
        <w:br/>
      </w:r>
      <w:r>
        <w:t xml:space="preserve">4. Вероятностный рост — выбор следующей ячейки по критерию P ∝ E^η</w:t>
      </w:r>
      <w:r>
        <w:br/>
      </w:r>
      <w:r>
        <w:t xml:space="preserve">5. Обновление структуры — добавление ячейки и пересчёт поля</w:t>
      </w:r>
      <w:r>
        <w:br/>
      </w:r>
      <w:r>
        <w:t xml:space="preserve">6. Повторение шагов 2–5 до завершения пробоя</w:t>
      </w:r>
    </w:p>
    <w:bookmarkEnd w:id="28"/>
    <w:bookmarkEnd w:id="29"/>
    <w:bookmarkStart w:id="32" w:name="заключительная-часть"/>
    <w:p>
      <w:pPr>
        <w:pStyle w:val="Heading1"/>
      </w:pPr>
      <w:r>
        <w:t xml:space="preserve">3. Заключительная часть</w:t>
      </w:r>
    </w:p>
    <w:bookmarkStart w:id="30" w:name="результаты"/>
    <w:p>
      <w:pPr>
        <w:pStyle w:val="Heading2"/>
      </w:pPr>
      <w:r>
        <w:t xml:space="preserve">3.1 Результаты</w:t>
      </w:r>
    </w:p>
    <w:p>
      <w:pPr>
        <w:pStyle w:val="FirstParagraph"/>
      </w:pPr>
      <w:r>
        <w:t xml:space="preserve">В ходе работы были разработаны и реализованы алгоритмы для моделирования электрического пробоя в различных геометриях.</w:t>
      </w:r>
    </w:p>
    <w:p>
      <w:pPr>
        <w:pStyle w:val="BodyText"/>
      </w:pPr>
      <w:r>
        <w:rPr>
          <w:b/>
          <w:bCs/>
        </w:rPr>
        <w:t xml:space="preserve">Основные результаты:</w:t>
      </w:r>
    </w:p>
    <w:p>
      <w:pPr>
        <w:pStyle w:val="BodyText"/>
      </w:pPr>
      <w:r>
        <w:t xml:space="preserve">Решена задача вычисления электрического потенциала итерационным методом на прямоугольной сетке. Реализован флуктуационный критерий роста стримерных структур с регулируемым параметром ветвистости η. Проведено моделирование пробоя в геометрии «остриё–плоскость» и «точка–окружность».</w:t>
      </w:r>
    </w:p>
    <w:p>
      <w:pPr>
        <w:pStyle w:val="BodyText"/>
      </w:pPr>
      <w:r>
        <w:rPr>
          <w:b/>
          <w:bCs/>
        </w:rPr>
        <w:t xml:space="preserve">Для геометрии «точка–окружность» установлено:</w:t>
      </w:r>
    </w:p>
    <w:p>
      <w:pPr>
        <w:pStyle w:val="BodyText"/>
      </w:pPr>
      <w:r>
        <w:t xml:space="preserve">При малом радиусе окружности стример достигает границы быстро, структура получается компактной с редким ветвлением. При увеличении радиуса поле становится более однородным, что приводит к росту густоты ветвей и усложнению структуры. Таким образом, радиус ограничивающей окружности является ключевым параметром, определяющим морфологию стримерного канала.</w:t>
      </w:r>
    </w:p>
    <w:p>
      <w:pPr>
        <w:pStyle w:val="BodyText"/>
      </w:pPr>
      <w:r>
        <w:rPr>
          <w:b/>
          <w:bCs/>
        </w:rPr>
        <w:t xml:space="preserve">Практическая значимость:</w:t>
      </w:r>
    </w:p>
    <w:p>
      <w:pPr>
        <w:pStyle w:val="BodyText"/>
      </w:pPr>
      <w:r>
        <w:t xml:space="preserve">Разработанные алгоритмы могут быть использованы для моделирования пробойных процессов в диэлектриках, газовых разрядах, а также для изучения фрактальных свойств ветвящихся структур.</w:t>
      </w:r>
    </w:p>
    <w:bookmarkEnd w:id="30"/>
    <w:bookmarkStart w:id="31" w:name="источники"/>
    <w:p>
      <w:pPr>
        <w:pStyle w:val="Heading2"/>
      </w:pPr>
      <w:r>
        <w:t xml:space="preserve">3.2 Источники</w:t>
      </w:r>
    </w:p>
    <w:p>
      <w:pPr>
        <w:pStyle w:val="Compact"/>
        <w:numPr>
          <w:ilvl w:val="0"/>
          <w:numId w:val="1001"/>
        </w:numPr>
      </w:pPr>
      <w:r>
        <w:t xml:space="preserve">Моделирование физических процессов и явлений на ПК / Д. А. Медведев, А. Л. Куперштох, Э. Р. Прууэл [и др.]. – Новосибирск : Новосиб. гос. ун-т, 2010. – 101 с. – ISBN 978-5-94356-933-3.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Электрический пробой</dc:title>
  <dc:creator>Софич А.Г,Солдатов С.А,Чистов Д.М,Соловьев Б.М,Селиванов В.А</dc:creator>
  <dc:language>ru-RU</dc:language>
  <cp:keywords/>
  <dcterms:created xsi:type="dcterms:W3CDTF">2026-04-11T19:18:30Z</dcterms:created>
  <dcterms:modified xsi:type="dcterms:W3CDTF">2026-04-11T19:18:30Z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Групповой проект</vt:lpwstr>
  </property>
  <property fmtid="{D5CDD505-2E9C-101B-9397-08002B2CF9AE}" pid="13" name="toc-title">
    <vt:lpwstr>Содержание</vt:lpwstr>
  </property>
</Properties>
</file>