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Электрический пробой</w:t>
      </w:r>
    </w:p>
    <w:p>
      <w:pPr>
        <w:pStyle w:val="Subtitle"/>
      </w:pPr>
      <w:r>
        <w:t xml:space="preserve">Групповой проект</w:t>
      </w:r>
    </w:p>
    <w:p>
      <w:pPr>
        <w:pStyle w:val="Author"/>
      </w:pPr>
      <w:r>
        <w:t xml:space="preserve">Софич А.Г,Солдатов С.А,Чистов Д.М,Соловьев Б.М,Селиванов В.А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и-проекта"/>
    <w:p>
      <w:pPr>
        <w:pStyle w:val="Heading1"/>
      </w:pPr>
      <w:r>
        <w:t xml:space="preserve">1. Цели проекта</w:t>
      </w:r>
    </w:p>
    <w:p>
      <w:pPr>
        <w:pStyle w:val="FirstParagraph"/>
      </w:pPr>
      <w:r>
        <w:t xml:space="preserve">Изучить методы математического моделирования на примере электрического пробоя..</w:t>
      </w:r>
    </w:p>
    <w:bookmarkEnd w:id="20"/>
    <w:bookmarkStart w:id="21" w:name="задачи-проекта"/>
    <w:p>
      <w:pPr>
        <w:pStyle w:val="Heading1"/>
      </w:pPr>
      <w:r>
        <w:t xml:space="preserve">2. Задачи проекта</w:t>
      </w:r>
    </w:p>
    <w:p>
      <w:pPr>
        <w:pStyle w:val="FirstParagraph"/>
      </w:pPr>
      <w:r>
        <w:t xml:space="preserve">Написать программу вычисления электрического потенциала итерационным методом.</w:t>
      </w:r>
    </w:p>
    <w:p>
      <w:pPr>
        <w:pStyle w:val="BodyText"/>
      </w:pPr>
      <w:r>
        <w:t xml:space="preserve">Рассмотреть пробой в геометрии</w:t>
      </w:r>
      <w:r>
        <w:t xml:space="preserve"> </w:t>
      </w:r>
      <w:r>
        <w:t xml:space="preserve">“острие– плоскость”</w:t>
      </w:r>
      <w:r>
        <w:t xml:space="preserve"> </w:t>
      </w:r>
      <w:r>
        <w:t xml:space="preserve">с использованием флуктуационного критерия роста.</w:t>
      </w:r>
    </w:p>
    <w:p>
      <w:pPr>
        <w:pStyle w:val="BodyText"/>
      </w:pPr>
      <w:r>
        <w:t xml:space="preserve">Рассмотреть пробой в геометрии</w:t>
      </w:r>
      <w:r>
        <w:t xml:space="preserve"> </w:t>
      </w:r>
      <w:r>
        <w:t xml:space="preserve">“точка– окружность”</w:t>
      </w:r>
      <w:r>
        <w:t xml:space="preserve">. Исследовать как меняется густота ветвей с радиусом стримерной структуры?</w:t>
      </w:r>
    </w:p>
    <w:bookmarkEnd w:id="21"/>
    <w:bookmarkStart w:id="22" w:name="определение"/>
    <w:p>
      <w:pPr>
        <w:pStyle w:val="Heading1"/>
      </w:pPr>
      <w:r>
        <w:t xml:space="preserve">3. Определение</w:t>
      </w:r>
    </w:p>
    <w:p>
      <w:pPr>
        <w:pStyle w:val="FirstParagraph"/>
      </w:pPr>
      <w:r>
        <w:t xml:space="preserve">Возникновение искрового электрического разряда сильно зависит от условий эксперимента.</w:t>
      </w:r>
    </w:p>
    <w:p>
      <w:pPr>
        <w:pStyle w:val="Compact"/>
        <w:numPr>
          <w:ilvl w:val="0"/>
          <w:numId w:val="1001"/>
        </w:numPr>
      </w:pPr>
      <w:r>
        <w:t xml:space="preserve">В длинных искровых промежутках (когда расстояние между электродами составляет десятки сантиметров или даже метры) при постепенном увеличении напряжения между электродами вначале наблюдается коронный разряд.</w:t>
      </w:r>
    </w:p>
    <w:p>
      <w:pPr>
        <w:pStyle w:val="FirstParagraph"/>
      </w:pPr>
      <w:r>
        <w:t xml:space="preserve">Коронный разряд наблюдается в виде синевато-фиолетового свечения на одном из электродов (катоде), охватывающего ту область электрода, где поле наиболее сильное, и затухающего по мере удаления от металлической поверхности.</w:t>
      </w:r>
    </w:p>
    <w:p>
      <w:pPr>
        <w:pStyle w:val="BodyText"/>
      </w:pPr>
      <w:r>
        <w:t xml:space="preserve">Корона возникает в основном в области неоднородного поля возле металлических выступов,</w:t>
      </w:r>
      <w:r>
        <w:t xml:space="preserve"> </w:t>
      </w:r>
      <w:r>
        <w:t xml:space="preserve">“заусенцев”</w:t>
      </w:r>
      <w:r>
        <w:t xml:space="preserve">, любых неоднородностей на электродах.</w:t>
      </w:r>
    </w:p>
    <w:p>
      <w:pPr>
        <w:pStyle w:val="Compact"/>
        <w:numPr>
          <w:ilvl w:val="0"/>
          <w:numId w:val="1002"/>
        </w:numPr>
      </w:pPr>
      <w:r>
        <w:t xml:space="preserve">При напряжениях, более высоких, чем те, которые приводят к образованию короны, в газах возникают так называемые стримеры.</w:t>
      </w:r>
    </w:p>
    <w:p>
      <w:pPr>
        <w:pStyle w:val="FirstParagraph"/>
      </w:pPr>
      <w:r>
        <w:t xml:space="preserve">Стримеры представляют собой систему слабосветящихся проводящих каналов, образующуюся в газе в области наиболее сильного электрического поля.</w:t>
      </w:r>
    </w:p>
    <w:p>
      <w:pPr>
        <w:pStyle w:val="BodyText"/>
      </w:pPr>
      <w:r>
        <w:t xml:space="preserve">Стример прорастает, как правило, с одного из электродов и привысоких напряжениях может ветвиться.</w:t>
      </w:r>
    </w:p>
    <w:p>
      <w:pPr>
        <w:pStyle w:val="BodyText"/>
      </w:pPr>
      <w:r>
        <w:t xml:space="preserve">Размер области, в которой развиваются стримеры, может составлять несколько метров даже в лабораторныхусловиях. Скорость продвижения стримера вглубь межэлектродного промежутка не меньше 10км/симожетдостигать 10000 км/с.</w:t>
      </w:r>
    </w:p>
    <w:p>
      <w:pPr>
        <w:pStyle w:val="Compact"/>
        <w:numPr>
          <w:ilvl w:val="0"/>
          <w:numId w:val="1003"/>
        </w:numPr>
      </w:pPr>
      <w:r>
        <w:t xml:space="preserve">В случае пробоя в газах при определенных условиях энерговыделения в стримерных каналах они превращаются в так называемые лидерные каналы.</w:t>
      </w:r>
    </w:p>
    <w:p>
      <w:pPr>
        <w:pStyle w:val="FirstParagraph"/>
      </w:pPr>
      <w:r>
        <w:t xml:space="preserve">Лидер это плазменное образование очень высокой светимости и настолько высокой проводимости, что его в некотором смысле можно считать продолжением электрода.</w:t>
      </w:r>
    </w:p>
    <w:p>
      <w:pPr>
        <w:pStyle w:val="BodyText"/>
      </w:pPr>
      <w:r>
        <w:t xml:space="preserve">Скорость распространения лидера по порядку величины составляет 10 км/с. Перед головной частью лидера образуется стримерная корона, от которой зависит дальнейшая динамика лидерного канала.</w:t>
      </w:r>
    </w:p>
    <w:bookmarkEnd w:id="22"/>
    <w:bookmarkStart w:id="39" w:name="основная-часть"/>
    <w:p>
      <w:pPr>
        <w:pStyle w:val="Heading1"/>
      </w:pPr>
      <w:r>
        <w:t xml:space="preserve">4. Основная часть</w:t>
      </w:r>
    </w:p>
    <w:bookmarkStart w:id="38" w:name="вычисление-электрического-потенциала"/>
    <w:p>
      <w:pPr>
        <w:pStyle w:val="Heading2"/>
      </w:pPr>
      <w:r>
        <w:t xml:space="preserve">4.1 Вычисление электрического потенциала</w:t>
      </w:r>
    </w:p>
    <w:p>
      <w:pPr>
        <w:pStyle w:val="FirstParagraph"/>
      </w:pPr>
      <w:r>
        <w:t xml:space="preserve">Рассмотрим простейший случай</w:t>
      </w:r>
    </w:p>
    <w:p>
      <w:pPr>
        <w:pStyle w:val="BodyText"/>
      </w:pPr>
      <w:r>
        <w:t xml:space="preserve">Вещество однородно (диэлектрическая проницаемость среды ε везде одинакова), и первоначально в нем нет свободных зарядов.</w:t>
      </w:r>
    </w:p>
    <w:p>
      <w:pPr>
        <w:pStyle w:val="BodyText"/>
      </w:pPr>
      <w:r>
        <w:t xml:space="preserve">По теореме Гаусса поток вектора индукции электрического поля D через любую замкнутую поверхность S равен нулю при отсутствии внутри поверхности свободных электрических зарядов,n– вектор внешней нормали к поверхности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2128477" cy="81450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8477" cy="814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Рассмотрим в пространстве кубическую решетку с ячейками со сторонами h по всем координатам.</w:t>
      </w:r>
    </w:p>
    <w:p>
      <w:pPr>
        <w:pStyle w:val="BodyText"/>
      </w:pPr>
      <w:r>
        <w:t xml:space="preserve">Сначала рассмотрим только один ряд ячеек вдоль оси x. Пусть электрический потенциал принимает в центре i-той ячейки значение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.</m:t>
        </m:r>
      </m:oMath>
      <w:r>
        <w:t xml:space="preserve"> </w:t>
      </w:r>
      <w:r>
        <w:t xml:space="preserve">Тогда проекция электрического поля на ось x на левой грани ячейки приближенно равна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t>h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на правой грани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∆</m:t>
              </m:r>
              <m:r>
                <m:t>x</m:t>
              </m:r>
            </m:e>
          </m:d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t>h</m:t>
          </m:r>
          <m:r>
            <m:rPr>
              <m:sty m:val="p"/>
            </m:rPr>
            <m:t>.</m:t>
          </m:r>
        </m:oMath>
      </m:oMathPara>
    </w:p>
    <w:bookmarkStart w:id="36" w:name="кубическая-решетка-рис.-fig-001."/>
    <w:p>
      <w:pPr>
        <w:pStyle w:val="Heading3"/>
      </w:pPr>
      <w:r>
        <w:t xml:space="preserve">4.1.1 Кубическая решетка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bookmarkStart w:id="31" w:name="fig:002"/>
    <w:p>
      <w:pPr>
        <w:pStyle w:val="CaptionedFigure"/>
      </w:pPr>
      <w:r>
        <w:drawing>
          <wp:inline>
            <wp:extent cx="1600200" cy="1018601"/>
            <wp:effectExtent b="0" l="0" r="0" t="0"/>
            <wp:docPr descr="Теорема Гаусса для кубической ячейки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18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Теорема Гаусса для кубической ячейки</w:t>
      </w:r>
    </w:p>
    <w:bookmarkEnd w:id="31"/>
    <w:p>
      <w:pPr>
        <w:pStyle w:val="BodyText"/>
      </w:pPr>
      <w:r>
        <w:t xml:space="preserve">Вычисление электрического потенциала</w:t>
      </w:r>
    </w:p>
    <w:p>
      <w:pPr>
        <w:pStyle w:val="BodyText"/>
      </w:pPr>
      <w:r>
        <w:t xml:space="preserve">Поток вектора индукции электрического поля изнутри ячейки через эти две грани равен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ε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∆</m:t>
              </m:r>
              <m:r>
                <m:t>x</m:t>
              </m:r>
            </m:e>
          </m:d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ε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ε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d>
          <m:r>
            <m:t>h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Аналогично поток через нижнюю и верхнюю грани равен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ε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∆</m:t>
              </m:r>
              <m:r>
                <m:t>y</m:t>
              </m:r>
            </m:e>
          </m:d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ε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ε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d>
          <m:r>
            <m:t>h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через переднюю и заднюю грани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ε</m:t>
          </m:r>
          <m:sSub>
            <m:e>
              <m:r>
                <m:t>E</m:t>
              </m:r>
            </m:e>
            <m:sub>
              <m:r>
                <m:t>z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∆</m:t>
              </m:r>
              <m:r>
                <m:t>z</m:t>
              </m:r>
            </m:e>
          </m:d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ε</m:t>
          </m:r>
          <m:sSub>
            <m:e>
              <m:r>
                <m:t>E</m:t>
              </m:r>
            </m:e>
            <m:sub>
              <m:r>
                <m:t>z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ε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t>h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Складывая эти уравнения, вычислим полный поток изнутри ячейки и поделим его на объем ячейки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bookmarkStart w:id="35" w:name="fig:003"/>
    <w:p>
      <w:pPr>
        <w:pStyle w:val="CaptionedFigure"/>
      </w:pPr>
      <w:r>
        <w:drawing>
          <wp:inline>
            <wp:extent cx="2667000" cy="499029"/>
            <wp:effectExtent b="0" l="0" r="0" t="0"/>
            <wp:docPr descr="Уравнение (2.1)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99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Уравнение (2.1)</w:t>
      </w:r>
    </w:p>
    <w:bookmarkEnd w:id="35"/>
    <w:bookmarkEnd w:id="36"/>
    <w:bookmarkStart w:id="37" w:name="уравнение-лапласа"/>
    <w:p>
      <w:pPr>
        <w:pStyle w:val="Heading3"/>
      </w:pPr>
      <w:r>
        <w:t xml:space="preserve">4.1.2 Уравнение Лапласа</w:t>
      </w:r>
    </w:p>
    <w:p>
      <w:pPr>
        <w:pStyle w:val="FirstParagraph"/>
      </w:pPr>
      <w:r>
        <w:t xml:space="preserve">Каждая дробь представляет собой разностную аппроксимацию второй частной производной от потенциала по оответствующей координате. Так как в данном случае полный поток равен нулю, то при h → 0 уравнение для потенциала в однородном диэлектрике сводится к хорошо известному уравнению Лапласа: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ϕ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ϕ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ϕ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Используя условие равенства нулю полного потока из уравнения (2.1) можно также получить уравнение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ϕ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+</m:t>
          </m:r>
          <m:r>
            <m:t>ϕ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6</m:t>
          </m:r>
          <m:sSub>
            <m:e>
              <m:r>
                <m:t>ϕ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d>
            <m:dPr>
              <m:begChr m:val="("/>
              <m:sepChr m:val=""/>
              <m:endChr m:val=")"/>
              <m:grow/>
            </m:dPr>
            <m:e>
              <m:r>
                <m:t>2.2</m:t>
              </m:r>
            </m:e>
          </m:d>
        </m:oMath>
      </m:oMathPara>
    </w:p>
    <w:p>
      <w:pPr>
        <w:pStyle w:val="FirstParagraph"/>
      </w:pPr>
      <w:r>
        <w:t xml:space="preserve">Вычисление электрического потенциала</w:t>
      </w:r>
    </w:p>
    <w:p>
      <w:pPr>
        <w:pStyle w:val="BodyText"/>
      </w:pPr>
      <w:r>
        <w:t xml:space="preserve">Далее будем рассматривать плоский случай. Потенциал изменяется только в плоскости XY, поэтому по теореме Гаусса для квадратной ячейки сетки с номером i,j вместо формулы (2.2) получим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4</m:t>
          </m:r>
          <m:sSub>
            <m:e>
              <m:r>
                <m:t>ϕ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Последнее уравнение можно переписать в виде: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если потенциал в каждом узле равен среднему арифметическому по соседним узлам, то эти значения как раз являются решением уравнений электростатики.</w:t>
      </w:r>
    </w:p>
    <w:p>
      <w:pPr>
        <w:pStyle w:val="BodyText"/>
      </w:pPr>
      <w:r>
        <w:t xml:space="preserve">Систему уравнений (2.3) удобно решать методом итераций.</w:t>
      </w:r>
      <w:r>
        <w:t xml:space="preserve"> </w:t>
      </w:r>
      <w:r>
        <w:t xml:space="preserve">“Новое”</w:t>
      </w:r>
      <w:r>
        <w:t xml:space="preserve"> </w:t>
      </w:r>
      <w:r>
        <w:t xml:space="preserve">значение потенциала в каждом внутреннем узле вычисляется как среднее арифметическое</w:t>
      </w:r>
      <w:r>
        <w:t xml:space="preserve"> </w:t>
      </w:r>
      <w:r>
        <w:t xml:space="preserve">“старых”</w:t>
      </w:r>
      <w:r>
        <w:t xml:space="preserve"> </w:t>
      </w:r>
      <w:r>
        <w:t xml:space="preserve">значений потенциала в соседних с нимузлах по уравнению (2.3). Для того, чтобы начать итерации, необходимо задать для внутренних узлов расчетной области некие (вообще говоря, произвольные) начальные значения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. При этом необходимые значения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на границе расчетной области берутся из граничных условий.</w:t>
      </w:r>
    </w:p>
    <w:p>
      <w:pPr>
        <w:pStyle w:val="BodyText"/>
      </w:pPr>
      <w:r>
        <w:t xml:space="preserve">Доказано, что итерации всегда сходятся, т.е. значения потенциала стремятся к точному решению.</w:t>
      </w:r>
    </w:p>
    <w:bookmarkEnd w:id="37"/>
    <w:bookmarkEnd w:id="38"/>
    <w:bookmarkEnd w:id="39"/>
    <w:bookmarkStart w:id="40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На данном этапе мы рассмотрели, что такое электрический пробой и что</w:t>
      </w:r>
      <w:r>
        <w:t xml:space="preserve"> </w:t>
      </w:r>
      <w:r>
        <w:t xml:space="preserve">он из себя представляет.</w:t>
      </w:r>
      <w:r>
        <w:t xml:space="preserve"> </w:t>
      </w:r>
      <w:r>
        <w:t xml:space="preserve">Так же мы познакомились с основными понятиями, которые используются при изучении и построении</w:t>
      </w:r>
      <w:r>
        <w:t xml:space="preserve"> </w:t>
      </w:r>
      <w:r>
        <w:t xml:space="preserve">уравнений и моделей электрического пробоя.</w:t>
      </w:r>
    </w:p>
    <w:bookmarkEnd w:id="40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Моделирование физических процессов и явлений на ПК / Д. А. Медведев, А. Л. Куперштох, Э. Р. Прууэл [и др.]. – Новосибирск : Новосиб. гос. ун-т, 2010. – 101 с. – ISBN 978-5-94356-933-3.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Электрический пробой</dc:title>
  <dc:creator>Софич А.Г,Солдатов С.А,Чистов Д.М,Соловьев Б.М,Селиванов В.А</dc:creator>
  <dc:language>ru-RU</dc:language>
  <cp:keywords/>
  <dcterms:created xsi:type="dcterms:W3CDTF">2026-03-21T19:27:21Z</dcterms:created>
  <dcterms:modified xsi:type="dcterms:W3CDTF">2026-03-21T19:27:21Z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Групповой проект</vt:lpwstr>
  </property>
  <property fmtid="{D5CDD505-2E9C-101B-9397-08002B2CF9AE}" pid="16" name="toc-title">
    <vt:lpwstr>Содержание</vt:lpwstr>
  </property>
</Properties>
</file>